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1.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2.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theme/themeOverride3.xml" ContentType="application/vnd.openxmlformats-officedocument.themeOverride+xml"/>
  <Override PartName="/word/charts/chart41.xml" ContentType="application/vnd.openxmlformats-officedocument.drawingml.chart+xml"/>
  <Override PartName="/word/theme/themeOverride4.xml" ContentType="application/vnd.openxmlformats-officedocument.themeOverride+xml"/>
  <Override PartName="/word/charts/chart42.xml" ContentType="application/vnd.openxmlformats-officedocument.drawingml.chart+xml"/>
  <Override PartName="/word/theme/themeOverride5.xml" ContentType="application/vnd.openxmlformats-officedocument.themeOverride+xml"/>
  <Override PartName="/word/charts/chart43.xml" ContentType="application/vnd.openxmlformats-officedocument.drawingml.chart+xml"/>
  <Override PartName="/word/theme/themeOverride6.xml" ContentType="application/vnd.openxmlformats-officedocument.themeOverride+xml"/>
  <Override PartName="/word/charts/chart44.xml" ContentType="application/vnd.openxmlformats-officedocument.drawingml.chart+xml"/>
  <Override PartName="/word/theme/themeOverride7.xml" ContentType="application/vnd.openxmlformats-officedocument.themeOverride+xml"/>
  <Override PartName="/word/charts/chart45.xml" ContentType="application/vnd.openxmlformats-officedocument.drawingml.chart+xml"/>
  <Override PartName="/word/theme/themeOverride8.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theme/themeOverride9.xml" ContentType="application/vnd.openxmlformats-officedocument.themeOverride+xml"/>
  <Override PartName="/word/charts/chart50.xml" ContentType="application/vnd.openxmlformats-officedocument.drawingml.chart+xml"/>
  <Override PartName="/word/theme/themeOverride10.xml" ContentType="application/vnd.openxmlformats-officedocument.themeOverride+xml"/>
  <Override PartName="/word/charts/chart51.xml" ContentType="application/vnd.openxmlformats-officedocument.drawingml.chart+xml"/>
  <Override PartName="/word/theme/themeOverride11.xml" ContentType="application/vnd.openxmlformats-officedocument.themeOverride+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theme/themeOverride12.xml" ContentType="application/vnd.openxmlformats-officedocument.themeOverrid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theme/themeOverride13.xml" ContentType="application/vnd.openxmlformats-officedocument.themeOverride+xml"/>
  <Override PartName="/word/charts/chart62.xml" ContentType="application/vnd.openxmlformats-officedocument.drawingml.chart+xml"/>
  <Override PartName="/word/charts/chart63.xml" ContentType="application/vnd.openxmlformats-officedocument.drawingml.chart+xml"/>
  <Override PartName="/word/footer4.xml" ContentType="application/vnd.openxmlformats-officedocument.wordprocessingml.footer+xml"/>
  <Override PartName="/word/charts/chart64.xml" ContentType="application/vnd.openxmlformats-officedocument.drawingml.chart+xml"/>
  <Override PartName="/word/theme/themeOverride14.xml" ContentType="application/vnd.openxmlformats-officedocument.themeOverride+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theme/themeOverride15.xml" ContentType="application/vnd.openxmlformats-officedocument.themeOverride+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69733" w14:textId="77777777" w:rsidR="00B6080E" w:rsidRPr="0051471A" w:rsidRDefault="00B6080E" w:rsidP="00B6080E">
      <w:pPr>
        <w:pBdr>
          <w:bottom w:val="single" w:sz="4" w:space="1" w:color="auto"/>
        </w:pBdr>
        <w:spacing w:after="0" w:line="240" w:lineRule="auto"/>
        <w:ind w:left="2268"/>
        <w:jc w:val="right"/>
        <w:rPr>
          <w:rFonts w:cs="Arial"/>
          <w:b/>
          <w:bCs/>
          <w:smallCaps/>
          <w:sz w:val="24"/>
          <w:szCs w:val="18"/>
        </w:rPr>
      </w:pPr>
      <w:bookmarkStart w:id="0" w:name="_GoBack"/>
      <w:bookmarkEnd w:id="0"/>
      <w:r w:rsidRPr="0051471A">
        <w:rPr>
          <w:rFonts w:cs="Arial"/>
          <w:b/>
          <w:bCs/>
          <w:smallCaps/>
          <w:sz w:val="24"/>
          <w:szCs w:val="18"/>
        </w:rPr>
        <w:t>Naručitelj</w:t>
      </w:r>
    </w:p>
    <w:p w14:paraId="77F364E7" w14:textId="40878B1E" w:rsidR="00B6080E" w:rsidRPr="0051471A" w:rsidRDefault="00B6080E" w:rsidP="00B6080E">
      <w:pPr>
        <w:spacing w:after="0" w:line="240" w:lineRule="auto"/>
        <w:ind w:left="2268"/>
        <w:rPr>
          <w:rFonts w:cs="Arial"/>
        </w:rPr>
      </w:pPr>
      <w:r w:rsidRPr="0051471A">
        <w:rPr>
          <w:noProof/>
          <w:lang w:eastAsia="hr-HR"/>
        </w:rPr>
        <w:drawing>
          <wp:anchor distT="0" distB="0" distL="114300" distR="114300" simplePos="0" relativeHeight="251659264" behindDoc="0" locked="0" layoutInCell="1" allowOverlap="1" wp14:anchorId="19B13BFA" wp14:editId="1AC98888">
            <wp:simplePos x="0" y="0"/>
            <wp:positionH relativeFrom="margin">
              <wp:align>left</wp:align>
            </wp:positionH>
            <wp:positionV relativeFrom="margin">
              <wp:align>top</wp:align>
            </wp:positionV>
            <wp:extent cx="1271905" cy="1271905"/>
            <wp:effectExtent l="0" t="0" r="4445" b="4445"/>
            <wp:wrapSquare wrapText="bothSides"/>
            <wp:docPr id="10" name="Picture 10" descr="C:\Users\Velimir.Velimir-PC\AppData\Local\Microsoft\Windows\Temporary Internet Files\Content.Outlook\5B8FNKE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elimir.Velimir-PC\AppData\Local\Microsoft\Windows\Temporary Internet Files\Content.Outlook\5B8FNKEN\logo.g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71A">
        <w:rPr>
          <w:rFonts w:cs="Arial"/>
        </w:rPr>
        <w:t>Republika Hrvatska</w:t>
      </w:r>
    </w:p>
    <w:p w14:paraId="4F72E8E7" w14:textId="77777777" w:rsidR="00B6080E" w:rsidRPr="0051471A" w:rsidRDefault="00B6080E" w:rsidP="00B6080E">
      <w:pPr>
        <w:spacing w:after="0" w:line="240" w:lineRule="auto"/>
        <w:ind w:left="2268"/>
        <w:rPr>
          <w:rFonts w:cs="Arial"/>
        </w:rPr>
      </w:pPr>
      <w:r w:rsidRPr="0051471A">
        <w:rPr>
          <w:rFonts w:cs="Arial"/>
        </w:rPr>
        <w:t>Grad Zagreb</w:t>
      </w:r>
    </w:p>
    <w:p w14:paraId="065DD0D8" w14:textId="77777777" w:rsidR="00B6080E" w:rsidRPr="0051471A" w:rsidRDefault="00B6080E" w:rsidP="00B6080E">
      <w:pPr>
        <w:pBdr>
          <w:bottom w:val="single" w:sz="4" w:space="1" w:color="auto"/>
        </w:pBdr>
        <w:spacing w:after="0" w:line="240" w:lineRule="auto"/>
        <w:ind w:left="2268"/>
        <w:jc w:val="right"/>
        <w:rPr>
          <w:rFonts w:cs="Arial"/>
          <w:b/>
          <w:smallCaps/>
          <w:sz w:val="24"/>
        </w:rPr>
      </w:pPr>
      <w:r w:rsidRPr="0051471A">
        <w:rPr>
          <w:rFonts w:cs="Arial"/>
          <w:b/>
          <w:smallCaps/>
          <w:sz w:val="24"/>
        </w:rPr>
        <w:t>Veza</w:t>
      </w:r>
    </w:p>
    <w:p w14:paraId="5821A9A9" w14:textId="77777777" w:rsidR="00B6080E" w:rsidRPr="0051471A" w:rsidRDefault="00B6080E" w:rsidP="00B6080E">
      <w:pPr>
        <w:spacing w:after="0" w:line="240" w:lineRule="auto"/>
        <w:ind w:left="2268"/>
        <w:rPr>
          <w:rFonts w:cs="Arial"/>
        </w:rPr>
      </w:pPr>
      <w:r>
        <w:t>Ugovor o financijskoj potpori za nastavak suradnje na području energetike i energetske učinkovitosti za 2016.</w:t>
      </w:r>
    </w:p>
    <w:p w14:paraId="1E76A545" w14:textId="77777777" w:rsidR="00B6080E" w:rsidRPr="0051471A" w:rsidRDefault="00B6080E" w:rsidP="00B6080E">
      <w:pPr>
        <w:spacing w:after="0" w:line="240" w:lineRule="auto"/>
        <w:rPr>
          <w:rFonts w:cs="Arial"/>
          <w:b/>
          <w:sz w:val="32"/>
        </w:rPr>
      </w:pPr>
    </w:p>
    <w:p w14:paraId="48AEF89F" w14:textId="11ADEE40" w:rsidR="00B6080E" w:rsidRDefault="00B6080E" w:rsidP="00B6080E">
      <w:pPr>
        <w:spacing w:after="0" w:line="240" w:lineRule="auto"/>
        <w:jc w:val="center"/>
        <w:rPr>
          <w:rFonts w:cs="Arial"/>
          <w:b/>
          <w:sz w:val="36"/>
          <w:szCs w:val="36"/>
        </w:rPr>
      </w:pPr>
    </w:p>
    <w:p w14:paraId="70FBD8B7" w14:textId="0D32C041" w:rsidR="001402C4" w:rsidRPr="007C7920" w:rsidRDefault="0097704C" w:rsidP="0097704C">
      <w:pPr>
        <w:spacing w:after="0" w:line="240" w:lineRule="auto"/>
        <w:jc w:val="center"/>
        <w:rPr>
          <w:rFonts w:cs="Arial"/>
          <w:b/>
          <w:sz w:val="36"/>
          <w:szCs w:val="36"/>
          <w:highlight w:val="yellow"/>
        </w:rPr>
      </w:pPr>
      <w:r>
        <w:rPr>
          <w:rFonts w:cs="Arial"/>
          <w:b/>
          <w:sz w:val="36"/>
          <w:szCs w:val="36"/>
        </w:rPr>
        <w:t>PRILOG 6</w:t>
      </w:r>
    </w:p>
    <w:p w14:paraId="23D73448" w14:textId="77777777" w:rsidR="004D3C67" w:rsidRPr="00570B5A" w:rsidRDefault="004D3C67" w:rsidP="00E92750">
      <w:pPr>
        <w:spacing w:line="240" w:lineRule="auto"/>
        <w:jc w:val="both"/>
        <w:rPr>
          <w:rFonts w:cs="Arial"/>
          <w:b/>
          <w:sz w:val="36"/>
          <w:szCs w:val="36"/>
        </w:rPr>
      </w:pPr>
    </w:p>
    <w:p w14:paraId="6EFC3A3B" w14:textId="7572F64C" w:rsidR="00F17604" w:rsidRPr="00570B5A" w:rsidRDefault="00570B5A" w:rsidP="00E92750">
      <w:pPr>
        <w:spacing w:line="240" w:lineRule="auto"/>
        <w:jc w:val="center"/>
        <w:rPr>
          <w:b/>
          <w:sz w:val="32"/>
          <w:szCs w:val="32"/>
        </w:rPr>
      </w:pPr>
      <w:r w:rsidRPr="00570B5A">
        <w:rPr>
          <w:rFonts w:cstheme="minorHAnsi"/>
          <w:b/>
          <w:sz w:val="32"/>
          <w:szCs w:val="32"/>
        </w:rPr>
        <w:t>REVIZIJA AKCIJSKOG PLANA ENERGETSKI ODRŽIVOG RAZVITKA GRADA ZAGREBA</w:t>
      </w:r>
    </w:p>
    <w:p w14:paraId="455EA594" w14:textId="017EB386" w:rsidR="004D3C67" w:rsidRPr="0099199D" w:rsidRDefault="004D3C67" w:rsidP="00E92750">
      <w:pPr>
        <w:spacing w:line="240" w:lineRule="auto"/>
        <w:jc w:val="center"/>
        <w:rPr>
          <w:b/>
          <w:sz w:val="32"/>
          <w:szCs w:val="32"/>
        </w:rPr>
      </w:pPr>
    </w:p>
    <w:p w14:paraId="5934BC96" w14:textId="77777777" w:rsidR="00B8442C" w:rsidRPr="007C7920" w:rsidRDefault="00B8442C" w:rsidP="00E92750">
      <w:pPr>
        <w:spacing w:line="240" w:lineRule="auto"/>
        <w:jc w:val="center"/>
        <w:rPr>
          <w:b/>
          <w:sz w:val="32"/>
          <w:szCs w:val="32"/>
          <w:highlight w:val="yellow"/>
        </w:rPr>
      </w:pPr>
    </w:p>
    <w:p w14:paraId="69989421" w14:textId="77777777" w:rsidR="00AD21FA" w:rsidRPr="00570B5A" w:rsidRDefault="00AD21FA" w:rsidP="00E92750">
      <w:pPr>
        <w:pStyle w:val="Naslovstudije0"/>
        <w:tabs>
          <w:tab w:val="left" w:pos="5400"/>
        </w:tabs>
        <w:jc w:val="both"/>
        <w:rPr>
          <w:rFonts w:asciiTheme="minorHAnsi" w:hAnsiTheme="minorHAnsi" w:cs="Calibri"/>
          <w:bCs/>
          <w:smallCaps/>
          <w:sz w:val="24"/>
          <w:szCs w:val="24"/>
        </w:rPr>
      </w:pPr>
      <w:r w:rsidRPr="00570B5A">
        <w:rPr>
          <w:rFonts w:asciiTheme="minorHAnsi" w:hAnsiTheme="minorHAnsi" w:cs="Calibri"/>
          <w:bCs/>
          <w:smallCaps/>
          <w:sz w:val="24"/>
          <w:szCs w:val="24"/>
        </w:rPr>
        <w:t xml:space="preserve">Izdavač: </w:t>
      </w:r>
    </w:p>
    <w:p w14:paraId="1D77B631" w14:textId="77777777" w:rsidR="00AD21FA" w:rsidRPr="00570B5A" w:rsidRDefault="00AD21FA" w:rsidP="00E92750">
      <w:pPr>
        <w:pStyle w:val="Naslovstudije0"/>
        <w:tabs>
          <w:tab w:val="left" w:pos="5400"/>
        </w:tabs>
        <w:jc w:val="both"/>
        <w:rPr>
          <w:rFonts w:asciiTheme="minorHAnsi" w:hAnsiTheme="minorHAnsi"/>
          <w:b w:val="0"/>
          <w:sz w:val="24"/>
          <w:szCs w:val="24"/>
        </w:rPr>
      </w:pPr>
      <w:r w:rsidRPr="00570B5A">
        <w:rPr>
          <w:rFonts w:asciiTheme="minorHAnsi" w:hAnsiTheme="minorHAnsi"/>
          <w:b w:val="0"/>
          <w:sz w:val="24"/>
          <w:szCs w:val="24"/>
        </w:rPr>
        <w:t>Regionalna energetska agencija Sjeverozapadne Hrvatske</w:t>
      </w:r>
    </w:p>
    <w:p w14:paraId="1495477A" w14:textId="77777777" w:rsidR="00AD21FA" w:rsidRPr="00570B5A" w:rsidRDefault="00AD21FA" w:rsidP="00E92750">
      <w:pPr>
        <w:pStyle w:val="Naslovstudije0"/>
        <w:tabs>
          <w:tab w:val="left" w:pos="5400"/>
        </w:tabs>
        <w:jc w:val="both"/>
        <w:rPr>
          <w:rFonts w:asciiTheme="minorHAnsi" w:hAnsiTheme="minorHAnsi"/>
          <w:b w:val="0"/>
          <w:sz w:val="24"/>
          <w:szCs w:val="24"/>
        </w:rPr>
      </w:pPr>
      <w:r w:rsidRPr="00570B5A">
        <w:rPr>
          <w:rFonts w:asciiTheme="minorHAnsi" w:hAnsiTheme="minorHAnsi"/>
          <w:b w:val="0"/>
          <w:sz w:val="24"/>
          <w:szCs w:val="24"/>
        </w:rPr>
        <w:t>Andrije Žaje 10</w:t>
      </w:r>
    </w:p>
    <w:p w14:paraId="3DE3C659" w14:textId="77777777" w:rsidR="00AD21FA" w:rsidRPr="00570B5A" w:rsidRDefault="00AD21FA" w:rsidP="00E92750">
      <w:pPr>
        <w:pStyle w:val="Naslovstudije0"/>
        <w:tabs>
          <w:tab w:val="left" w:pos="5400"/>
        </w:tabs>
        <w:jc w:val="both"/>
        <w:rPr>
          <w:rFonts w:asciiTheme="minorHAnsi" w:hAnsiTheme="minorHAnsi"/>
          <w:b w:val="0"/>
          <w:sz w:val="24"/>
          <w:szCs w:val="24"/>
        </w:rPr>
      </w:pPr>
      <w:r w:rsidRPr="00570B5A">
        <w:rPr>
          <w:rFonts w:asciiTheme="minorHAnsi" w:hAnsiTheme="minorHAnsi"/>
          <w:b w:val="0"/>
          <w:sz w:val="24"/>
          <w:szCs w:val="24"/>
        </w:rPr>
        <w:t>10 000 Zagreb</w:t>
      </w:r>
    </w:p>
    <w:p w14:paraId="663D128E" w14:textId="77777777" w:rsidR="00AD21FA" w:rsidRPr="00570B5A" w:rsidRDefault="00AD21FA" w:rsidP="00E92750">
      <w:pPr>
        <w:pStyle w:val="Naslovstudije0"/>
        <w:tabs>
          <w:tab w:val="left" w:pos="5400"/>
        </w:tabs>
        <w:jc w:val="both"/>
        <w:rPr>
          <w:rFonts w:asciiTheme="minorHAnsi" w:hAnsiTheme="minorHAnsi"/>
          <w:b w:val="0"/>
          <w:sz w:val="24"/>
          <w:szCs w:val="24"/>
        </w:rPr>
      </w:pPr>
      <w:r w:rsidRPr="00570B5A">
        <w:rPr>
          <w:rFonts w:asciiTheme="minorHAnsi" w:hAnsiTheme="minorHAnsi"/>
          <w:b w:val="0"/>
          <w:sz w:val="24"/>
          <w:szCs w:val="24"/>
        </w:rPr>
        <w:t>http://www.regea.org</w:t>
      </w:r>
    </w:p>
    <w:p w14:paraId="4FFDC3B3" w14:textId="77777777" w:rsidR="00AD21FA" w:rsidRPr="007C7920" w:rsidRDefault="00AD21FA" w:rsidP="00E92750">
      <w:pPr>
        <w:spacing w:after="0" w:line="240" w:lineRule="auto"/>
        <w:jc w:val="both"/>
        <w:rPr>
          <w:rFonts w:cs="Arial"/>
          <w:b/>
          <w:iCs/>
          <w:sz w:val="36"/>
          <w:szCs w:val="36"/>
          <w:highlight w:val="yellow"/>
        </w:rPr>
      </w:pPr>
    </w:p>
    <w:tbl>
      <w:tblPr>
        <w:tblW w:w="7488" w:type="dxa"/>
        <w:tblLayout w:type="fixed"/>
        <w:tblLook w:val="01E0" w:firstRow="1" w:lastRow="1" w:firstColumn="1" w:lastColumn="1" w:noHBand="0" w:noVBand="0"/>
      </w:tblPr>
      <w:tblGrid>
        <w:gridCol w:w="2088"/>
        <w:gridCol w:w="5400"/>
      </w:tblGrid>
      <w:tr w:rsidR="00AD21FA" w:rsidRPr="00570B5A" w14:paraId="3E16B13E" w14:textId="77777777" w:rsidTr="00AD21FA">
        <w:tc>
          <w:tcPr>
            <w:tcW w:w="2088" w:type="dxa"/>
          </w:tcPr>
          <w:p w14:paraId="55499C5E" w14:textId="77777777" w:rsidR="00AD21FA" w:rsidRPr="00570B5A" w:rsidRDefault="00AD21FA"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jc w:val="both"/>
            </w:pPr>
            <w:r w:rsidRPr="00570B5A">
              <w:rPr>
                <w:rFonts w:cs="Arial"/>
                <w:b/>
                <w:bCs/>
                <w:smallCaps/>
                <w:sz w:val="24"/>
                <w:szCs w:val="18"/>
              </w:rPr>
              <w:t>Autori:</w:t>
            </w:r>
          </w:p>
        </w:tc>
        <w:tc>
          <w:tcPr>
            <w:tcW w:w="5400" w:type="dxa"/>
            <w:vAlign w:val="center"/>
          </w:tcPr>
          <w:p w14:paraId="0400A309" w14:textId="77777777" w:rsidR="00AD21FA" w:rsidRPr="00570B5A" w:rsidRDefault="00AD21FA" w:rsidP="00E92750">
            <w:pPr>
              <w:spacing w:after="0" w:line="240" w:lineRule="auto"/>
              <w:jc w:val="both"/>
              <w:rPr>
                <w:rFonts w:cs="Arial"/>
              </w:rPr>
            </w:pPr>
            <w:r w:rsidRPr="00570B5A">
              <w:rPr>
                <w:rFonts w:cs="Arial"/>
              </w:rPr>
              <w:t>Mihaela Mehadžić, dipl.</w:t>
            </w:r>
            <w:r w:rsidR="00D85B6F" w:rsidRPr="00570B5A">
              <w:rPr>
                <w:rFonts w:cs="Arial"/>
              </w:rPr>
              <w:t xml:space="preserve"> </w:t>
            </w:r>
            <w:r w:rsidRPr="00570B5A">
              <w:rPr>
                <w:rFonts w:cs="Arial"/>
              </w:rPr>
              <w:t>oec.</w:t>
            </w:r>
          </w:p>
          <w:p w14:paraId="22A66EB4" w14:textId="191680A4" w:rsidR="00130A2B" w:rsidRPr="00570B5A" w:rsidRDefault="00130A2B"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jc w:val="both"/>
            </w:pPr>
            <w:r w:rsidRPr="00570B5A">
              <w:t>Mr.sc. Velimir Šegon</w:t>
            </w:r>
          </w:p>
          <w:p w14:paraId="277B3E6D" w14:textId="77777777" w:rsidR="00F17604" w:rsidRPr="00570B5A" w:rsidRDefault="00DF4E87"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jc w:val="both"/>
              <w:rPr>
                <w:rFonts w:cs="Arial"/>
              </w:rPr>
            </w:pPr>
            <w:r w:rsidRPr="00570B5A">
              <w:t>Hrvoje Maras, dipl. oec.</w:t>
            </w:r>
          </w:p>
        </w:tc>
      </w:tr>
      <w:tr w:rsidR="00AD21FA" w:rsidRPr="00570B5A" w14:paraId="66AF6278" w14:textId="77777777" w:rsidTr="00AD21FA">
        <w:tc>
          <w:tcPr>
            <w:tcW w:w="2088" w:type="dxa"/>
          </w:tcPr>
          <w:p w14:paraId="079A629B" w14:textId="45D96A88" w:rsidR="00DC3649" w:rsidRPr="00570B5A" w:rsidRDefault="00DC3649"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jc w:val="both"/>
            </w:pPr>
          </w:p>
          <w:p w14:paraId="68DBDB99" w14:textId="77777777" w:rsidR="00AD21FA" w:rsidRPr="00570B5A" w:rsidRDefault="00AD21FA" w:rsidP="00E92750">
            <w:pPr>
              <w:spacing w:line="240" w:lineRule="auto"/>
            </w:pPr>
          </w:p>
        </w:tc>
        <w:tc>
          <w:tcPr>
            <w:tcW w:w="5400" w:type="dxa"/>
            <w:vAlign w:val="center"/>
          </w:tcPr>
          <w:p w14:paraId="5CFCBB6E" w14:textId="77777777" w:rsidR="000447E0" w:rsidRPr="00570B5A" w:rsidRDefault="000447E0"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jc w:val="both"/>
            </w:pPr>
          </w:p>
        </w:tc>
      </w:tr>
      <w:tr w:rsidR="00AD21FA" w:rsidRPr="00570B5A" w14:paraId="7309FB0D" w14:textId="77777777" w:rsidTr="00AD21FA">
        <w:tc>
          <w:tcPr>
            <w:tcW w:w="2088" w:type="dxa"/>
          </w:tcPr>
          <w:p w14:paraId="71618AEE" w14:textId="77777777" w:rsidR="00AD21FA" w:rsidRPr="00570B5A" w:rsidRDefault="00AD21FA"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jc w:val="both"/>
            </w:pPr>
            <w:r w:rsidRPr="00570B5A">
              <w:rPr>
                <w:rFonts w:cs="Arial"/>
                <w:b/>
                <w:bCs/>
                <w:smallCaps/>
                <w:sz w:val="24"/>
                <w:szCs w:val="18"/>
              </w:rPr>
              <w:t>Voditelj Projekta:</w:t>
            </w:r>
          </w:p>
        </w:tc>
        <w:tc>
          <w:tcPr>
            <w:tcW w:w="5400" w:type="dxa"/>
            <w:vAlign w:val="center"/>
          </w:tcPr>
          <w:p w14:paraId="01DD1F96" w14:textId="77777777" w:rsidR="004D3C67" w:rsidRPr="00570B5A" w:rsidRDefault="004D3C67" w:rsidP="00E92750">
            <w:pPr>
              <w:spacing w:after="0" w:line="240" w:lineRule="auto"/>
              <w:jc w:val="both"/>
              <w:rPr>
                <w:rFonts w:cs="Arial"/>
              </w:rPr>
            </w:pPr>
            <w:r w:rsidRPr="00570B5A">
              <w:rPr>
                <w:rFonts w:cs="Arial"/>
              </w:rPr>
              <w:t>Mihaela Mehadžić, dipl. oec.</w:t>
            </w:r>
          </w:p>
          <w:p w14:paraId="107703ED" w14:textId="77777777" w:rsidR="00E93E1B" w:rsidRPr="00570B5A" w:rsidRDefault="00E93E1B" w:rsidP="00E92750">
            <w:pPr>
              <w:spacing w:after="0" w:line="240" w:lineRule="auto"/>
              <w:jc w:val="both"/>
              <w:rPr>
                <w:rFonts w:cs="Arial"/>
              </w:rPr>
            </w:pPr>
          </w:p>
          <w:p w14:paraId="305CCBFA" w14:textId="77777777" w:rsidR="00AD21FA" w:rsidRPr="00570B5A" w:rsidRDefault="00AD21FA" w:rsidP="00E92750">
            <w:pPr>
              <w:spacing w:after="0" w:line="240" w:lineRule="auto"/>
              <w:ind w:left="162"/>
              <w:jc w:val="both"/>
            </w:pPr>
          </w:p>
        </w:tc>
      </w:tr>
      <w:tr w:rsidR="00AD21FA" w:rsidRPr="007C7920" w14:paraId="3AEF4A03" w14:textId="77777777" w:rsidTr="00E93E1B">
        <w:tc>
          <w:tcPr>
            <w:tcW w:w="2088" w:type="dxa"/>
          </w:tcPr>
          <w:p w14:paraId="60F11BA1" w14:textId="3D1F6341" w:rsidR="00AD21FA" w:rsidRPr="00570B5A" w:rsidRDefault="00AD21FA"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rPr>
                <w:b/>
              </w:rPr>
            </w:pPr>
          </w:p>
        </w:tc>
        <w:tc>
          <w:tcPr>
            <w:tcW w:w="5400" w:type="dxa"/>
            <w:vAlign w:val="center"/>
          </w:tcPr>
          <w:p w14:paraId="50210AF4" w14:textId="77777777" w:rsidR="00E93E1B" w:rsidRDefault="00E93E1B" w:rsidP="00E92750">
            <w:pPr>
              <w:spacing w:after="0" w:line="240" w:lineRule="auto"/>
              <w:jc w:val="both"/>
            </w:pPr>
          </w:p>
          <w:p w14:paraId="1CBDDDB6" w14:textId="20D205D3" w:rsidR="001B33B3" w:rsidRPr="00570B5A" w:rsidRDefault="001B33B3" w:rsidP="00E92750">
            <w:pPr>
              <w:spacing w:after="0" w:line="240" w:lineRule="auto"/>
              <w:jc w:val="both"/>
            </w:pPr>
          </w:p>
        </w:tc>
      </w:tr>
    </w:tbl>
    <w:p w14:paraId="21C02103" w14:textId="77777777" w:rsidR="00BA716A" w:rsidRPr="007C7920" w:rsidRDefault="00BA716A" w:rsidP="00E92750">
      <w:pPr>
        <w:spacing w:after="0" w:line="240" w:lineRule="auto"/>
        <w:jc w:val="both"/>
        <w:rPr>
          <w:rFonts w:cs="Arial"/>
          <w:highlight w:val="yellow"/>
        </w:rPr>
      </w:pPr>
    </w:p>
    <w:tbl>
      <w:tblPr>
        <w:tblW w:w="9648" w:type="dxa"/>
        <w:tblLook w:val="01E0" w:firstRow="1" w:lastRow="1" w:firstColumn="1" w:lastColumn="1" w:noHBand="0" w:noVBand="0"/>
      </w:tblPr>
      <w:tblGrid>
        <w:gridCol w:w="6498"/>
        <w:gridCol w:w="3150"/>
      </w:tblGrid>
      <w:tr w:rsidR="00AD21FA" w:rsidRPr="007C7920" w14:paraId="77D88F6B" w14:textId="77777777" w:rsidTr="00AD21FA">
        <w:tc>
          <w:tcPr>
            <w:tcW w:w="6498" w:type="dxa"/>
          </w:tcPr>
          <w:p w14:paraId="0C7D0166" w14:textId="77777777" w:rsidR="00AD21FA" w:rsidRPr="00570B5A" w:rsidRDefault="00AD21FA"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pPr>
            <w:r w:rsidRPr="00570B5A">
              <w:rPr>
                <w:rFonts w:cs="Arial"/>
                <w:b/>
                <w:bCs/>
                <w:smallCaps/>
                <w:sz w:val="24"/>
                <w:szCs w:val="18"/>
              </w:rPr>
              <w:t>Odobrio Voditelj Projekta:</w:t>
            </w:r>
          </w:p>
          <w:p w14:paraId="32AB4CA5" w14:textId="77777777" w:rsidR="00AD21FA" w:rsidRPr="00570B5A" w:rsidRDefault="00AD21FA"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pPr>
          </w:p>
          <w:p w14:paraId="70A81E52" w14:textId="77777777" w:rsidR="00AD21FA" w:rsidRPr="00570B5A" w:rsidRDefault="00AD21FA"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pPr>
          </w:p>
          <w:p w14:paraId="72F8B5A2" w14:textId="77777777" w:rsidR="004D3C67" w:rsidRPr="00570B5A" w:rsidRDefault="004D3C67"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pPr>
          </w:p>
          <w:p w14:paraId="43E74F5F" w14:textId="77777777" w:rsidR="004D3C67" w:rsidRPr="00570B5A" w:rsidRDefault="004D3C67" w:rsidP="00E92750">
            <w:pPr>
              <w:spacing w:after="0" w:line="240" w:lineRule="auto"/>
              <w:jc w:val="both"/>
              <w:rPr>
                <w:rFonts w:cs="Arial"/>
              </w:rPr>
            </w:pPr>
            <w:r w:rsidRPr="00570B5A">
              <w:rPr>
                <w:rFonts w:cs="Arial"/>
              </w:rPr>
              <w:t>Mihaela Mehadžić, dipl. oec.</w:t>
            </w:r>
          </w:p>
          <w:p w14:paraId="30304B35" w14:textId="77777777" w:rsidR="00AD21FA" w:rsidRPr="00570B5A" w:rsidRDefault="00AD21FA" w:rsidP="00E92750">
            <w:pPr>
              <w:spacing w:after="0" w:line="240" w:lineRule="auto"/>
            </w:pPr>
          </w:p>
        </w:tc>
        <w:tc>
          <w:tcPr>
            <w:tcW w:w="3150" w:type="dxa"/>
          </w:tcPr>
          <w:p w14:paraId="47C20DC4" w14:textId="77777777" w:rsidR="00AD21FA" w:rsidRPr="00570B5A" w:rsidRDefault="00AD21FA"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jc w:val="center"/>
            </w:pPr>
            <w:r w:rsidRPr="00570B5A">
              <w:rPr>
                <w:rFonts w:cs="Arial"/>
                <w:b/>
                <w:bCs/>
                <w:smallCaps/>
                <w:sz w:val="24"/>
                <w:szCs w:val="18"/>
              </w:rPr>
              <w:t>Odobrio Ravnatelj</w:t>
            </w:r>
            <w:r w:rsidRPr="00570B5A">
              <w:t>:</w:t>
            </w:r>
          </w:p>
          <w:p w14:paraId="7A96E60D" w14:textId="77777777" w:rsidR="00AD21FA" w:rsidRPr="00570B5A" w:rsidRDefault="00AD21FA"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jc w:val="center"/>
            </w:pPr>
          </w:p>
          <w:p w14:paraId="683D8827" w14:textId="77777777" w:rsidR="00AD21FA" w:rsidRPr="00570B5A" w:rsidRDefault="00AD21FA"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jc w:val="center"/>
            </w:pPr>
          </w:p>
          <w:p w14:paraId="4A5CEA4F" w14:textId="77777777" w:rsidR="004D3C67" w:rsidRPr="00570B5A" w:rsidRDefault="004D3C67" w:rsidP="00E92750">
            <w:pPr>
              <w:tabs>
                <w:tab w:val="left" w:pos="1440"/>
                <w:tab w:val="left" w:pos="2160"/>
                <w:tab w:val="left" w:pos="2880"/>
                <w:tab w:val="left" w:pos="3600"/>
                <w:tab w:val="left" w:pos="4320"/>
                <w:tab w:val="left" w:pos="5103"/>
                <w:tab w:val="left" w:pos="5760"/>
                <w:tab w:val="left" w:pos="6480"/>
                <w:tab w:val="left" w:pos="7200"/>
                <w:tab w:val="left" w:pos="7920"/>
              </w:tabs>
              <w:spacing w:after="0" w:line="240" w:lineRule="auto"/>
              <w:jc w:val="center"/>
            </w:pPr>
          </w:p>
          <w:p w14:paraId="1B9D2D1E" w14:textId="41C5B698" w:rsidR="00AD21FA" w:rsidRPr="00570B5A" w:rsidRDefault="00AD21FA" w:rsidP="00E92750">
            <w:pPr>
              <w:spacing w:after="0" w:line="240" w:lineRule="auto"/>
              <w:jc w:val="center"/>
            </w:pPr>
            <w:r w:rsidRPr="00570B5A">
              <w:rPr>
                <w:rFonts w:cs="Arial"/>
              </w:rPr>
              <w:t>Dr.sc. Julije Domac</w:t>
            </w:r>
          </w:p>
        </w:tc>
      </w:tr>
    </w:tbl>
    <w:p w14:paraId="6C83DF6C" w14:textId="06B9A8B4" w:rsidR="00454FCE" w:rsidRPr="00890AA7" w:rsidRDefault="00080E71" w:rsidP="00E92750">
      <w:pPr>
        <w:spacing w:line="240" w:lineRule="auto"/>
        <w:jc w:val="center"/>
        <w:rPr>
          <w:rFonts w:eastAsia="Calibri" w:cs="Times New Roman"/>
        </w:rPr>
      </w:pPr>
      <w:r w:rsidRPr="00890AA7">
        <w:rPr>
          <w:rFonts w:cs="Arial"/>
          <w:b/>
        </w:rPr>
        <w:t xml:space="preserve">Zagreb, </w:t>
      </w:r>
      <w:r w:rsidR="00D30A97" w:rsidRPr="00890AA7">
        <w:rPr>
          <w:rFonts w:cs="Arial"/>
          <w:b/>
        </w:rPr>
        <w:t>prosinac</w:t>
      </w:r>
      <w:r w:rsidR="00867FA7" w:rsidRPr="00890AA7">
        <w:rPr>
          <w:rFonts w:cs="Arial"/>
          <w:b/>
        </w:rPr>
        <w:t xml:space="preserve"> 2016</w:t>
      </w:r>
      <w:r w:rsidR="00AD21FA" w:rsidRPr="00890AA7">
        <w:rPr>
          <w:rFonts w:cs="Arial"/>
          <w:b/>
        </w:rPr>
        <w:t>.</w:t>
      </w:r>
    </w:p>
    <w:p w14:paraId="380759A5" w14:textId="77777777" w:rsidR="00454FCE" w:rsidRPr="007C7920" w:rsidRDefault="00454FCE" w:rsidP="00E92750">
      <w:pPr>
        <w:spacing w:line="240" w:lineRule="auto"/>
        <w:jc w:val="both"/>
        <w:rPr>
          <w:rFonts w:eastAsia="Calibri" w:cs="Times New Roman"/>
          <w:highlight w:val="yellow"/>
        </w:rPr>
        <w:sectPr w:rsidR="00454FCE" w:rsidRPr="007C7920" w:rsidSect="001906BE">
          <w:headerReference w:type="default" r:id="rId13"/>
          <w:footerReference w:type="default" r:id="rId14"/>
          <w:pgSz w:w="11906" w:h="16838"/>
          <w:pgMar w:top="1417" w:right="1417" w:bottom="1417" w:left="1417" w:header="708" w:footer="708" w:gutter="0"/>
          <w:cols w:space="708"/>
          <w:titlePg/>
          <w:docGrid w:linePitch="360"/>
        </w:sectPr>
      </w:pPr>
    </w:p>
    <w:p w14:paraId="0D06E09E" w14:textId="75B26DB7" w:rsidR="00454FCE" w:rsidRPr="00C25433" w:rsidRDefault="00454FCE" w:rsidP="00E92750">
      <w:pPr>
        <w:tabs>
          <w:tab w:val="left" w:pos="3810"/>
        </w:tabs>
        <w:spacing w:line="240" w:lineRule="auto"/>
        <w:rPr>
          <w:b/>
          <w:sz w:val="28"/>
          <w:szCs w:val="28"/>
        </w:rPr>
      </w:pPr>
      <w:r w:rsidRPr="00C25433">
        <w:rPr>
          <w:b/>
          <w:sz w:val="28"/>
          <w:szCs w:val="28"/>
        </w:rPr>
        <w:lastRenderedPageBreak/>
        <w:t>SADRŽAJ</w:t>
      </w:r>
      <w:r w:rsidR="003F4874" w:rsidRPr="00C25433">
        <w:rPr>
          <w:b/>
          <w:sz w:val="28"/>
          <w:szCs w:val="28"/>
        </w:rPr>
        <w:tab/>
      </w:r>
    </w:p>
    <w:sdt>
      <w:sdtPr>
        <w:rPr>
          <w:rFonts w:asciiTheme="minorHAnsi" w:eastAsiaTheme="minorHAnsi" w:hAnsiTheme="minorHAnsi" w:cstheme="minorBidi"/>
          <w:b w:val="0"/>
          <w:bCs w:val="0"/>
          <w:color w:val="auto"/>
          <w:sz w:val="20"/>
          <w:szCs w:val="20"/>
          <w:highlight w:val="yellow"/>
          <w:lang w:val="hr-HR"/>
        </w:rPr>
        <w:id w:val="-1542206277"/>
        <w:docPartObj>
          <w:docPartGallery w:val="Table of Contents"/>
          <w:docPartUnique/>
        </w:docPartObj>
      </w:sdtPr>
      <w:sdtEndPr>
        <w:rPr>
          <w:noProof/>
        </w:rPr>
      </w:sdtEndPr>
      <w:sdtContent>
        <w:p w14:paraId="5BE3C06C" w14:textId="77777777" w:rsidR="001E386F" w:rsidRPr="007C7920" w:rsidRDefault="001E386F" w:rsidP="00E92750">
          <w:pPr>
            <w:pStyle w:val="TOCHeading"/>
            <w:numPr>
              <w:ilvl w:val="0"/>
              <w:numId w:val="0"/>
            </w:numPr>
            <w:spacing w:line="240" w:lineRule="auto"/>
            <w:ind w:left="432" w:hanging="432"/>
            <w:jc w:val="both"/>
            <w:rPr>
              <w:rFonts w:asciiTheme="minorHAnsi" w:hAnsiTheme="minorHAnsi"/>
              <w:b w:val="0"/>
              <w:sz w:val="20"/>
              <w:szCs w:val="20"/>
              <w:highlight w:val="yellow"/>
              <w:lang w:val="hr-HR"/>
            </w:rPr>
          </w:pPr>
        </w:p>
        <w:p w14:paraId="40A4CE87" w14:textId="491D6CFF" w:rsidR="00B6080E" w:rsidRDefault="00963146">
          <w:pPr>
            <w:pStyle w:val="TOC1"/>
            <w:rPr>
              <w:rFonts w:asciiTheme="minorHAnsi" w:eastAsiaTheme="minorEastAsia" w:hAnsiTheme="minorHAnsi" w:cstheme="minorBidi"/>
              <w:b w:val="0"/>
              <w:bCs w:val="0"/>
              <w:caps w:val="0"/>
              <w:szCs w:val="22"/>
              <w:lang w:val="en-US"/>
            </w:rPr>
          </w:pPr>
          <w:r>
            <w:rPr>
              <w:b w:val="0"/>
              <w:bCs w:val="0"/>
              <w:caps w:val="0"/>
              <w:sz w:val="20"/>
              <w:szCs w:val="20"/>
              <w:highlight w:val="yellow"/>
            </w:rPr>
            <w:fldChar w:fldCharType="begin"/>
          </w:r>
          <w:r>
            <w:rPr>
              <w:b w:val="0"/>
              <w:bCs w:val="0"/>
              <w:caps w:val="0"/>
              <w:sz w:val="20"/>
              <w:szCs w:val="20"/>
              <w:highlight w:val="yellow"/>
            </w:rPr>
            <w:instrText xml:space="preserve"> TOC \o "1-4" \h \z \u </w:instrText>
          </w:r>
          <w:r>
            <w:rPr>
              <w:b w:val="0"/>
              <w:bCs w:val="0"/>
              <w:caps w:val="0"/>
              <w:sz w:val="20"/>
              <w:szCs w:val="20"/>
              <w:highlight w:val="yellow"/>
            </w:rPr>
            <w:fldChar w:fldCharType="separate"/>
          </w:r>
          <w:hyperlink w:anchor="_Toc468345336" w:history="1">
            <w:r w:rsidR="00B6080E" w:rsidRPr="005555ED">
              <w:rPr>
                <w:rStyle w:val="Hyperlink"/>
                <w:rFonts w:eastAsiaTheme="majorEastAsia" w:cstheme="majorBidi"/>
              </w:rPr>
              <w:t>SAŽETAK</w:t>
            </w:r>
            <w:r w:rsidR="00B6080E">
              <w:rPr>
                <w:webHidden/>
              </w:rPr>
              <w:tab/>
            </w:r>
            <w:r w:rsidR="00B6080E">
              <w:rPr>
                <w:webHidden/>
              </w:rPr>
              <w:fldChar w:fldCharType="begin"/>
            </w:r>
            <w:r w:rsidR="00B6080E">
              <w:rPr>
                <w:webHidden/>
              </w:rPr>
              <w:instrText xml:space="preserve"> PAGEREF _Toc468345336 \h </w:instrText>
            </w:r>
            <w:r w:rsidR="00B6080E">
              <w:rPr>
                <w:webHidden/>
              </w:rPr>
            </w:r>
            <w:r w:rsidR="00B6080E">
              <w:rPr>
                <w:webHidden/>
              </w:rPr>
              <w:fldChar w:fldCharType="separate"/>
            </w:r>
            <w:r w:rsidR="00B6080E">
              <w:rPr>
                <w:webHidden/>
              </w:rPr>
              <w:t>1</w:t>
            </w:r>
            <w:r w:rsidR="00B6080E">
              <w:rPr>
                <w:webHidden/>
              </w:rPr>
              <w:fldChar w:fldCharType="end"/>
            </w:r>
          </w:hyperlink>
        </w:p>
        <w:p w14:paraId="0D93DC59" w14:textId="7DAA4AB1" w:rsidR="00B6080E" w:rsidRDefault="00323A51">
          <w:pPr>
            <w:pStyle w:val="TOC1"/>
            <w:rPr>
              <w:rFonts w:asciiTheme="minorHAnsi" w:eastAsiaTheme="minorEastAsia" w:hAnsiTheme="minorHAnsi" w:cstheme="minorBidi"/>
              <w:b w:val="0"/>
              <w:bCs w:val="0"/>
              <w:caps w:val="0"/>
              <w:szCs w:val="22"/>
              <w:lang w:val="en-US"/>
            </w:rPr>
          </w:pPr>
          <w:hyperlink w:anchor="_Toc468345337" w:history="1">
            <w:r w:rsidR="00B6080E" w:rsidRPr="005555ED">
              <w:rPr>
                <w:rStyle w:val="Hyperlink"/>
              </w:rPr>
              <w:t>1</w:t>
            </w:r>
            <w:r w:rsidR="00B6080E">
              <w:rPr>
                <w:rFonts w:asciiTheme="minorHAnsi" w:eastAsiaTheme="minorEastAsia" w:hAnsiTheme="minorHAnsi" w:cstheme="minorBidi"/>
                <w:b w:val="0"/>
                <w:bCs w:val="0"/>
                <w:caps w:val="0"/>
                <w:szCs w:val="22"/>
                <w:lang w:val="en-US"/>
              </w:rPr>
              <w:tab/>
            </w:r>
            <w:r w:rsidR="00B6080E" w:rsidRPr="005555ED">
              <w:rPr>
                <w:rStyle w:val="Hyperlink"/>
              </w:rPr>
              <w:t>UVOD</w:t>
            </w:r>
            <w:r w:rsidR="00B6080E">
              <w:rPr>
                <w:webHidden/>
              </w:rPr>
              <w:tab/>
            </w:r>
            <w:r w:rsidR="00B6080E">
              <w:rPr>
                <w:webHidden/>
              </w:rPr>
              <w:fldChar w:fldCharType="begin"/>
            </w:r>
            <w:r w:rsidR="00B6080E">
              <w:rPr>
                <w:webHidden/>
              </w:rPr>
              <w:instrText xml:space="preserve"> PAGEREF _Toc468345337 \h </w:instrText>
            </w:r>
            <w:r w:rsidR="00B6080E">
              <w:rPr>
                <w:webHidden/>
              </w:rPr>
            </w:r>
            <w:r w:rsidR="00B6080E">
              <w:rPr>
                <w:webHidden/>
              </w:rPr>
              <w:fldChar w:fldCharType="separate"/>
            </w:r>
            <w:r w:rsidR="00B6080E">
              <w:rPr>
                <w:webHidden/>
              </w:rPr>
              <w:t>2</w:t>
            </w:r>
            <w:r w:rsidR="00B6080E">
              <w:rPr>
                <w:webHidden/>
              </w:rPr>
              <w:fldChar w:fldCharType="end"/>
            </w:r>
          </w:hyperlink>
        </w:p>
        <w:p w14:paraId="7C790ADC" w14:textId="7B01AF53" w:rsidR="00B6080E" w:rsidRDefault="00323A51">
          <w:pPr>
            <w:pStyle w:val="TOC2"/>
            <w:rPr>
              <w:rFonts w:asciiTheme="minorHAnsi" w:eastAsiaTheme="minorEastAsia" w:hAnsiTheme="minorHAnsi" w:cstheme="minorBidi"/>
              <w:smallCaps w:val="0"/>
              <w:noProof/>
              <w:sz w:val="22"/>
              <w:szCs w:val="22"/>
              <w:lang w:val="en-US"/>
            </w:rPr>
          </w:pPr>
          <w:hyperlink w:anchor="_Toc468345338" w:history="1">
            <w:r w:rsidR="00B6080E" w:rsidRPr="005555ED">
              <w:rPr>
                <w:rStyle w:val="Hyperlink"/>
                <w:rFonts w:eastAsia="Calibri"/>
                <w:noProof/>
                <w14:scene3d>
                  <w14:camera w14:prst="orthographicFront"/>
                  <w14:lightRig w14:rig="threePt" w14:dir="t">
                    <w14:rot w14:lat="0" w14:lon="0" w14:rev="0"/>
                  </w14:lightRig>
                </w14:scene3d>
              </w:rPr>
              <w:t>1.1</w:t>
            </w:r>
            <w:r w:rsidR="00B6080E">
              <w:rPr>
                <w:rFonts w:asciiTheme="minorHAnsi" w:eastAsiaTheme="minorEastAsia" w:hAnsiTheme="minorHAnsi" w:cstheme="minorBidi"/>
                <w:smallCaps w:val="0"/>
                <w:noProof/>
                <w:sz w:val="22"/>
                <w:szCs w:val="22"/>
                <w:lang w:val="en-US"/>
              </w:rPr>
              <w:tab/>
            </w:r>
            <w:r w:rsidR="00B6080E" w:rsidRPr="005555ED">
              <w:rPr>
                <w:rStyle w:val="Hyperlink"/>
                <w:rFonts w:eastAsia="Calibri"/>
                <w:noProof/>
              </w:rPr>
              <w:t>ŠTO JE AKCIJSKI PLAN ENERGETSKI ODRŽIVOG RAZVITKA GRADA ZAGREBA – SEAP?</w:t>
            </w:r>
            <w:r w:rsidR="00B6080E">
              <w:rPr>
                <w:noProof/>
                <w:webHidden/>
              </w:rPr>
              <w:tab/>
            </w:r>
            <w:r w:rsidR="00B6080E">
              <w:rPr>
                <w:noProof/>
                <w:webHidden/>
              </w:rPr>
              <w:fldChar w:fldCharType="begin"/>
            </w:r>
            <w:r w:rsidR="00B6080E">
              <w:rPr>
                <w:noProof/>
                <w:webHidden/>
              </w:rPr>
              <w:instrText xml:space="preserve"> PAGEREF _Toc468345338 \h </w:instrText>
            </w:r>
            <w:r w:rsidR="00B6080E">
              <w:rPr>
                <w:noProof/>
                <w:webHidden/>
              </w:rPr>
            </w:r>
            <w:r w:rsidR="00B6080E">
              <w:rPr>
                <w:noProof/>
                <w:webHidden/>
              </w:rPr>
              <w:fldChar w:fldCharType="separate"/>
            </w:r>
            <w:r w:rsidR="00B6080E">
              <w:rPr>
                <w:noProof/>
                <w:webHidden/>
              </w:rPr>
              <w:t>2</w:t>
            </w:r>
            <w:r w:rsidR="00B6080E">
              <w:rPr>
                <w:noProof/>
                <w:webHidden/>
              </w:rPr>
              <w:fldChar w:fldCharType="end"/>
            </w:r>
          </w:hyperlink>
        </w:p>
        <w:p w14:paraId="4AA29388" w14:textId="2173EBFF" w:rsidR="00B6080E" w:rsidRDefault="00323A51">
          <w:pPr>
            <w:pStyle w:val="TOC2"/>
            <w:rPr>
              <w:rFonts w:asciiTheme="minorHAnsi" w:eastAsiaTheme="minorEastAsia" w:hAnsiTheme="minorHAnsi" w:cstheme="minorBidi"/>
              <w:smallCaps w:val="0"/>
              <w:noProof/>
              <w:sz w:val="22"/>
              <w:szCs w:val="22"/>
              <w:lang w:val="en-US"/>
            </w:rPr>
          </w:pPr>
          <w:hyperlink w:anchor="_Toc468345339" w:history="1">
            <w:r w:rsidR="00B6080E" w:rsidRPr="005555ED">
              <w:rPr>
                <w:rStyle w:val="Hyperlink"/>
                <w:noProof/>
                <w14:scene3d>
                  <w14:camera w14:prst="orthographicFront"/>
                  <w14:lightRig w14:rig="threePt" w14:dir="t">
                    <w14:rot w14:lat="0" w14:lon="0" w14:rev="0"/>
                  </w14:lightRig>
                </w14:scene3d>
              </w:rPr>
              <w:t>1.2</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RAZVITAK EU INICIJATIVE SPRORAZUM GRADONAČELNIKA</w:t>
            </w:r>
            <w:r w:rsidR="00B6080E">
              <w:rPr>
                <w:noProof/>
                <w:webHidden/>
              </w:rPr>
              <w:tab/>
            </w:r>
            <w:r w:rsidR="00B6080E">
              <w:rPr>
                <w:noProof/>
                <w:webHidden/>
              </w:rPr>
              <w:fldChar w:fldCharType="begin"/>
            </w:r>
            <w:r w:rsidR="00B6080E">
              <w:rPr>
                <w:noProof/>
                <w:webHidden/>
              </w:rPr>
              <w:instrText xml:space="preserve"> PAGEREF _Toc468345339 \h </w:instrText>
            </w:r>
            <w:r w:rsidR="00B6080E">
              <w:rPr>
                <w:noProof/>
                <w:webHidden/>
              </w:rPr>
            </w:r>
            <w:r w:rsidR="00B6080E">
              <w:rPr>
                <w:noProof/>
                <w:webHidden/>
              </w:rPr>
              <w:fldChar w:fldCharType="separate"/>
            </w:r>
            <w:r w:rsidR="00B6080E">
              <w:rPr>
                <w:noProof/>
                <w:webHidden/>
              </w:rPr>
              <w:t>2</w:t>
            </w:r>
            <w:r w:rsidR="00B6080E">
              <w:rPr>
                <w:noProof/>
                <w:webHidden/>
              </w:rPr>
              <w:fldChar w:fldCharType="end"/>
            </w:r>
          </w:hyperlink>
        </w:p>
        <w:p w14:paraId="5A029AC0" w14:textId="490FD340" w:rsidR="00B6080E" w:rsidRDefault="00323A51">
          <w:pPr>
            <w:pStyle w:val="TOC2"/>
            <w:rPr>
              <w:rFonts w:asciiTheme="minorHAnsi" w:eastAsiaTheme="minorEastAsia" w:hAnsiTheme="minorHAnsi" w:cstheme="minorBidi"/>
              <w:smallCaps w:val="0"/>
              <w:noProof/>
              <w:sz w:val="22"/>
              <w:szCs w:val="22"/>
              <w:lang w:val="en-US"/>
            </w:rPr>
          </w:pPr>
          <w:hyperlink w:anchor="_Toc468345340" w:history="1">
            <w:r w:rsidR="00B6080E" w:rsidRPr="005555ED">
              <w:rPr>
                <w:rStyle w:val="Hyperlink"/>
                <w:noProof/>
                <w14:scene3d>
                  <w14:camera w14:prst="orthographicFront"/>
                  <w14:lightRig w14:rig="threePt" w14:dir="t">
                    <w14:rot w14:lat="0" w14:lon="0" w14:rev="0"/>
                  </w14:lightRig>
                </w14:scene3d>
              </w:rPr>
              <w:t>1.3</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CILJEVI REVIZIJE AKCIJSKOG PLANA</w:t>
            </w:r>
            <w:r w:rsidR="00B6080E">
              <w:rPr>
                <w:noProof/>
                <w:webHidden/>
              </w:rPr>
              <w:tab/>
            </w:r>
            <w:r w:rsidR="00B6080E">
              <w:rPr>
                <w:noProof/>
                <w:webHidden/>
              </w:rPr>
              <w:fldChar w:fldCharType="begin"/>
            </w:r>
            <w:r w:rsidR="00B6080E">
              <w:rPr>
                <w:noProof/>
                <w:webHidden/>
              </w:rPr>
              <w:instrText xml:space="preserve"> PAGEREF _Toc468345340 \h </w:instrText>
            </w:r>
            <w:r w:rsidR="00B6080E">
              <w:rPr>
                <w:noProof/>
                <w:webHidden/>
              </w:rPr>
            </w:r>
            <w:r w:rsidR="00B6080E">
              <w:rPr>
                <w:noProof/>
                <w:webHidden/>
              </w:rPr>
              <w:fldChar w:fldCharType="separate"/>
            </w:r>
            <w:r w:rsidR="00B6080E">
              <w:rPr>
                <w:noProof/>
                <w:webHidden/>
              </w:rPr>
              <w:t>3</w:t>
            </w:r>
            <w:r w:rsidR="00B6080E">
              <w:rPr>
                <w:noProof/>
                <w:webHidden/>
              </w:rPr>
              <w:fldChar w:fldCharType="end"/>
            </w:r>
          </w:hyperlink>
        </w:p>
        <w:p w14:paraId="30F7A97E" w14:textId="31192F34" w:rsidR="00B6080E" w:rsidRDefault="00323A51">
          <w:pPr>
            <w:pStyle w:val="TOC2"/>
            <w:rPr>
              <w:rFonts w:asciiTheme="minorHAnsi" w:eastAsiaTheme="minorEastAsia" w:hAnsiTheme="minorHAnsi" w:cstheme="minorBidi"/>
              <w:smallCaps w:val="0"/>
              <w:noProof/>
              <w:sz w:val="22"/>
              <w:szCs w:val="22"/>
              <w:lang w:val="en-US"/>
            </w:rPr>
          </w:pPr>
          <w:hyperlink w:anchor="_Toc468345341" w:history="1">
            <w:r w:rsidR="00B6080E" w:rsidRPr="005555ED">
              <w:rPr>
                <w:rStyle w:val="Hyperlink"/>
                <w:rFonts w:cstheme="majorBidi"/>
                <w:noProof/>
                <w14:scene3d>
                  <w14:camera w14:prst="orthographicFront"/>
                  <w14:lightRig w14:rig="threePt" w14:dir="t">
                    <w14:rot w14:lat="0" w14:lon="0" w14:rev="0"/>
                  </w14:lightRig>
                </w14:scene3d>
              </w:rPr>
              <w:t>1.4</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ENERGETSKA POLITIKA GRADA ZAGREBA</w:t>
            </w:r>
            <w:r w:rsidR="00B6080E">
              <w:rPr>
                <w:noProof/>
                <w:webHidden/>
              </w:rPr>
              <w:tab/>
            </w:r>
            <w:r w:rsidR="00B6080E">
              <w:rPr>
                <w:noProof/>
                <w:webHidden/>
              </w:rPr>
              <w:fldChar w:fldCharType="begin"/>
            </w:r>
            <w:r w:rsidR="00B6080E">
              <w:rPr>
                <w:noProof/>
                <w:webHidden/>
              </w:rPr>
              <w:instrText xml:space="preserve"> PAGEREF _Toc468345341 \h </w:instrText>
            </w:r>
            <w:r w:rsidR="00B6080E">
              <w:rPr>
                <w:noProof/>
                <w:webHidden/>
              </w:rPr>
            </w:r>
            <w:r w:rsidR="00B6080E">
              <w:rPr>
                <w:noProof/>
                <w:webHidden/>
              </w:rPr>
              <w:fldChar w:fldCharType="separate"/>
            </w:r>
            <w:r w:rsidR="00B6080E">
              <w:rPr>
                <w:noProof/>
                <w:webHidden/>
              </w:rPr>
              <w:t>4</w:t>
            </w:r>
            <w:r w:rsidR="00B6080E">
              <w:rPr>
                <w:noProof/>
                <w:webHidden/>
              </w:rPr>
              <w:fldChar w:fldCharType="end"/>
            </w:r>
          </w:hyperlink>
        </w:p>
        <w:p w14:paraId="282E1646" w14:textId="52D59B13" w:rsidR="00B6080E" w:rsidRDefault="00323A51">
          <w:pPr>
            <w:pStyle w:val="TOC1"/>
            <w:rPr>
              <w:rFonts w:asciiTheme="minorHAnsi" w:eastAsiaTheme="minorEastAsia" w:hAnsiTheme="minorHAnsi" w:cstheme="minorBidi"/>
              <w:b w:val="0"/>
              <w:bCs w:val="0"/>
              <w:caps w:val="0"/>
              <w:szCs w:val="22"/>
              <w:lang w:val="en-US"/>
            </w:rPr>
          </w:pPr>
          <w:hyperlink w:anchor="_Toc468345342" w:history="1">
            <w:r w:rsidR="00B6080E" w:rsidRPr="005555ED">
              <w:rPr>
                <w:rStyle w:val="Hyperlink"/>
              </w:rPr>
              <w:t>2</w:t>
            </w:r>
            <w:r w:rsidR="00B6080E">
              <w:rPr>
                <w:rFonts w:asciiTheme="minorHAnsi" w:eastAsiaTheme="minorEastAsia" w:hAnsiTheme="minorHAnsi" w:cstheme="minorBidi"/>
                <w:b w:val="0"/>
                <w:bCs w:val="0"/>
                <w:caps w:val="0"/>
                <w:szCs w:val="22"/>
                <w:lang w:val="en-US"/>
              </w:rPr>
              <w:tab/>
            </w:r>
            <w:r w:rsidR="00B6080E" w:rsidRPr="005555ED">
              <w:rPr>
                <w:rStyle w:val="Hyperlink"/>
              </w:rPr>
              <w:t>METODOLOGIJA I IZVORI PODATAKA</w:t>
            </w:r>
            <w:r w:rsidR="00B6080E">
              <w:rPr>
                <w:webHidden/>
              </w:rPr>
              <w:tab/>
            </w:r>
            <w:r w:rsidR="00B6080E">
              <w:rPr>
                <w:webHidden/>
              </w:rPr>
              <w:fldChar w:fldCharType="begin"/>
            </w:r>
            <w:r w:rsidR="00B6080E">
              <w:rPr>
                <w:webHidden/>
              </w:rPr>
              <w:instrText xml:space="preserve"> PAGEREF _Toc468345342 \h </w:instrText>
            </w:r>
            <w:r w:rsidR="00B6080E">
              <w:rPr>
                <w:webHidden/>
              </w:rPr>
            </w:r>
            <w:r w:rsidR="00B6080E">
              <w:rPr>
                <w:webHidden/>
              </w:rPr>
              <w:fldChar w:fldCharType="separate"/>
            </w:r>
            <w:r w:rsidR="00B6080E">
              <w:rPr>
                <w:webHidden/>
              </w:rPr>
              <w:t>6</w:t>
            </w:r>
            <w:r w:rsidR="00B6080E">
              <w:rPr>
                <w:webHidden/>
              </w:rPr>
              <w:fldChar w:fldCharType="end"/>
            </w:r>
          </w:hyperlink>
        </w:p>
        <w:p w14:paraId="0B194A8F" w14:textId="66E40CE6" w:rsidR="00B6080E" w:rsidRDefault="00323A51">
          <w:pPr>
            <w:pStyle w:val="TOC1"/>
            <w:rPr>
              <w:rFonts w:asciiTheme="minorHAnsi" w:eastAsiaTheme="minorEastAsia" w:hAnsiTheme="minorHAnsi" w:cstheme="minorBidi"/>
              <w:b w:val="0"/>
              <w:bCs w:val="0"/>
              <w:caps w:val="0"/>
              <w:szCs w:val="22"/>
              <w:lang w:val="en-US"/>
            </w:rPr>
          </w:pPr>
          <w:hyperlink w:anchor="_Toc468345343" w:history="1">
            <w:r w:rsidR="00B6080E" w:rsidRPr="005555ED">
              <w:rPr>
                <w:rStyle w:val="Hyperlink"/>
              </w:rPr>
              <w:t>3</w:t>
            </w:r>
            <w:r w:rsidR="00B6080E">
              <w:rPr>
                <w:rFonts w:asciiTheme="minorHAnsi" w:eastAsiaTheme="minorEastAsia" w:hAnsiTheme="minorHAnsi" w:cstheme="minorBidi"/>
                <w:b w:val="0"/>
                <w:bCs w:val="0"/>
                <w:caps w:val="0"/>
                <w:szCs w:val="22"/>
                <w:lang w:val="en-US"/>
              </w:rPr>
              <w:tab/>
            </w:r>
            <w:r w:rsidR="00B6080E" w:rsidRPr="005555ED">
              <w:rPr>
                <w:rStyle w:val="Hyperlink"/>
              </w:rPr>
              <w:t>PRAĆENJE I IZVJEŠTAVANJE O PROVEDBI AKCIJSKOG PLANA ENERGETSKI ODRŽIVOG RAZVITKA GRADA ZAGREBA</w:t>
            </w:r>
            <w:r w:rsidR="00B6080E">
              <w:rPr>
                <w:webHidden/>
              </w:rPr>
              <w:tab/>
            </w:r>
            <w:r w:rsidR="00B6080E">
              <w:rPr>
                <w:webHidden/>
              </w:rPr>
              <w:fldChar w:fldCharType="begin"/>
            </w:r>
            <w:r w:rsidR="00B6080E">
              <w:rPr>
                <w:webHidden/>
              </w:rPr>
              <w:instrText xml:space="preserve"> PAGEREF _Toc468345343 \h </w:instrText>
            </w:r>
            <w:r w:rsidR="00B6080E">
              <w:rPr>
                <w:webHidden/>
              </w:rPr>
            </w:r>
            <w:r w:rsidR="00B6080E">
              <w:rPr>
                <w:webHidden/>
              </w:rPr>
              <w:fldChar w:fldCharType="separate"/>
            </w:r>
            <w:r w:rsidR="00B6080E">
              <w:rPr>
                <w:webHidden/>
              </w:rPr>
              <w:t>8</w:t>
            </w:r>
            <w:r w:rsidR="00B6080E">
              <w:rPr>
                <w:webHidden/>
              </w:rPr>
              <w:fldChar w:fldCharType="end"/>
            </w:r>
          </w:hyperlink>
        </w:p>
        <w:p w14:paraId="644DFC3B" w14:textId="4FD266C9" w:rsidR="00B6080E" w:rsidRDefault="00323A51">
          <w:pPr>
            <w:pStyle w:val="TOC1"/>
            <w:rPr>
              <w:rFonts w:asciiTheme="minorHAnsi" w:eastAsiaTheme="minorEastAsia" w:hAnsiTheme="minorHAnsi" w:cstheme="minorBidi"/>
              <w:b w:val="0"/>
              <w:bCs w:val="0"/>
              <w:caps w:val="0"/>
              <w:szCs w:val="22"/>
              <w:lang w:val="en-US"/>
            </w:rPr>
          </w:pPr>
          <w:hyperlink w:anchor="_Toc468345344" w:history="1">
            <w:r w:rsidR="00B6080E" w:rsidRPr="005555ED">
              <w:rPr>
                <w:rStyle w:val="Hyperlink"/>
              </w:rPr>
              <w:t>4</w:t>
            </w:r>
            <w:r w:rsidR="00B6080E">
              <w:rPr>
                <w:rFonts w:asciiTheme="minorHAnsi" w:eastAsiaTheme="minorEastAsia" w:hAnsiTheme="minorHAnsi" w:cstheme="minorBidi"/>
                <w:b w:val="0"/>
                <w:bCs w:val="0"/>
                <w:caps w:val="0"/>
                <w:szCs w:val="22"/>
                <w:lang w:val="en-US"/>
              </w:rPr>
              <w:tab/>
            </w:r>
            <w:r w:rsidR="00B6080E" w:rsidRPr="005555ED">
              <w:rPr>
                <w:rStyle w:val="Hyperlink"/>
              </w:rPr>
              <w:t>ANALIZA ENERGETSKE POTROŠNJE U SEKTORU ZGRADARSTVA GRADA ZAGREBA U 2015. GODINI</w:t>
            </w:r>
            <w:r w:rsidR="00B6080E">
              <w:rPr>
                <w:webHidden/>
              </w:rPr>
              <w:tab/>
            </w:r>
            <w:r w:rsidR="00B6080E">
              <w:rPr>
                <w:webHidden/>
              </w:rPr>
              <w:fldChar w:fldCharType="begin"/>
            </w:r>
            <w:r w:rsidR="00B6080E">
              <w:rPr>
                <w:webHidden/>
              </w:rPr>
              <w:instrText xml:space="preserve"> PAGEREF _Toc468345344 \h </w:instrText>
            </w:r>
            <w:r w:rsidR="00B6080E">
              <w:rPr>
                <w:webHidden/>
              </w:rPr>
            </w:r>
            <w:r w:rsidR="00B6080E">
              <w:rPr>
                <w:webHidden/>
              </w:rPr>
              <w:fldChar w:fldCharType="separate"/>
            </w:r>
            <w:r w:rsidR="00B6080E">
              <w:rPr>
                <w:webHidden/>
              </w:rPr>
              <w:t>9</w:t>
            </w:r>
            <w:r w:rsidR="00B6080E">
              <w:rPr>
                <w:webHidden/>
              </w:rPr>
              <w:fldChar w:fldCharType="end"/>
            </w:r>
          </w:hyperlink>
        </w:p>
        <w:p w14:paraId="1ED24AB0" w14:textId="42581813" w:rsidR="00B6080E" w:rsidRDefault="00323A51">
          <w:pPr>
            <w:pStyle w:val="TOC2"/>
            <w:rPr>
              <w:rFonts w:asciiTheme="minorHAnsi" w:eastAsiaTheme="minorEastAsia" w:hAnsiTheme="minorHAnsi" w:cstheme="minorBidi"/>
              <w:smallCaps w:val="0"/>
              <w:noProof/>
              <w:sz w:val="22"/>
              <w:szCs w:val="22"/>
              <w:lang w:val="en-US"/>
            </w:rPr>
          </w:pPr>
          <w:hyperlink w:anchor="_Toc468345345" w:history="1">
            <w:r w:rsidR="00B6080E" w:rsidRPr="005555ED">
              <w:rPr>
                <w:rStyle w:val="Hyperlink"/>
                <w:noProof/>
                <w14:scene3d>
                  <w14:camera w14:prst="orthographicFront"/>
                  <w14:lightRig w14:rig="threePt" w14:dir="t">
                    <w14:rot w14:lat="0" w14:lon="0" w14:rev="0"/>
                  </w14:lightRig>
                </w14:scene3d>
              </w:rPr>
              <w:t>4.1</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ANALIZA ENERGETSKE POTROŠNJE PODSEKTORA STAMBENE I JAVNE ZGRADE U VLASNIŠTVU GRADA ZAGREBA U 2015. GODINI</w:t>
            </w:r>
            <w:r w:rsidR="00B6080E">
              <w:rPr>
                <w:noProof/>
                <w:webHidden/>
              </w:rPr>
              <w:tab/>
            </w:r>
            <w:r w:rsidR="00B6080E">
              <w:rPr>
                <w:noProof/>
                <w:webHidden/>
              </w:rPr>
              <w:fldChar w:fldCharType="begin"/>
            </w:r>
            <w:r w:rsidR="00B6080E">
              <w:rPr>
                <w:noProof/>
                <w:webHidden/>
              </w:rPr>
              <w:instrText xml:space="preserve"> PAGEREF _Toc468345345 \h </w:instrText>
            </w:r>
            <w:r w:rsidR="00B6080E">
              <w:rPr>
                <w:noProof/>
                <w:webHidden/>
              </w:rPr>
            </w:r>
            <w:r w:rsidR="00B6080E">
              <w:rPr>
                <w:noProof/>
                <w:webHidden/>
              </w:rPr>
              <w:fldChar w:fldCharType="separate"/>
            </w:r>
            <w:r w:rsidR="00B6080E">
              <w:rPr>
                <w:noProof/>
                <w:webHidden/>
              </w:rPr>
              <w:t>9</w:t>
            </w:r>
            <w:r w:rsidR="00B6080E">
              <w:rPr>
                <w:noProof/>
                <w:webHidden/>
              </w:rPr>
              <w:fldChar w:fldCharType="end"/>
            </w:r>
          </w:hyperlink>
        </w:p>
        <w:p w14:paraId="048800F5" w14:textId="0D7E05BB" w:rsidR="00B6080E" w:rsidRDefault="00323A51">
          <w:pPr>
            <w:pStyle w:val="TOC2"/>
            <w:rPr>
              <w:rFonts w:asciiTheme="minorHAnsi" w:eastAsiaTheme="minorEastAsia" w:hAnsiTheme="minorHAnsi" w:cstheme="minorBidi"/>
              <w:smallCaps w:val="0"/>
              <w:noProof/>
              <w:sz w:val="22"/>
              <w:szCs w:val="22"/>
              <w:lang w:val="en-US"/>
            </w:rPr>
          </w:pPr>
          <w:hyperlink w:anchor="_Toc468345346" w:history="1">
            <w:r w:rsidR="00B6080E" w:rsidRPr="005555ED">
              <w:rPr>
                <w:rStyle w:val="Hyperlink"/>
                <w:noProof/>
                <w14:scene3d>
                  <w14:camera w14:prst="orthographicFront"/>
                  <w14:lightRig w14:rig="threePt" w14:dir="t">
                    <w14:rot w14:lat="0" w14:lon="0" w14:rev="0"/>
                  </w14:lightRig>
                </w14:scene3d>
              </w:rPr>
              <w:t>4.2</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ZGRADE U VLASNIŠTVU GRADA ZAGREBA</w:t>
            </w:r>
            <w:r w:rsidR="00B6080E">
              <w:rPr>
                <w:noProof/>
                <w:webHidden/>
              </w:rPr>
              <w:tab/>
            </w:r>
            <w:r w:rsidR="00B6080E">
              <w:rPr>
                <w:noProof/>
                <w:webHidden/>
              </w:rPr>
              <w:fldChar w:fldCharType="begin"/>
            </w:r>
            <w:r w:rsidR="00B6080E">
              <w:rPr>
                <w:noProof/>
                <w:webHidden/>
              </w:rPr>
              <w:instrText xml:space="preserve"> PAGEREF _Toc468345346 \h </w:instrText>
            </w:r>
            <w:r w:rsidR="00B6080E">
              <w:rPr>
                <w:noProof/>
                <w:webHidden/>
              </w:rPr>
            </w:r>
            <w:r w:rsidR="00B6080E">
              <w:rPr>
                <w:noProof/>
                <w:webHidden/>
              </w:rPr>
              <w:fldChar w:fldCharType="separate"/>
            </w:r>
            <w:r w:rsidR="00B6080E">
              <w:rPr>
                <w:noProof/>
                <w:webHidden/>
              </w:rPr>
              <w:t>10</w:t>
            </w:r>
            <w:r w:rsidR="00B6080E">
              <w:rPr>
                <w:noProof/>
                <w:webHidden/>
              </w:rPr>
              <w:fldChar w:fldCharType="end"/>
            </w:r>
          </w:hyperlink>
        </w:p>
        <w:p w14:paraId="70996143" w14:textId="00800971" w:rsidR="00B6080E" w:rsidRDefault="00323A51">
          <w:pPr>
            <w:pStyle w:val="TOC3"/>
            <w:rPr>
              <w:rFonts w:asciiTheme="minorHAnsi" w:eastAsiaTheme="minorEastAsia" w:hAnsiTheme="minorHAnsi" w:cstheme="minorBidi"/>
              <w:bCs w:val="0"/>
              <w:i w:val="0"/>
              <w:iCs w:val="0"/>
              <w:sz w:val="22"/>
              <w:szCs w:val="22"/>
              <w:lang w:val="en-US"/>
            </w:rPr>
          </w:pPr>
          <w:hyperlink w:anchor="_Toc468345347" w:history="1">
            <w:r w:rsidR="00B6080E" w:rsidRPr="005555ED">
              <w:rPr>
                <w:rStyle w:val="Hyperlink"/>
                <w:lang w:eastAsia="hr-HR"/>
                <w14:scene3d>
                  <w14:camera w14:prst="orthographicFront"/>
                  <w14:lightRig w14:rig="threePt" w14:dir="t">
                    <w14:rot w14:lat="0" w14:lon="0" w14:rev="0"/>
                  </w14:lightRig>
                </w14:scene3d>
              </w:rPr>
              <w:t>4.2.1</w:t>
            </w:r>
            <w:r w:rsidR="00B6080E">
              <w:rPr>
                <w:rFonts w:asciiTheme="minorHAnsi" w:eastAsiaTheme="minorEastAsia" w:hAnsiTheme="minorHAnsi" w:cstheme="minorBidi"/>
                <w:bCs w:val="0"/>
                <w:i w:val="0"/>
                <w:iCs w:val="0"/>
                <w:sz w:val="22"/>
                <w:szCs w:val="22"/>
                <w:lang w:val="en-US"/>
              </w:rPr>
              <w:tab/>
            </w:r>
            <w:r w:rsidR="00B6080E" w:rsidRPr="005555ED">
              <w:rPr>
                <w:rStyle w:val="Hyperlink"/>
                <w:lang w:eastAsia="hr-HR"/>
              </w:rPr>
              <w:t>Obrazovne ustanove u vlasništvu Grada Zagreba</w:t>
            </w:r>
            <w:r w:rsidR="00B6080E">
              <w:rPr>
                <w:webHidden/>
              </w:rPr>
              <w:tab/>
            </w:r>
            <w:r w:rsidR="00B6080E">
              <w:rPr>
                <w:webHidden/>
              </w:rPr>
              <w:fldChar w:fldCharType="begin"/>
            </w:r>
            <w:r w:rsidR="00B6080E">
              <w:rPr>
                <w:webHidden/>
              </w:rPr>
              <w:instrText xml:space="preserve"> PAGEREF _Toc468345347 \h </w:instrText>
            </w:r>
            <w:r w:rsidR="00B6080E">
              <w:rPr>
                <w:webHidden/>
              </w:rPr>
            </w:r>
            <w:r w:rsidR="00B6080E">
              <w:rPr>
                <w:webHidden/>
              </w:rPr>
              <w:fldChar w:fldCharType="separate"/>
            </w:r>
            <w:r w:rsidR="00B6080E">
              <w:rPr>
                <w:webHidden/>
              </w:rPr>
              <w:t>11</w:t>
            </w:r>
            <w:r w:rsidR="00B6080E">
              <w:rPr>
                <w:webHidden/>
              </w:rPr>
              <w:fldChar w:fldCharType="end"/>
            </w:r>
          </w:hyperlink>
        </w:p>
        <w:p w14:paraId="47353243" w14:textId="4D103701" w:rsidR="00B6080E" w:rsidRDefault="00323A51">
          <w:pPr>
            <w:pStyle w:val="TOC3"/>
            <w:rPr>
              <w:rFonts w:asciiTheme="minorHAnsi" w:eastAsiaTheme="minorEastAsia" w:hAnsiTheme="minorHAnsi" w:cstheme="minorBidi"/>
              <w:bCs w:val="0"/>
              <w:i w:val="0"/>
              <w:iCs w:val="0"/>
              <w:sz w:val="22"/>
              <w:szCs w:val="22"/>
              <w:lang w:val="en-US"/>
            </w:rPr>
          </w:pPr>
          <w:hyperlink w:anchor="_Toc468345348" w:history="1">
            <w:r w:rsidR="00B6080E" w:rsidRPr="005555ED">
              <w:rPr>
                <w:rStyle w:val="Hyperlink"/>
                <w:lang w:eastAsia="hr-HR"/>
                <w14:scene3d>
                  <w14:camera w14:prst="orthographicFront"/>
                  <w14:lightRig w14:rig="threePt" w14:dir="t">
                    <w14:rot w14:lat="0" w14:lon="0" w14:rev="0"/>
                  </w14:lightRig>
                </w14:scene3d>
              </w:rPr>
              <w:t>4.2.2</w:t>
            </w:r>
            <w:r w:rsidR="00B6080E">
              <w:rPr>
                <w:rFonts w:asciiTheme="minorHAnsi" w:eastAsiaTheme="minorEastAsia" w:hAnsiTheme="minorHAnsi" w:cstheme="minorBidi"/>
                <w:bCs w:val="0"/>
                <w:i w:val="0"/>
                <w:iCs w:val="0"/>
                <w:sz w:val="22"/>
                <w:szCs w:val="22"/>
                <w:lang w:val="en-US"/>
              </w:rPr>
              <w:tab/>
            </w:r>
            <w:r w:rsidR="00B6080E" w:rsidRPr="005555ED">
              <w:rPr>
                <w:rStyle w:val="Hyperlink"/>
                <w:lang w:eastAsia="hr-HR"/>
              </w:rPr>
              <w:t>Zdravstvene ustanove i ustanove socijalne zaštite u vlasništvu Grada Zagreba</w:t>
            </w:r>
            <w:r w:rsidR="00B6080E">
              <w:rPr>
                <w:webHidden/>
              </w:rPr>
              <w:tab/>
            </w:r>
            <w:r w:rsidR="00B6080E">
              <w:rPr>
                <w:webHidden/>
              </w:rPr>
              <w:fldChar w:fldCharType="begin"/>
            </w:r>
            <w:r w:rsidR="00B6080E">
              <w:rPr>
                <w:webHidden/>
              </w:rPr>
              <w:instrText xml:space="preserve"> PAGEREF _Toc468345348 \h </w:instrText>
            </w:r>
            <w:r w:rsidR="00B6080E">
              <w:rPr>
                <w:webHidden/>
              </w:rPr>
            </w:r>
            <w:r w:rsidR="00B6080E">
              <w:rPr>
                <w:webHidden/>
              </w:rPr>
              <w:fldChar w:fldCharType="separate"/>
            </w:r>
            <w:r w:rsidR="00B6080E">
              <w:rPr>
                <w:webHidden/>
              </w:rPr>
              <w:t>14</w:t>
            </w:r>
            <w:r w:rsidR="00B6080E">
              <w:rPr>
                <w:webHidden/>
              </w:rPr>
              <w:fldChar w:fldCharType="end"/>
            </w:r>
          </w:hyperlink>
        </w:p>
        <w:p w14:paraId="5ED615F8" w14:textId="5168222E" w:rsidR="00B6080E" w:rsidRDefault="00323A51">
          <w:pPr>
            <w:pStyle w:val="TOC3"/>
            <w:rPr>
              <w:rFonts w:asciiTheme="minorHAnsi" w:eastAsiaTheme="minorEastAsia" w:hAnsiTheme="minorHAnsi" w:cstheme="minorBidi"/>
              <w:bCs w:val="0"/>
              <w:i w:val="0"/>
              <w:iCs w:val="0"/>
              <w:sz w:val="22"/>
              <w:szCs w:val="22"/>
              <w:lang w:val="en-US"/>
            </w:rPr>
          </w:pPr>
          <w:hyperlink w:anchor="_Toc468345349" w:history="1">
            <w:r w:rsidR="00B6080E" w:rsidRPr="005555ED">
              <w:rPr>
                <w:rStyle w:val="Hyperlink"/>
                <w14:scene3d>
                  <w14:camera w14:prst="orthographicFront"/>
                  <w14:lightRig w14:rig="threePt" w14:dir="t">
                    <w14:rot w14:lat="0" w14:lon="0" w14:rev="0"/>
                  </w14:lightRig>
                </w14:scene3d>
              </w:rPr>
              <w:t>4.2.3</w:t>
            </w:r>
            <w:r w:rsidR="00B6080E">
              <w:rPr>
                <w:rFonts w:asciiTheme="minorHAnsi" w:eastAsiaTheme="minorEastAsia" w:hAnsiTheme="minorHAnsi" w:cstheme="minorBidi"/>
                <w:bCs w:val="0"/>
                <w:i w:val="0"/>
                <w:iCs w:val="0"/>
                <w:sz w:val="22"/>
                <w:szCs w:val="22"/>
                <w:lang w:val="en-US"/>
              </w:rPr>
              <w:tab/>
            </w:r>
            <w:r w:rsidR="00B6080E" w:rsidRPr="005555ED">
              <w:rPr>
                <w:rStyle w:val="Hyperlink"/>
              </w:rPr>
              <w:t>Kulturne ustanove u vlasništvu Grada Zagreba</w:t>
            </w:r>
            <w:r w:rsidR="00B6080E">
              <w:rPr>
                <w:webHidden/>
              </w:rPr>
              <w:tab/>
            </w:r>
            <w:r w:rsidR="00B6080E">
              <w:rPr>
                <w:webHidden/>
              </w:rPr>
              <w:fldChar w:fldCharType="begin"/>
            </w:r>
            <w:r w:rsidR="00B6080E">
              <w:rPr>
                <w:webHidden/>
              </w:rPr>
              <w:instrText xml:space="preserve"> PAGEREF _Toc468345349 \h </w:instrText>
            </w:r>
            <w:r w:rsidR="00B6080E">
              <w:rPr>
                <w:webHidden/>
              </w:rPr>
            </w:r>
            <w:r w:rsidR="00B6080E">
              <w:rPr>
                <w:webHidden/>
              </w:rPr>
              <w:fldChar w:fldCharType="separate"/>
            </w:r>
            <w:r w:rsidR="00B6080E">
              <w:rPr>
                <w:webHidden/>
              </w:rPr>
              <w:t>17</w:t>
            </w:r>
            <w:r w:rsidR="00B6080E">
              <w:rPr>
                <w:webHidden/>
              </w:rPr>
              <w:fldChar w:fldCharType="end"/>
            </w:r>
          </w:hyperlink>
        </w:p>
        <w:p w14:paraId="5615BEEF" w14:textId="2666FD5F" w:rsidR="00B6080E" w:rsidRDefault="00323A51">
          <w:pPr>
            <w:pStyle w:val="TOC3"/>
            <w:rPr>
              <w:rFonts w:asciiTheme="minorHAnsi" w:eastAsiaTheme="minorEastAsia" w:hAnsiTheme="minorHAnsi" w:cstheme="minorBidi"/>
              <w:bCs w:val="0"/>
              <w:i w:val="0"/>
              <w:iCs w:val="0"/>
              <w:sz w:val="22"/>
              <w:szCs w:val="22"/>
              <w:lang w:val="en-US"/>
            </w:rPr>
          </w:pPr>
          <w:hyperlink w:anchor="_Toc468345350" w:history="1">
            <w:r w:rsidR="00B6080E" w:rsidRPr="005555ED">
              <w:rPr>
                <w:rStyle w:val="Hyperlink"/>
                <w:lang w:eastAsia="hr-HR"/>
                <w14:scene3d>
                  <w14:camera w14:prst="orthographicFront"/>
                  <w14:lightRig w14:rig="threePt" w14:dir="t">
                    <w14:rot w14:lat="0" w14:lon="0" w14:rev="0"/>
                  </w14:lightRig>
                </w14:scene3d>
              </w:rPr>
              <w:t>4.2.4</w:t>
            </w:r>
            <w:r w:rsidR="00B6080E">
              <w:rPr>
                <w:rFonts w:asciiTheme="minorHAnsi" w:eastAsiaTheme="minorEastAsia" w:hAnsiTheme="minorHAnsi" w:cstheme="minorBidi"/>
                <w:bCs w:val="0"/>
                <w:i w:val="0"/>
                <w:iCs w:val="0"/>
                <w:sz w:val="22"/>
                <w:szCs w:val="22"/>
                <w:lang w:val="en-US"/>
              </w:rPr>
              <w:tab/>
            </w:r>
            <w:r w:rsidR="00B6080E" w:rsidRPr="005555ED">
              <w:rPr>
                <w:rStyle w:val="Hyperlink"/>
                <w:lang w:eastAsia="hr-HR"/>
              </w:rPr>
              <w:t>Zgrade Gradske uprave i mjesne samouprave</w:t>
            </w:r>
            <w:r w:rsidR="00B6080E">
              <w:rPr>
                <w:webHidden/>
              </w:rPr>
              <w:tab/>
            </w:r>
            <w:r w:rsidR="00B6080E">
              <w:rPr>
                <w:webHidden/>
              </w:rPr>
              <w:fldChar w:fldCharType="begin"/>
            </w:r>
            <w:r w:rsidR="00B6080E">
              <w:rPr>
                <w:webHidden/>
              </w:rPr>
              <w:instrText xml:space="preserve"> PAGEREF _Toc468345350 \h </w:instrText>
            </w:r>
            <w:r w:rsidR="00B6080E">
              <w:rPr>
                <w:webHidden/>
              </w:rPr>
            </w:r>
            <w:r w:rsidR="00B6080E">
              <w:rPr>
                <w:webHidden/>
              </w:rPr>
              <w:fldChar w:fldCharType="separate"/>
            </w:r>
            <w:r w:rsidR="00B6080E">
              <w:rPr>
                <w:webHidden/>
              </w:rPr>
              <w:t>20</w:t>
            </w:r>
            <w:r w:rsidR="00B6080E">
              <w:rPr>
                <w:webHidden/>
              </w:rPr>
              <w:fldChar w:fldCharType="end"/>
            </w:r>
          </w:hyperlink>
        </w:p>
        <w:p w14:paraId="1B4AA99F" w14:textId="28C0BBA0" w:rsidR="00B6080E" w:rsidRDefault="00323A51">
          <w:pPr>
            <w:pStyle w:val="TOC3"/>
            <w:rPr>
              <w:rFonts w:asciiTheme="minorHAnsi" w:eastAsiaTheme="minorEastAsia" w:hAnsiTheme="minorHAnsi" w:cstheme="minorBidi"/>
              <w:bCs w:val="0"/>
              <w:i w:val="0"/>
              <w:iCs w:val="0"/>
              <w:sz w:val="22"/>
              <w:szCs w:val="22"/>
              <w:lang w:val="en-US"/>
            </w:rPr>
          </w:pPr>
          <w:hyperlink w:anchor="_Toc468345351" w:history="1">
            <w:r w:rsidR="00B6080E" w:rsidRPr="005555ED">
              <w:rPr>
                <w:rStyle w:val="Hyperlink"/>
                <w:rFonts w:eastAsia="Calibri"/>
                <w14:scene3d>
                  <w14:camera w14:prst="orthographicFront"/>
                  <w14:lightRig w14:rig="threePt" w14:dir="t">
                    <w14:rot w14:lat="0" w14:lon="0" w14:rev="0"/>
                  </w14:lightRig>
                </w14:scene3d>
              </w:rPr>
              <w:t>4.2.5</w:t>
            </w:r>
            <w:r w:rsidR="00B6080E">
              <w:rPr>
                <w:rFonts w:asciiTheme="minorHAnsi" w:eastAsiaTheme="minorEastAsia" w:hAnsiTheme="minorHAnsi" w:cstheme="minorBidi"/>
                <w:bCs w:val="0"/>
                <w:i w:val="0"/>
                <w:iCs w:val="0"/>
                <w:sz w:val="22"/>
                <w:szCs w:val="22"/>
                <w:lang w:val="en-US"/>
              </w:rPr>
              <w:tab/>
            </w:r>
            <w:r w:rsidR="00B6080E" w:rsidRPr="005555ED">
              <w:rPr>
                <w:rStyle w:val="Hyperlink"/>
                <w:rFonts w:eastAsia="Calibri"/>
              </w:rPr>
              <w:t>Sportski objekti</w:t>
            </w:r>
            <w:r w:rsidR="00B6080E">
              <w:rPr>
                <w:webHidden/>
              </w:rPr>
              <w:tab/>
            </w:r>
            <w:r w:rsidR="00B6080E">
              <w:rPr>
                <w:webHidden/>
              </w:rPr>
              <w:fldChar w:fldCharType="begin"/>
            </w:r>
            <w:r w:rsidR="00B6080E">
              <w:rPr>
                <w:webHidden/>
              </w:rPr>
              <w:instrText xml:space="preserve"> PAGEREF _Toc468345351 \h </w:instrText>
            </w:r>
            <w:r w:rsidR="00B6080E">
              <w:rPr>
                <w:webHidden/>
              </w:rPr>
            </w:r>
            <w:r w:rsidR="00B6080E">
              <w:rPr>
                <w:webHidden/>
              </w:rPr>
              <w:fldChar w:fldCharType="separate"/>
            </w:r>
            <w:r w:rsidR="00B6080E">
              <w:rPr>
                <w:webHidden/>
              </w:rPr>
              <w:t>22</w:t>
            </w:r>
            <w:r w:rsidR="00B6080E">
              <w:rPr>
                <w:webHidden/>
              </w:rPr>
              <w:fldChar w:fldCharType="end"/>
            </w:r>
          </w:hyperlink>
        </w:p>
        <w:p w14:paraId="1A5A0797" w14:textId="4CC0067D" w:rsidR="00B6080E" w:rsidRDefault="00323A51">
          <w:pPr>
            <w:pStyle w:val="TOC3"/>
            <w:rPr>
              <w:rFonts w:asciiTheme="minorHAnsi" w:eastAsiaTheme="minorEastAsia" w:hAnsiTheme="minorHAnsi" w:cstheme="minorBidi"/>
              <w:bCs w:val="0"/>
              <w:i w:val="0"/>
              <w:iCs w:val="0"/>
              <w:sz w:val="22"/>
              <w:szCs w:val="22"/>
              <w:lang w:val="en-US"/>
            </w:rPr>
          </w:pPr>
          <w:hyperlink w:anchor="_Toc468345352" w:history="1">
            <w:r w:rsidR="00B6080E" w:rsidRPr="005555ED">
              <w:rPr>
                <w:rStyle w:val="Hyperlink"/>
                <w14:scene3d>
                  <w14:camera w14:prst="orthographicFront"/>
                  <w14:lightRig w14:rig="threePt" w14:dir="t">
                    <w14:rot w14:lat="0" w14:lon="0" w14:rev="0"/>
                  </w14:lightRig>
                </w14:scene3d>
              </w:rPr>
              <w:t>4.2.6</w:t>
            </w:r>
            <w:r w:rsidR="00B6080E">
              <w:rPr>
                <w:rFonts w:asciiTheme="minorHAnsi" w:eastAsiaTheme="minorEastAsia" w:hAnsiTheme="minorHAnsi" w:cstheme="minorBidi"/>
                <w:bCs w:val="0"/>
                <w:i w:val="0"/>
                <w:iCs w:val="0"/>
                <w:sz w:val="22"/>
                <w:szCs w:val="22"/>
                <w:lang w:val="en-US"/>
              </w:rPr>
              <w:tab/>
            </w:r>
            <w:r w:rsidR="00B6080E" w:rsidRPr="005555ED">
              <w:rPr>
                <w:rStyle w:val="Hyperlink"/>
              </w:rPr>
              <w:t>Poslovni prostori i stanovi u vlasništvu Grada Zagreba</w:t>
            </w:r>
            <w:r w:rsidR="00B6080E">
              <w:rPr>
                <w:webHidden/>
              </w:rPr>
              <w:tab/>
            </w:r>
            <w:r w:rsidR="00B6080E">
              <w:rPr>
                <w:webHidden/>
              </w:rPr>
              <w:fldChar w:fldCharType="begin"/>
            </w:r>
            <w:r w:rsidR="00B6080E">
              <w:rPr>
                <w:webHidden/>
              </w:rPr>
              <w:instrText xml:space="preserve"> PAGEREF _Toc468345352 \h </w:instrText>
            </w:r>
            <w:r w:rsidR="00B6080E">
              <w:rPr>
                <w:webHidden/>
              </w:rPr>
            </w:r>
            <w:r w:rsidR="00B6080E">
              <w:rPr>
                <w:webHidden/>
              </w:rPr>
              <w:fldChar w:fldCharType="separate"/>
            </w:r>
            <w:r w:rsidR="00B6080E">
              <w:rPr>
                <w:webHidden/>
              </w:rPr>
              <w:t>23</w:t>
            </w:r>
            <w:r w:rsidR="00B6080E">
              <w:rPr>
                <w:webHidden/>
              </w:rPr>
              <w:fldChar w:fldCharType="end"/>
            </w:r>
          </w:hyperlink>
        </w:p>
        <w:p w14:paraId="0AE1E2A2" w14:textId="58482196" w:rsidR="00B6080E" w:rsidRDefault="00323A51">
          <w:pPr>
            <w:pStyle w:val="TOC3"/>
            <w:rPr>
              <w:rFonts w:asciiTheme="minorHAnsi" w:eastAsiaTheme="minorEastAsia" w:hAnsiTheme="minorHAnsi" w:cstheme="minorBidi"/>
              <w:bCs w:val="0"/>
              <w:i w:val="0"/>
              <w:iCs w:val="0"/>
              <w:sz w:val="22"/>
              <w:szCs w:val="22"/>
              <w:lang w:val="en-US"/>
            </w:rPr>
          </w:pPr>
          <w:hyperlink w:anchor="_Toc468345353" w:history="1">
            <w:r w:rsidR="00B6080E" w:rsidRPr="005555ED">
              <w:rPr>
                <w:rStyle w:val="Hyperlink"/>
                <w:rFonts w:eastAsia="Calibri"/>
                <w14:scene3d>
                  <w14:camera w14:prst="orthographicFront"/>
                  <w14:lightRig w14:rig="threePt" w14:dir="t">
                    <w14:rot w14:lat="0" w14:lon="0" w14:rev="0"/>
                  </w14:lightRig>
                </w14:scene3d>
              </w:rPr>
              <w:t>4.2.7</w:t>
            </w:r>
            <w:r w:rsidR="00B6080E">
              <w:rPr>
                <w:rFonts w:asciiTheme="minorHAnsi" w:eastAsiaTheme="minorEastAsia" w:hAnsiTheme="minorHAnsi" w:cstheme="minorBidi"/>
                <w:bCs w:val="0"/>
                <w:i w:val="0"/>
                <w:iCs w:val="0"/>
                <w:sz w:val="22"/>
                <w:szCs w:val="22"/>
                <w:lang w:val="en-US"/>
              </w:rPr>
              <w:tab/>
            </w:r>
            <w:r w:rsidR="00B6080E" w:rsidRPr="005555ED">
              <w:rPr>
                <w:rStyle w:val="Hyperlink"/>
                <w:rFonts w:eastAsia="Calibri"/>
              </w:rPr>
              <w:t>Ostali objekti</w:t>
            </w:r>
            <w:r w:rsidR="00B6080E">
              <w:rPr>
                <w:webHidden/>
              </w:rPr>
              <w:tab/>
            </w:r>
            <w:r w:rsidR="00B6080E">
              <w:rPr>
                <w:webHidden/>
              </w:rPr>
              <w:fldChar w:fldCharType="begin"/>
            </w:r>
            <w:r w:rsidR="00B6080E">
              <w:rPr>
                <w:webHidden/>
              </w:rPr>
              <w:instrText xml:space="preserve"> PAGEREF _Toc468345353 \h </w:instrText>
            </w:r>
            <w:r w:rsidR="00B6080E">
              <w:rPr>
                <w:webHidden/>
              </w:rPr>
            </w:r>
            <w:r w:rsidR="00B6080E">
              <w:rPr>
                <w:webHidden/>
              </w:rPr>
              <w:fldChar w:fldCharType="separate"/>
            </w:r>
            <w:r w:rsidR="00B6080E">
              <w:rPr>
                <w:webHidden/>
              </w:rPr>
              <w:t>23</w:t>
            </w:r>
            <w:r w:rsidR="00B6080E">
              <w:rPr>
                <w:webHidden/>
              </w:rPr>
              <w:fldChar w:fldCharType="end"/>
            </w:r>
          </w:hyperlink>
        </w:p>
        <w:p w14:paraId="16C00BDD" w14:textId="1917C3F2" w:rsidR="00B6080E" w:rsidRDefault="00323A51">
          <w:pPr>
            <w:pStyle w:val="TOC3"/>
            <w:rPr>
              <w:rFonts w:asciiTheme="minorHAnsi" w:eastAsiaTheme="minorEastAsia" w:hAnsiTheme="minorHAnsi" w:cstheme="minorBidi"/>
              <w:bCs w:val="0"/>
              <w:i w:val="0"/>
              <w:iCs w:val="0"/>
              <w:sz w:val="22"/>
              <w:szCs w:val="22"/>
              <w:lang w:val="en-US"/>
            </w:rPr>
          </w:pPr>
          <w:hyperlink w:anchor="_Toc468345354" w:history="1">
            <w:r w:rsidR="00B6080E" w:rsidRPr="005555ED">
              <w:rPr>
                <w:rStyle w:val="Hyperlink"/>
                <w:rFonts w:eastAsia="Calibri"/>
                <w14:scene3d>
                  <w14:camera w14:prst="orthographicFront"/>
                  <w14:lightRig w14:rig="threePt" w14:dir="t">
                    <w14:rot w14:lat="0" w14:lon="0" w14:rev="0"/>
                  </w14:lightRig>
                </w14:scene3d>
              </w:rPr>
              <w:t>4.2.8</w:t>
            </w:r>
            <w:r w:rsidR="00B6080E">
              <w:rPr>
                <w:rFonts w:asciiTheme="minorHAnsi" w:eastAsiaTheme="minorEastAsia" w:hAnsiTheme="minorHAnsi" w:cstheme="minorBidi"/>
                <w:bCs w:val="0"/>
                <w:i w:val="0"/>
                <w:iCs w:val="0"/>
                <w:sz w:val="22"/>
                <w:szCs w:val="22"/>
                <w:lang w:val="en-US"/>
              </w:rPr>
              <w:tab/>
            </w:r>
            <w:r w:rsidR="00B6080E" w:rsidRPr="005555ED">
              <w:rPr>
                <w:rStyle w:val="Hyperlink"/>
              </w:rPr>
              <w:t>Usporedna analiza potrošnje električne i toplinske energije za kategoriju zgrada u vlasništvu Grada Zagreba u 2015. godini</w:t>
            </w:r>
            <w:r w:rsidR="00B6080E">
              <w:rPr>
                <w:webHidden/>
              </w:rPr>
              <w:tab/>
            </w:r>
            <w:r w:rsidR="00B6080E">
              <w:rPr>
                <w:webHidden/>
              </w:rPr>
              <w:fldChar w:fldCharType="begin"/>
            </w:r>
            <w:r w:rsidR="00B6080E">
              <w:rPr>
                <w:webHidden/>
              </w:rPr>
              <w:instrText xml:space="preserve"> PAGEREF _Toc468345354 \h </w:instrText>
            </w:r>
            <w:r w:rsidR="00B6080E">
              <w:rPr>
                <w:webHidden/>
              </w:rPr>
            </w:r>
            <w:r w:rsidR="00B6080E">
              <w:rPr>
                <w:webHidden/>
              </w:rPr>
              <w:fldChar w:fldCharType="separate"/>
            </w:r>
            <w:r w:rsidR="00B6080E">
              <w:rPr>
                <w:webHidden/>
              </w:rPr>
              <w:t>24</w:t>
            </w:r>
            <w:r w:rsidR="00B6080E">
              <w:rPr>
                <w:webHidden/>
              </w:rPr>
              <w:fldChar w:fldCharType="end"/>
            </w:r>
          </w:hyperlink>
        </w:p>
        <w:p w14:paraId="6093DACD" w14:textId="1A7AC687" w:rsidR="00B6080E" w:rsidRDefault="00323A51">
          <w:pPr>
            <w:pStyle w:val="TOC2"/>
            <w:rPr>
              <w:rFonts w:asciiTheme="minorHAnsi" w:eastAsiaTheme="minorEastAsia" w:hAnsiTheme="minorHAnsi" w:cstheme="minorBidi"/>
              <w:smallCaps w:val="0"/>
              <w:noProof/>
              <w:sz w:val="22"/>
              <w:szCs w:val="22"/>
              <w:lang w:val="en-US"/>
            </w:rPr>
          </w:pPr>
          <w:hyperlink w:anchor="_Toc468345355" w:history="1">
            <w:r w:rsidR="00B6080E" w:rsidRPr="005555ED">
              <w:rPr>
                <w:rStyle w:val="Hyperlink"/>
                <w:noProof/>
                <w14:scene3d>
                  <w14:camera w14:prst="orthographicFront"/>
                  <w14:lightRig w14:rig="threePt" w14:dir="t">
                    <w14:rot w14:lat="0" w14:lon="0" w14:rev="0"/>
                  </w14:lightRig>
                </w14:scene3d>
              </w:rPr>
              <w:t>4.3</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ZGRADE U VLASNIŠTVU ZAGREBAČKOG HOLDINGA d.o.o.</w:t>
            </w:r>
            <w:r w:rsidR="00B6080E">
              <w:rPr>
                <w:noProof/>
                <w:webHidden/>
              </w:rPr>
              <w:tab/>
            </w:r>
            <w:r w:rsidR="00B6080E">
              <w:rPr>
                <w:noProof/>
                <w:webHidden/>
              </w:rPr>
              <w:fldChar w:fldCharType="begin"/>
            </w:r>
            <w:r w:rsidR="00B6080E">
              <w:rPr>
                <w:noProof/>
                <w:webHidden/>
              </w:rPr>
              <w:instrText xml:space="preserve"> PAGEREF _Toc468345355 \h </w:instrText>
            </w:r>
            <w:r w:rsidR="00B6080E">
              <w:rPr>
                <w:noProof/>
                <w:webHidden/>
              </w:rPr>
            </w:r>
            <w:r w:rsidR="00B6080E">
              <w:rPr>
                <w:noProof/>
                <w:webHidden/>
              </w:rPr>
              <w:fldChar w:fldCharType="separate"/>
            </w:r>
            <w:r w:rsidR="00B6080E">
              <w:rPr>
                <w:noProof/>
                <w:webHidden/>
              </w:rPr>
              <w:t>31</w:t>
            </w:r>
            <w:r w:rsidR="00B6080E">
              <w:rPr>
                <w:noProof/>
                <w:webHidden/>
              </w:rPr>
              <w:fldChar w:fldCharType="end"/>
            </w:r>
          </w:hyperlink>
        </w:p>
        <w:p w14:paraId="233DC92F" w14:textId="57619010" w:rsidR="00B6080E" w:rsidRDefault="00323A51">
          <w:pPr>
            <w:pStyle w:val="TOC2"/>
            <w:rPr>
              <w:rFonts w:asciiTheme="minorHAnsi" w:eastAsiaTheme="minorEastAsia" w:hAnsiTheme="minorHAnsi" w:cstheme="minorBidi"/>
              <w:smallCaps w:val="0"/>
              <w:noProof/>
              <w:sz w:val="22"/>
              <w:szCs w:val="22"/>
              <w:lang w:val="en-US"/>
            </w:rPr>
          </w:pPr>
          <w:hyperlink w:anchor="_Toc468345356" w:history="1">
            <w:r w:rsidR="00B6080E" w:rsidRPr="005555ED">
              <w:rPr>
                <w:rStyle w:val="Hyperlink"/>
                <w:noProof/>
                <w14:scene3d>
                  <w14:camera w14:prst="orthographicFront"/>
                  <w14:lightRig w14:rig="threePt" w14:dir="t">
                    <w14:rot w14:lat="0" w14:lon="0" w14:rev="0"/>
                  </w14:lightRig>
                </w14:scene3d>
              </w:rPr>
              <w:t>4.4</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ANALIZA ENERGETSKE POTROŠNJE STAMBENOG PODSEKTORA GRADA ZAGREBA U 2015. GODINI</w:t>
            </w:r>
            <w:r w:rsidR="00B6080E">
              <w:rPr>
                <w:noProof/>
                <w:webHidden/>
              </w:rPr>
              <w:tab/>
            </w:r>
            <w:r w:rsidR="00B6080E">
              <w:rPr>
                <w:noProof/>
                <w:webHidden/>
              </w:rPr>
              <w:fldChar w:fldCharType="begin"/>
            </w:r>
            <w:r w:rsidR="00B6080E">
              <w:rPr>
                <w:noProof/>
                <w:webHidden/>
              </w:rPr>
              <w:instrText xml:space="preserve"> PAGEREF _Toc468345356 \h </w:instrText>
            </w:r>
            <w:r w:rsidR="00B6080E">
              <w:rPr>
                <w:noProof/>
                <w:webHidden/>
              </w:rPr>
            </w:r>
            <w:r w:rsidR="00B6080E">
              <w:rPr>
                <w:noProof/>
                <w:webHidden/>
              </w:rPr>
              <w:fldChar w:fldCharType="separate"/>
            </w:r>
            <w:r w:rsidR="00B6080E">
              <w:rPr>
                <w:noProof/>
                <w:webHidden/>
              </w:rPr>
              <w:t>36</w:t>
            </w:r>
            <w:r w:rsidR="00B6080E">
              <w:rPr>
                <w:noProof/>
                <w:webHidden/>
              </w:rPr>
              <w:fldChar w:fldCharType="end"/>
            </w:r>
          </w:hyperlink>
        </w:p>
        <w:p w14:paraId="145BDA55" w14:textId="713082F9" w:rsidR="00B6080E" w:rsidRDefault="00323A51">
          <w:pPr>
            <w:pStyle w:val="TOC3"/>
            <w:rPr>
              <w:rFonts w:asciiTheme="minorHAnsi" w:eastAsiaTheme="minorEastAsia" w:hAnsiTheme="minorHAnsi" w:cstheme="minorBidi"/>
              <w:bCs w:val="0"/>
              <w:i w:val="0"/>
              <w:iCs w:val="0"/>
              <w:sz w:val="22"/>
              <w:szCs w:val="22"/>
              <w:lang w:val="en-US"/>
            </w:rPr>
          </w:pPr>
          <w:hyperlink w:anchor="_Toc468345357" w:history="1">
            <w:r w:rsidR="00B6080E" w:rsidRPr="005555ED">
              <w:rPr>
                <w:rStyle w:val="Hyperlink"/>
                <w14:scene3d>
                  <w14:camera w14:prst="orthographicFront"/>
                  <w14:lightRig w14:rig="threePt" w14:dir="t">
                    <w14:rot w14:lat="0" w14:lon="0" w14:rev="0"/>
                  </w14:lightRig>
                </w14:scene3d>
              </w:rPr>
              <w:t>4.4.1</w:t>
            </w:r>
            <w:r w:rsidR="00B6080E">
              <w:rPr>
                <w:rFonts w:asciiTheme="minorHAnsi" w:eastAsiaTheme="minorEastAsia" w:hAnsiTheme="minorHAnsi" w:cstheme="minorBidi"/>
                <w:bCs w:val="0"/>
                <w:i w:val="0"/>
                <w:iCs w:val="0"/>
                <w:sz w:val="22"/>
                <w:szCs w:val="22"/>
                <w:lang w:val="en-US"/>
              </w:rPr>
              <w:tab/>
            </w:r>
            <w:r w:rsidR="00B6080E" w:rsidRPr="005555ED">
              <w:rPr>
                <w:rStyle w:val="Hyperlink"/>
              </w:rPr>
              <w:t>Pregled rezultata analize energetske potrošnje stambenog podsektora Grada Zagreba u 2015. godini</w:t>
            </w:r>
            <w:r w:rsidR="00B6080E">
              <w:rPr>
                <w:webHidden/>
              </w:rPr>
              <w:tab/>
            </w:r>
            <w:r w:rsidR="00B6080E">
              <w:rPr>
                <w:webHidden/>
              </w:rPr>
              <w:fldChar w:fldCharType="begin"/>
            </w:r>
            <w:r w:rsidR="00B6080E">
              <w:rPr>
                <w:webHidden/>
              </w:rPr>
              <w:instrText xml:space="preserve"> PAGEREF _Toc468345357 \h </w:instrText>
            </w:r>
            <w:r w:rsidR="00B6080E">
              <w:rPr>
                <w:webHidden/>
              </w:rPr>
            </w:r>
            <w:r w:rsidR="00B6080E">
              <w:rPr>
                <w:webHidden/>
              </w:rPr>
              <w:fldChar w:fldCharType="separate"/>
            </w:r>
            <w:r w:rsidR="00B6080E">
              <w:rPr>
                <w:webHidden/>
              </w:rPr>
              <w:t>36</w:t>
            </w:r>
            <w:r w:rsidR="00B6080E">
              <w:rPr>
                <w:webHidden/>
              </w:rPr>
              <w:fldChar w:fldCharType="end"/>
            </w:r>
          </w:hyperlink>
        </w:p>
        <w:p w14:paraId="22D3A295" w14:textId="5ECF352B" w:rsidR="00B6080E" w:rsidRDefault="00323A51">
          <w:pPr>
            <w:pStyle w:val="TOC3"/>
            <w:rPr>
              <w:rFonts w:asciiTheme="minorHAnsi" w:eastAsiaTheme="minorEastAsia" w:hAnsiTheme="minorHAnsi" w:cstheme="minorBidi"/>
              <w:bCs w:val="0"/>
              <w:i w:val="0"/>
              <w:iCs w:val="0"/>
              <w:sz w:val="22"/>
              <w:szCs w:val="22"/>
              <w:lang w:val="en-US"/>
            </w:rPr>
          </w:pPr>
          <w:hyperlink w:anchor="_Toc468345358" w:history="1">
            <w:r w:rsidR="00B6080E" w:rsidRPr="005555ED">
              <w:rPr>
                <w:rStyle w:val="Hyperlink"/>
                <w14:scene3d>
                  <w14:camera w14:prst="orthographicFront"/>
                  <w14:lightRig w14:rig="threePt" w14:dir="t">
                    <w14:rot w14:lat="0" w14:lon="0" w14:rev="0"/>
                  </w14:lightRig>
                </w14:scene3d>
              </w:rPr>
              <w:t>4.4.2</w:t>
            </w:r>
            <w:r w:rsidR="00B6080E">
              <w:rPr>
                <w:rFonts w:asciiTheme="minorHAnsi" w:eastAsiaTheme="minorEastAsia" w:hAnsiTheme="minorHAnsi" w:cstheme="minorBidi"/>
                <w:bCs w:val="0"/>
                <w:i w:val="0"/>
                <w:iCs w:val="0"/>
                <w:sz w:val="22"/>
                <w:szCs w:val="22"/>
                <w:lang w:val="en-US"/>
              </w:rPr>
              <w:tab/>
            </w:r>
            <w:r w:rsidR="00B6080E" w:rsidRPr="005555ED">
              <w:rPr>
                <w:rStyle w:val="Hyperlink"/>
              </w:rPr>
              <w:t>Prikaz trenda potrošnje energije u stambenom podsektoru Grada Zagreba</w:t>
            </w:r>
            <w:r w:rsidR="00B6080E">
              <w:rPr>
                <w:webHidden/>
              </w:rPr>
              <w:tab/>
            </w:r>
            <w:r w:rsidR="00B6080E">
              <w:rPr>
                <w:webHidden/>
              </w:rPr>
              <w:fldChar w:fldCharType="begin"/>
            </w:r>
            <w:r w:rsidR="00B6080E">
              <w:rPr>
                <w:webHidden/>
              </w:rPr>
              <w:instrText xml:space="preserve"> PAGEREF _Toc468345358 \h </w:instrText>
            </w:r>
            <w:r w:rsidR="00B6080E">
              <w:rPr>
                <w:webHidden/>
              </w:rPr>
            </w:r>
            <w:r w:rsidR="00B6080E">
              <w:rPr>
                <w:webHidden/>
              </w:rPr>
              <w:fldChar w:fldCharType="separate"/>
            </w:r>
            <w:r w:rsidR="00B6080E">
              <w:rPr>
                <w:webHidden/>
              </w:rPr>
              <w:t>37</w:t>
            </w:r>
            <w:r w:rsidR="00B6080E">
              <w:rPr>
                <w:webHidden/>
              </w:rPr>
              <w:fldChar w:fldCharType="end"/>
            </w:r>
          </w:hyperlink>
        </w:p>
        <w:p w14:paraId="2C10EE58" w14:textId="7C6B8978" w:rsidR="00B6080E" w:rsidRDefault="00323A51">
          <w:pPr>
            <w:pStyle w:val="TOC2"/>
            <w:rPr>
              <w:rFonts w:asciiTheme="minorHAnsi" w:eastAsiaTheme="minorEastAsia" w:hAnsiTheme="minorHAnsi" w:cstheme="minorBidi"/>
              <w:smallCaps w:val="0"/>
              <w:noProof/>
              <w:sz w:val="22"/>
              <w:szCs w:val="22"/>
              <w:lang w:val="en-US"/>
            </w:rPr>
          </w:pPr>
          <w:hyperlink w:anchor="_Toc468345359" w:history="1">
            <w:r w:rsidR="00B6080E" w:rsidRPr="005555ED">
              <w:rPr>
                <w:rStyle w:val="Hyperlink"/>
                <w:noProof/>
                <w14:scene3d>
                  <w14:camera w14:prst="orthographicFront"/>
                  <w14:lightRig w14:rig="threePt" w14:dir="t">
                    <w14:rot w14:lat="0" w14:lon="0" w14:rev="0"/>
                  </w14:lightRig>
                </w14:scene3d>
              </w:rPr>
              <w:t>4.5</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ANALIZA ENERGETSKE POTROŠNJE U PODSEKTORU KOMERCIJALNIH I USLUŽNIH DJELATNOSTI GRADA ZAGREBA U 2015. GODINI</w:t>
            </w:r>
            <w:r w:rsidR="00B6080E">
              <w:rPr>
                <w:noProof/>
                <w:webHidden/>
              </w:rPr>
              <w:tab/>
            </w:r>
            <w:r w:rsidR="00B6080E">
              <w:rPr>
                <w:noProof/>
                <w:webHidden/>
              </w:rPr>
              <w:fldChar w:fldCharType="begin"/>
            </w:r>
            <w:r w:rsidR="00B6080E">
              <w:rPr>
                <w:noProof/>
                <w:webHidden/>
              </w:rPr>
              <w:instrText xml:space="preserve"> PAGEREF _Toc468345359 \h </w:instrText>
            </w:r>
            <w:r w:rsidR="00B6080E">
              <w:rPr>
                <w:noProof/>
                <w:webHidden/>
              </w:rPr>
            </w:r>
            <w:r w:rsidR="00B6080E">
              <w:rPr>
                <w:noProof/>
                <w:webHidden/>
              </w:rPr>
              <w:fldChar w:fldCharType="separate"/>
            </w:r>
            <w:r w:rsidR="00B6080E">
              <w:rPr>
                <w:noProof/>
                <w:webHidden/>
              </w:rPr>
              <w:t>39</w:t>
            </w:r>
            <w:r w:rsidR="00B6080E">
              <w:rPr>
                <w:noProof/>
                <w:webHidden/>
              </w:rPr>
              <w:fldChar w:fldCharType="end"/>
            </w:r>
          </w:hyperlink>
        </w:p>
        <w:p w14:paraId="209472FF" w14:textId="6A61BC0B" w:rsidR="00B6080E" w:rsidRDefault="00323A51">
          <w:pPr>
            <w:pStyle w:val="TOC2"/>
            <w:rPr>
              <w:rFonts w:asciiTheme="minorHAnsi" w:eastAsiaTheme="minorEastAsia" w:hAnsiTheme="minorHAnsi" w:cstheme="minorBidi"/>
              <w:smallCaps w:val="0"/>
              <w:noProof/>
              <w:sz w:val="22"/>
              <w:szCs w:val="22"/>
              <w:lang w:val="en-US"/>
            </w:rPr>
          </w:pPr>
          <w:hyperlink w:anchor="_Toc468345360" w:history="1">
            <w:r w:rsidR="00B6080E" w:rsidRPr="005555ED">
              <w:rPr>
                <w:rStyle w:val="Hyperlink"/>
                <w:noProof/>
                <w14:scene3d>
                  <w14:camera w14:prst="orthographicFront"/>
                  <w14:lightRig w14:rig="threePt" w14:dir="t">
                    <w14:rot w14:lat="0" w14:lon="0" w14:rev="0"/>
                  </w14:lightRig>
                </w14:scene3d>
              </w:rPr>
              <w:t>4.6</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PRIKAZ REZULTATA PROVEDENE ANALIZE ENERGETSKE POTROŠNJE U SEKTORU ZGRADARSTVA GRADA ZAGREBA U 2015. GODINI</w:t>
            </w:r>
            <w:r w:rsidR="00B6080E">
              <w:rPr>
                <w:noProof/>
                <w:webHidden/>
              </w:rPr>
              <w:tab/>
            </w:r>
            <w:r w:rsidR="00B6080E">
              <w:rPr>
                <w:noProof/>
                <w:webHidden/>
              </w:rPr>
              <w:fldChar w:fldCharType="begin"/>
            </w:r>
            <w:r w:rsidR="00B6080E">
              <w:rPr>
                <w:noProof/>
                <w:webHidden/>
              </w:rPr>
              <w:instrText xml:space="preserve"> PAGEREF _Toc468345360 \h </w:instrText>
            </w:r>
            <w:r w:rsidR="00B6080E">
              <w:rPr>
                <w:noProof/>
                <w:webHidden/>
              </w:rPr>
            </w:r>
            <w:r w:rsidR="00B6080E">
              <w:rPr>
                <w:noProof/>
                <w:webHidden/>
              </w:rPr>
              <w:fldChar w:fldCharType="separate"/>
            </w:r>
            <w:r w:rsidR="00B6080E">
              <w:rPr>
                <w:noProof/>
                <w:webHidden/>
              </w:rPr>
              <w:t>41</w:t>
            </w:r>
            <w:r w:rsidR="00B6080E">
              <w:rPr>
                <w:noProof/>
                <w:webHidden/>
              </w:rPr>
              <w:fldChar w:fldCharType="end"/>
            </w:r>
          </w:hyperlink>
        </w:p>
        <w:p w14:paraId="7A0C6FFC" w14:textId="2CFE8F17" w:rsidR="00B6080E" w:rsidRDefault="00323A51">
          <w:pPr>
            <w:pStyle w:val="TOC1"/>
            <w:rPr>
              <w:rFonts w:asciiTheme="minorHAnsi" w:eastAsiaTheme="minorEastAsia" w:hAnsiTheme="minorHAnsi" w:cstheme="minorBidi"/>
              <w:b w:val="0"/>
              <w:bCs w:val="0"/>
              <w:caps w:val="0"/>
              <w:szCs w:val="22"/>
              <w:lang w:val="en-US"/>
            </w:rPr>
          </w:pPr>
          <w:hyperlink w:anchor="_Toc468345361" w:history="1">
            <w:r w:rsidR="00B6080E" w:rsidRPr="005555ED">
              <w:rPr>
                <w:rStyle w:val="Hyperlink"/>
              </w:rPr>
              <w:t>5</w:t>
            </w:r>
            <w:r w:rsidR="00B6080E">
              <w:rPr>
                <w:rFonts w:asciiTheme="minorHAnsi" w:eastAsiaTheme="minorEastAsia" w:hAnsiTheme="minorHAnsi" w:cstheme="minorBidi"/>
                <w:b w:val="0"/>
                <w:bCs w:val="0"/>
                <w:caps w:val="0"/>
                <w:szCs w:val="22"/>
                <w:lang w:val="en-US"/>
              </w:rPr>
              <w:tab/>
            </w:r>
            <w:r w:rsidR="00B6080E" w:rsidRPr="005555ED">
              <w:rPr>
                <w:rStyle w:val="Hyperlink"/>
              </w:rPr>
              <w:t>ANALIZA ENERGETSKE POTROŠNJE U SEKTORU PROMETA GRADA ZAGREBA U 2015. GODINI</w:t>
            </w:r>
            <w:r w:rsidR="00B6080E">
              <w:rPr>
                <w:webHidden/>
              </w:rPr>
              <w:tab/>
            </w:r>
            <w:r w:rsidR="00B6080E">
              <w:rPr>
                <w:webHidden/>
              </w:rPr>
              <w:fldChar w:fldCharType="begin"/>
            </w:r>
            <w:r w:rsidR="00B6080E">
              <w:rPr>
                <w:webHidden/>
              </w:rPr>
              <w:instrText xml:space="preserve"> PAGEREF _Toc468345361 \h </w:instrText>
            </w:r>
            <w:r w:rsidR="00B6080E">
              <w:rPr>
                <w:webHidden/>
              </w:rPr>
            </w:r>
            <w:r w:rsidR="00B6080E">
              <w:rPr>
                <w:webHidden/>
              </w:rPr>
              <w:fldChar w:fldCharType="separate"/>
            </w:r>
            <w:r w:rsidR="00B6080E">
              <w:rPr>
                <w:webHidden/>
              </w:rPr>
              <w:t>44</w:t>
            </w:r>
            <w:r w:rsidR="00B6080E">
              <w:rPr>
                <w:webHidden/>
              </w:rPr>
              <w:fldChar w:fldCharType="end"/>
            </w:r>
          </w:hyperlink>
        </w:p>
        <w:p w14:paraId="4A30FE19" w14:textId="70D78DA0" w:rsidR="00B6080E" w:rsidRDefault="00323A51">
          <w:pPr>
            <w:pStyle w:val="TOC2"/>
            <w:rPr>
              <w:rFonts w:asciiTheme="minorHAnsi" w:eastAsiaTheme="minorEastAsia" w:hAnsiTheme="minorHAnsi" w:cstheme="minorBidi"/>
              <w:smallCaps w:val="0"/>
              <w:noProof/>
              <w:sz w:val="22"/>
              <w:szCs w:val="22"/>
              <w:lang w:val="en-US"/>
            </w:rPr>
          </w:pPr>
          <w:hyperlink w:anchor="_Toc468345362" w:history="1">
            <w:r w:rsidR="00B6080E" w:rsidRPr="005555ED">
              <w:rPr>
                <w:rStyle w:val="Hyperlink"/>
                <w:noProof/>
                <w14:scene3d>
                  <w14:camera w14:prst="orthographicFront"/>
                  <w14:lightRig w14:rig="threePt" w14:dir="t">
                    <w14:rot w14:lat="0" w14:lon="0" w14:rev="0"/>
                  </w14:lightRig>
                </w14:scene3d>
              </w:rPr>
              <w:t>5.1</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VOZNI PARK U VLASNIŠTVU I KORIŠTENJU GRADA ZAGREBA</w:t>
            </w:r>
            <w:r w:rsidR="00B6080E">
              <w:rPr>
                <w:noProof/>
                <w:webHidden/>
              </w:rPr>
              <w:tab/>
            </w:r>
            <w:r w:rsidR="00B6080E">
              <w:rPr>
                <w:noProof/>
                <w:webHidden/>
              </w:rPr>
              <w:fldChar w:fldCharType="begin"/>
            </w:r>
            <w:r w:rsidR="00B6080E">
              <w:rPr>
                <w:noProof/>
                <w:webHidden/>
              </w:rPr>
              <w:instrText xml:space="preserve"> PAGEREF _Toc468345362 \h </w:instrText>
            </w:r>
            <w:r w:rsidR="00B6080E">
              <w:rPr>
                <w:noProof/>
                <w:webHidden/>
              </w:rPr>
            </w:r>
            <w:r w:rsidR="00B6080E">
              <w:rPr>
                <w:noProof/>
                <w:webHidden/>
              </w:rPr>
              <w:fldChar w:fldCharType="separate"/>
            </w:r>
            <w:r w:rsidR="00B6080E">
              <w:rPr>
                <w:noProof/>
                <w:webHidden/>
              </w:rPr>
              <w:t>44</w:t>
            </w:r>
            <w:r w:rsidR="00B6080E">
              <w:rPr>
                <w:noProof/>
                <w:webHidden/>
              </w:rPr>
              <w:fldChar w:fldCharType="end"/>
            </w:r>
          </w:hyperlink>
        </w:p>
        <w:p w14:paraId="5490E01E" w14:textId="1A9B712A" w:rsidR="00B6080E" w:rsidRDefault="00323A51">
          <w:pPr>
            <w:pStyle w:val="TOC3"/>
            <w:rPr>
              <w:rFonts w:asciiTheme="minorHAnsi" w:eastAsiaTheme="minorEastAsia" w:hAnsiTheme="minorHAnsi" w:cstheme="minorBidi"/>
              <w:bCs w:val="0"/>
              <w:i w:val="0"/>
              <w:iCs w:val="0"/>
              <w:sz w:val="22"/>
              <w:szCs w:val="22"/>
              <w:lang w:val="en-US"/>
            </w:rPr>
          </w:pPr>
          <w:hyperlink w:anchor="_Toc468345363" w:history="1">
            <w:r w:rsidR="00B6080E" w:rsidRPr="005555ED">
              <w:rPr>
                <w:rStyle w:val="Hyperlink"/>
                <w:rFonts w:cstheme="minorHAnsi"/>
                <w14:scene3d>
                  <w14:camera w14:prst="orthographicFront"/>
                  <w14:lightRig w14:rig="threePt" w14:dir="t">
                    <w14:rot w14:lat="0" w14:lon="0" w14:rev="0"/>
                  </w14:lightRig>
                </w14:scene3d>
              </w:rPr>
              <w:t>5.1.1</w:t>
            </w:r>
            <w:r w:rsidR="00B6080E">
              <w:rPr>
                <w:rFonts w:asciiTheme="minorHAnsi" w:eastAsiaTheme="minorEastAsia" w:hAnsiTheme="minorHAnsi" w:cstheme="minorBidi"/>
                <w:bCs w:val="0"/>
                <w:i w:val="0"/>
                <w:iCs w:val="0"/>
                <w:sz w:val="22"/>
                <w:szCs w:val="22"/>
                <w:lang w:val="en-US"/>
              </w:rPr>
              <w:tab/>
            </w:r>
            <w:r w:rsidR="00B6080E" w:rsidRPr="005555ED">
              <w:rPr>
                <w:rStyle w:val="Hyperlink"/>
              </w:rPr>
              <w:t>Opći podaci</w:t>
            </w:r>
            <w:r w:rsidR="00B6080E">
              <w:rPr>
                <w:webHidden/>
              </w:rPr>
              <w:tab/>
            </w:r>
            <w:r w:rsidR="00B6080E">
              <w:rPr>
                <w:webHidden/>
              </w:rPr>
              <w:fldChar w:fldCharType="begin"/>
            </w:r>
            <w:r w:rsidR="00B6080E">
              <w:rPr>
                <w:webHidden/>
              </w:rPr>
              <w:instrText xml:space="preserve"> PAGEREF _Toc468345363 \h </w:instrText>
            </w:r>
            <w:r w:rsidR="00B6080E">
              <w:rPr>
                <w:webHidden/>
              </w:rPr>
            </w:r>
            <w:r w:rsidR="00B6080E">
              <w:rPr>
                <w:webHidden/>
              </w:rPr>
              <w:fldChar w:fldCharType="separate"/>
            </w:r>
            <w:r w:rsidR="00B6080E">
              <w:rPr>
                <w:webHidden/>
              </w:rPr>
              <w:t>44</w:t>
            </w:r>
            <w:r w:rsidR="00B6080E">
              <w:rPr>
                <w:webHidden/>
              </w:rPr>
              <w:fldChar w:fldCharType="end"/>
            </w:r>
          </w:hyperlink>
        </w:p>
        <w:p w14:paraId="54F2D356" w14:textId="56E93201" w:rsidR="00B6080E" w:rsidRDefault="00323A51">
          <w:pPr>
            <w:pStyle w:val="TOC2"/>
            <w:rPr>
              <w:rFonts w:asciiTheme="minorHAnsi" w:eastAsiaTheme="minorEastAsia" w:hAnsiTheme="minorHAnsi" w:cstheme="minorBidi"/>
              <w:smallCaps w:val="0"/>
              <w:noProof/>
              <w:sz w:val="22"/>
              <w:szCs w:val="22"/>
              <w:lang w:val="en-US"/>
            </w:rPr>
          </w:pPr>
          <w:hyperlink w:anchor="_Toc468345364" w:history="1">
            <w:r w:rsidR="00B6080E" w:rsidRPr="005555ED">
              <w:rPr>
                <w:rStyle w:val="Hyperlink"/>
                <w:noProof/>
                <w14:scene3d>
                  <w14:camera w14:prst="orthographicFront"/>
                  <w14:lightRig w14:rig="threePt" w14:dir="t">
                    <w14:rot w14:lat="0" w14:lon="0" w14:rev="0"/>
                  </w14:lightRig>
                </w14:scene3d>
              </w:rPr>
              <w:t>5.2</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JAVNI PRIJEVOZ</w:t>
            </w:r>
            <w:r w:rsidR="00B6080E">
              <w:rPr>
                <w:noProof/>
                <w:webHidden/>
              </w:rPr>
              <w:tab/>
            </w:r>
            <w:r w:rsidR="00B6080E">
              <w:rPr>
                <w:noProof/>
                <w:webHidden/>
              </w:rPr>
              <w:fldChar w:fldCharType="begin"/>
            </w:r>
            <w:r w:rsidR="00B6080E">
              <w:rPr>
                <w:noProof/>
                <w:webHidden/>
              </w:rPr>
              <w:instrText xml:space="preserve"> PAGEREF _Toc468345364 \h </w:instrText>
            </w:r>
            <w:r w:rsidR="00B6080E">
              <w:rPr>
                <w:noProof/>
                <w:webHidden/>
              </w:rPr>
            </w:r>
            <w:r w:rsidR="00B6080E">
              <w:rPr>
                <w:noProof/>
                <w:webHidden/>
              </w:rPr>
              <w:fldChar w:fldCharType="separate"/>
            </w:r>
            <w:r w:rsidR="00B6080E">
              <w:rPr>
                <w:noProof/>
                <w:webHidden/>
              </w:rPr>
              <w:t>46</w:t>
            </w:r>
            <w:r w:rsidR="00B6080E">
              <w:rPr>
                <w:noProof/>
                <w:webHidden/>
              </w:rPr>
              <w:fldChar w:fldCharType="end"/>
            </w:r>
          </w:hyperlink>
        </w:p>
        <w:p w14:paraId="02A26E6D" w14:textId="502AB85D" w:rsidR="00B6080E" w:rsidRDefault="00323A51">
          <w:pPr>
            <w:pStyle w:val="TOC3"/>
            <w:rPr>
              <w:rFonts w:asciiTheme="minorHAnsi" w:eastAsiaTheme="minorEastAsia" w:hAnsiTheme="minorHAnsi" w:cstheme="minorBidi"/>
              <w:bCs w:val="0"/>
              <w:i w:val="0"/>
              <w:iCs w:val="0"/>
              <w:sz w:val="22"/>
              <w:szCs w:val="22"/>
              <w:lang w:val="en-US"/>
            </w:rPr>
          </w:pPr>
          <w:hyperlink w:anchor="_Toc468345365" w:history="1">
            <w:r w:rsidR="00B6080E" w:rsidRPr="005555ED">
              <w:rPr>
                <w:rStyle w:val="Hyperlink"/>
                <w14:scene3d>
                  <w14:camera w14:prst="orthographicFront"/>
                  <w14:lightRig w14:rig="threePt" w14:dir="t">
                    <w14:rot w14:lat="0" w14:lon="0" w14:rev="0"/>
                  </w14:lightRig>
                </w14:scene3d>
              </w:rPr>
              <w:t>5.2.1</w:t>
            </w:r>
            <w:r w:rsidR="00B6080E">
              <w:rPr>
                <w:rFonts w:asciiTheme="minorHAnsi" w:eastAsiaTheme="minorEastAsia" w:hAnsiTheme="minorHAnsi" w:cstheme="minorBidi"/>
                <w:bCs w:val="0"/>
                <w:i w:val="0"/>
                <w:iCs w:val="0"/>
                <w:sz w:val="22"/>
                <w:szCs w:val="22"/>
                <w:lang w:val="en-US"/>
              </w:rPr>
              <w:tab/>
            </w:r>
            <w:r w:rsidR="00B6080E" w:rsidRPr="005555ED">
              <w:rPr>
                <w:rStyle w:val="Hyperlink"/>
              </w:rPr>
              <w:t>Podružnica Zagrebački električni tramvaj - ZET</w:t>
            </w:r>
            <w:r w:rsidR="00B6080E">
              <w:rPr>
                <w:webHidden/>
              </w:rPr>
              <w:tab/>
            </w:r>
            <w:r w:rsidR="00B6080E">
              <w:rPr>
                <w:webHidden/>
              </w:rPr>
              <w:fldChar w:fldCharType="begin"/>
            </w:r>
            <w:r w:rsidR="00B6080E">
              <w:rPr>
                <w:webHidden/>
              </w:rPr>
              <w:instrText xml:space="preserve"> PAGEREF _Toc468345365 \h </w:instrText>
            </w:r>
            <w:r w:rsidR="00B6080E">
              <w:rPr>
                <w:webHidden/>
              </w:rPr>
            </w:r>
            <w:r w:rsidR="00B6080E">
              <w:rPr>
                <w:webHidden/>
              </w:rPr>
              <w:fldChar w:fldCharType="separate"/>
            </w:r>
            <w:r w:rsidR="00B6080E">
              <w:rPr>
                <w:webHidden/>
              </w:rPr>
              <w:t>46</w:t>
            </w:r>
            <w:r w:rsidR="00B6080E">
              <w:rPr>
                <w:webHidden/>
              </w:rPr>
              <w:fldChar w:fldCharType="end"/>
            </w:r>
          </w:hyperlink>
        </w:p>
        <w:p w14:paraId="2C72F975" w14:textId="55C20FC1" w:rsidR="00B6080E" w:rsidRDefault="00323A51">
          <w:pPr>
            <w:pStyle w:val="TOC4"/>
            <w:tabs>
              <w:tab w:val="left" w:pos="1540"/>
              <w:tab w:val="right" w:leader="dot" w:pos="9062"/>
            </w:tabs>
            <w:rPr>
              <w:rFonts w:asciiTheme="minorHAnsi" w:eastAsiaTheme="minorEastAsia" w:hAnsiTheme="minorHAnsi" w:cstheme="minorBidi"/>
              <w:noProof/>
              <w:sz w:val="22"/>
              <w:szCs w:val="22"/>
              <w:lang w:val="en-US"/>
            </w:rPr>
          </w:pPr>
          <w:hyperlink w:anchor="_Toc468345366" w:history="1">
            <w:r w:rsidR="00B6080E" w:rsidRPr="005555ED">
              <w:rPr>
                <w:rStyle w:val="Hyperlink"/>
                <w:noProof/>
              </w:rPr>
              <w:t>5.2.1.1</w:t>
            </w:r>
            <w:r w:rsidR="00B6080E">
              <w:rPr>
                <w:rFonts w:asciiTheme="minorHAnsi" w:eastAsiaTheme="minorEastAsia" w:hAnsiTheme="minorHAnsi" w:cstheme="minorBidi"/>
                <w:noProof/>
                <w:sz w:val="22"/>
                <w:szCs w:val="22"/>
                <w:lang w:val="en-US"/>
              </w:rPr>
              <w:tab/>
            </w:r>
            <w:r w:rsidR="00B6080E" w:rsidRPr="005555ED">
              <w:rPr>
                <w:rStyle w:val="Hyperlink"/>
                <w:noProof/>
              </w:rPr>
              <w:t>Zagrebački električni tramvaj</w:t>
            </w:r>
            <w:r w:rsidR="00B6080E">
              <w:rPr>
                <w:noProof/>
                <w:webHidden/>
              </w:rPr>
              <w:tab/>
            </w:r>
            <w:r w:rsidR="00B6080E">
              <w:rPr>
                <w:noProof/>
                <w:webHidden/>
              </w:rPr>
              <w:fldChar w:fldCharType="begin"/>
            </w:r>
            <w:r w:rsidR="00B6080E">
              <w:rPr>
                <w:noProof/>
                <w:webHidden/>
              </w:rPr>
              <w:instrText xml:space="preserve"> PAGEREF _Toc468345366 \h </w:instrText>
            </w:r>
            <w:r w:rsidR="00B6080E">
              <w:rPr>
                <w:noProof/>
                <w:webHidden/>
              </w:rPr>
            </w:r>
            <w:r w:rsidR="00B6080E">
              <w:rPr>
                <w:noProof/>
                <w:webHidden/>
              </w:rPr>
              <w:fldChar w:fldCharType="separate"/>
            </w:r>
            <w:r w:rsidR="00B6080E">
              <w:rPr>
                <w:noProof/>
                <w:webHidden/>
              </w:rPr>
              <w:t>48</w:t>
            </w:r>
            <w:r w:rsidR="00B6080E">
              <w:rPr>
                <w:noProof/>
                <w:webHidden/>
              </w:rPr>
              <w:fldChar w:fldCharType="end"/>
            </w:r>
          </w:hyperlink>
        </w:p>
        <w:p w14:paraId="51D8B746" w14:textId="6C25BD92" w:rsidR="00B6080E" w:rsidRDefault="00323A51">
          <w:pPr>
            <w:pStyle w:val="TOC4"/>
            <w:tabs>
              <w:tab w:val="left" w:pos="1540"/>
              <w:tab w:val="right" w:leader="dot" w:pos="9062"/>
            </w:tabs>
            <w:rPr>
              <w:rFonts w:asciiTheme="minorHAnsi" w:eastAsiaTheme="minorEastAsia" w:hAnsiTheme="minorHAnsi" w:cstheme="minorBidi"/>
              <w:noProof/>
              <w:sz w:val="22"/>
              <w:szCs w:val="22"/>
              <w:lang w:val="en-US"/>
            </w:rPr>
          </w:pPr>
          <w:hyperlink w:anchor="_Toc468345367" w:history="1">
            <w:r w:rsidR="00B6080E" w:rsidRPr="005555ED">
              <w:rPr>
                <w:rStyle w:val="Hyperlink"/>
                <w:rFonts w:cstheme="minorHAnsi"/>
                <w:noProof/>
              </w:rPr>
              <w:t>5.2.1.2</w:t>
            </w:r>
            <w:r w:rsidR="00B6080E">
              <w:rPr>
                <w:rFonts w:asciiTheme="minorHAnsi" w:eastAsiaTheme="minorEastAsia" w:hAnsiTheme="minorHAnsi" w:cstheme="minorBidi"/>
                <w:noProof/>
                <w:sz w:val="22"/>
                <w:szCs w:val="22"/>
                <w:lang w:val="en-US"/>
              </w:rPr>
              <w:tab/>
            </w:r>
            <w:r w:rsidR="00B6080E" w:rsidRPr="005555ED">
              <w:rPr>
                <w:rStyle w:val="Hyperlink"/>
                <w:rFonts w:cstheme="minorHAnsi"/>
                <w:noProof/>
              </w:rPr>
              <w:t>Potrošnja električne energije Zagrebačkog električnog tramvaja</w:t>
            </w:r>
            <w:r w:rsidR="00B6080E">
              <w:rPr>
                <w:noProof/>
                <w:webHidden/>
              </w:rPr>
              <w:tab/>
            </w:r>
            <w:r w:rsidR="00B6080E">
              <w:rPr>
                <w:noProof/>
                <w:webHidden/>
              </w:rPr>
              <w:fldChar w:fldCharType="begin"/>
            </w:r>
            <w:r w:rsidR="00B6080E">
              <w:rPr>
                <w:noProof/>
                <w:webHidden/>
              </w:rPr>
              <w:instrText xml:space="preserve"> PAGEREF _Toc468345367 \h </w:instrText>
            </w:r>
            <w:r w:rsidR="00B6080E">
              <w:rPr>
                <w:noProof/>
                <w:webHidden/>
              </w:rPr>
            </w:r>
            <w:r w:rsidR="00B6080E">
              <w:rPr>
                <w:noProof/>
                <w:webHidden/>
              </w:rPr>
              <w:fldChar w:fldCharType="separate"/>
            </w:r>
            <w:r w:rsidR="00B6080E">
              <w:rPr>
                <w:noProof/>
                <w:webHidden/>
              </w:rPr>
              <w:t>49</w:t>
            </w:r>
            <w:r w:rsidR="00B6080E">
              <w:rPr>
                <w:noProof/>
                <w:webHidden/>
              </w:rPr>
              <w:fldChar w:fldCharType="end"/>
            </w:r>
          </w:hyperlink>
        </w:p>
        <w:p w14:paraId="01FBEB00" w14:textId="0B74BD81" w:rsidR="00B6080E" w:rsidRDefault="00323A51">
          <w:pPr>
            <w:pStyle w:val="TOC4"/>
            <w:tabs>
              <w:tab w:val="left" w:pos="1540"/>
              <w:tab w:val="right" w:leader="dot" w:pos="9062"/>
            </w:tabs>
            <w:rPr>
              <w:rFonts w:asciiTheme="minorHAnsi" w:eastAsiaTheme="minorEastAsia" w:hAnsiTheme="minorHAnsi" w:cstheme="minorBidi"/>
              <w:noProof/>
              <w:sz w:val="22"/>
              <w:szCs w:val="22"/>
              <w:lang w:val="en-US"/>
            </w:rPr>
          </w:pPr>
          <w:hyperlink w:anchor="_Toc468345368" w:history="1">
            <w:r w:rsidR="00B6080E" w:rsidRPr="005555ED">
              <w:rPr>
                <w:rStyle w:val="Hyperlink"/>
                <w:noProof/>
              </w:rPr>
              <w:t>5.2.1.3</w:t>
            </w:r>
            <w:r w:rsidR="00B6080E">
              <w:rPr>
                <w:rFonts w:asciiTheme="minorHAnsi" w:eastAsiaTheme="minorEastAsia" w:hAnsiTheme="minorHAnsi" w:cstheme="minorBidi"/>
                <w:noProof/>
                <w:sz w:val="22"/>
                <w:szCs w:val="22"/>
                <w:lang w:val="en-US"/>
              </w:rPr>
              <w:tab/>
            </w:r>
            <w:r w:rsidR="00B6080E" w:rsidRPr="005555ED">
              <w:rPr>
                <w:rStyle w:val="Hyperlink"/>
                <w:noProof/>
              </w:rPr>
              <w:t>Autobusni prijevoz</w:t>
            </w:r>
            <w:r w:rsidR="00B6080E">
              <w:rPr>
                <w:noProof/>
                <w:webHidden/>
              </w:rPr>
              <w:tab/>
            </w:r>
            <w:r w:rsidR="00B6080E">
              <w:rPr>
                <w:noProof/>
                <w:webHidden/>
              </w:rPr>
              <w:fldChar w:fldCharType="begin"/>
            </w:r>
            <w:r w:rsidR="00B6080E">
              <w:rPr>
                <w:noProof/>
                <w:webHidden/>
              </w:rPr>
              <w:instrText xml:space="preserve"> PAGEREF _Toc468345368 \h </w:instrText>
            </w:r>
            <w:r w:rsidR="00B6080E">
              <w:rPr>
                <w:noProof/>
                <w:webHidden/>
              </w:rPr>
            </w:r>
            <w:r w:rsidR="00B6080E">
              <w:rPr>
                <w:noProof/>
                <w:webHidden/>
              </w:rPr>
              <w:fldChar w:fldCharType="separate"/>
            </w:r>
            <w:r w:rsidR="00B6080E">
              <w:rPr>
                <w:noProof/>
                <w:webHidden/>
              </w:rPr>
              <w:t>51</w:t>
            </w:r>
            <w:r w:rsidR="00B6080E">
              <w:rPr>
                <w:noProof/>
                <w:webHidden/>
              </w:rPr>
              <w:fldChar w:fldCharType="end"/>
            </w:r>
          </w:hyperlink>
        </w:p>
        <w:p w14:paraId="38730810" w14:textId="3681B643" w:rsidR="00B6080E" w:rsidRDefault="00323A51">
          <w:pPr>
            <w:pStyle w:val="TOC4"/>
            <w:tabs>
              <w:tab w:val="left" w:pos="1540"/>
              <w:tab w:val="right" w:leader="dot" w:pos="9062"/>
            </w:tabs>
            <w:rPr>
              <w:rFonts w:asciiTheme="minorHAnsi" w:eastAsiaTheme="minorEastAsia" w:hAnsiTheme="minorHAnsi" w:cstheme="minorBidi"/>
              <w:noProof/>
              <w:sz w:val="22"/>
              <w:szCs w:val="22"/>
              <w:lang w:val="en-US"/>
            </w:rPr>
          </w:pPr>
          <w:hyperlink w:anchor="_Toc468345369" w:history="1">
            <w:r w:rsidR="00B6080E" w:rsidRPr="005555ED">
              <w:rPr>
                <w:rStyle w:val="Hyperlink"/>
                <w:rFonts w:cstheme="minorHAnsi"/>
                <w:noProof/>
              </w:rPr>
              <w:t>5.2.1.4</w:t>
            </w:r>
            <w:r w:rsidR="00B6080E">
              <w:rPr>
                <w:rFonts w:asciiTheme="minorHAnsi" w:eastAsiaTheme="minorEastAsia" w:hAnsiTheme="minorHAnsi" w:cstheme="minorBidi"/>
                <w:noProof/>
                <w:sz w:val="22"/>
                <w:szCs w:val="22"/>
                <w:lang w:val="en-US"/>
              </w:rPr>
              <w:tab/>
            </w:r>
            <w:r w:rsidR="00B6080E" w:rsidRPr="005555ED">
              <w:rPr>
                <w:rStyle w:val="Hyperlink"/>
                <w:rFonts w:cstheme="minorHAnsi"/>
                <w:noProof/>
              </w:rPr>
              <w:t>Potrošnja pojedinih tipova goriva u autobusnom prijevozu</w:t>
            </w:r>
            <w:r w:rsidR="00B6080E">
              <w:rPr>
                <w:noProof/>
                <w:webHidden/>
              </w:rPr>
              <w:tab/>
            </w:r>
            <w:r w:rsidR="00B6080E">
              <w:rPr>
                <w:noProof/>
                <w:webHidden/>
              </w:rPr>
              <w:fldChar w:fldCharType="begin"/>
            </w:r>
            <w:r w:rsidR="00B6080E">
              <w:rPr>
                <w:noProof/>
                <w:webHidden/>
              </w:rPr>
              <w:instrText xml:space="preserve"> PAGEREF _Toc468345369 \h </w:instrText>
            </w:r>
            <w:r w:rsidR="00B6080E">
              <w:rPr>
                <w:noProof/>
                <w:webHidden/>
              </w:rPr>
            </w:r>
            <w:r w:rsidR="00B6080E">
              <w:rPr>
                <w:noProof/>
                <w:webHidden/>
              </w:rPr>
              <w:fldChar w:fldCharType="separate"/>
            </w:r>
            <w:r w:rsidR="00B6080E">
              <w:rPr>
                <w:noProof/>
                <w:webHidden/>
              </w:rPr>
              <w:t>51</w:t>
            </w:r>
            <w:r w:rsidR="00B6080E">
              <w:rPr>
                <w:noProof/>
                <w:webHidden/>
              </w:rPr>
              <w:fldChar w:fldCharType="end"/>
            </w:r>
          </w:hyperlink>
        </w:p>
        <w:p w14:paraId="300915F9" w14:textId="4F1E3E06" w:rsidR="00B6080E" w:rsidRDefault="00323A51">
          <w:pPr>
            <w:pStyle w:val="TOC4"/>
            <w:tabs>
              <w:tab w:val="left" w:pos="1540"/>
              <w:tab w:val="right" w:leader="dot" w:pos="9062"/>
            </w:tabs>
            <w:rPr>
              <w:rFonts w:asciiTheme="minorHAnsi" w:eastAsiaTheme="minorEastAsia" w:hAnsiTheme="minorHAnsi" w:cstheme="minorBidi"/>
              <w:noProof/>
              <w:sz w:val="22"/>
              <w:szCs w:val="22"/>
              <w:lang w:val="en-US"/>
            </w:rPr>
          </w:pPr>
          <w:hyperlink w:anchor="_Toc468345370" w:history="1">
            <w:r w:rsidR="00B6080E" w:rsidRPr="005555ED">
              <w:rPr>
                <w:rStyle w:val="Hyperlink"/>
                <w:noProof/>
              </w:rPr>
              <w:t>5.2.1.5</w:t>
            </w:r>
            <w:r w:rsidR="00B6080E">
              <w:rPr>
                <w:rFonts w:asciiTheme="minorHAnsi" w:eastAsiaTheme="minorEastAsia" w:hAnsiTheme="minorHAnsi" w:cstheme="minorBidi"/>
                <w:noProof/>
                <w:sz w:val="22"/>
                <w:szCs w:val="22"/>
                <w:lang w:val="en-US"/>
              </w:rPr>
              <w:tab/>
            </w:r>
            <w:r w:rsidR="00B6080E" w:rsidRPr="005555ED">
              <w:rPr>
                <w:rStyle w:val="Hyperlink"/>
                <w:noProof/>
              </w:rPr>
              <w:t>Ostali javni prijevoz uspinjačom i specijaliziranim vozilima</w:t>
            </w:r>
            <w:r w:rsidR="00B6080E">
              <w:rPr>
                <w:noProof/>
                <w:webHidden/>
              </w:rPr>
              <w:tab/>
            </w:r>
            <w:r w:rsidR="00B6080E">
              <w:rPr>
                <w:noProof/>
                <w:webHidden/>
              </w:rPr>
              <w:fldChar w:fldCharType="begin"/>
            </w:r>
            <w:r w:rsidR="00B6080E">
              <w:rPr>
                <w:noProof/>
                <w:webHidden/>
              </w:rPr>
              <w:instrText xml:space="preserve"> PAGEREF _Toc468345370 \h </w:instrText>
            </w:r>
            <w:r w:rsidR="00B6080E">
              <w:rPr>
                <w:noProof/>
                <w:webHidden/>
              </w:rPr>
            </w:r>
            <w:r w:rsidR="00B6080E">
              <w:rPr>
                <w:noProof/>
                <w:webHidden/>
              </w:rPr>
              <w:fldChar w:fldCharType="separate"/>
            </w:r>
            <w:r w:rsidR="00B6080E">
              <w:rPr>
                <w:noProof/>
                <w:webHidden/>
              </w:rPr>
              <w:t>54</w:t>
            </w:r>
            <w:r w:rsidR="00B6080E">
              <w:rPr>
                <w:noProof/>
                <w:webHidden/>
              </w:rPr>
              <w:fldChar w:fldCharType="end"/>
            </w:r>
          </w:hyperlink>
        </w:p>
        <w:p w14:paraId="679CB8DD" w14:textId="0731606E" w:rsidR="00B6080E" w:rsidRDefault="00323A51">
          <w:pPr>
            <w:pStyle w:val="TOC4"/>
            <w:tabs>
              <w:tab w:val="left" w:pos="1540"/>
              <w:tab w:val="right" w:leader="dot" w:pos="9062"/>
            </w:tabs>
            <w:rPr>
              <w:rFonts w:asciiTheme="minorHAnsi" w:eastAsiaTheme="minorEastAsia" w:hAnsiTheme="minorHAnsi" w:cstheme="minorBidi"/>
              <w:noProof/>
              <w:sz w:val="22"/>
              <w:szCs w:val="22"/>
              <w:lang w:val="en-US"/>
            </w:rPr>
          </w:pPr>
          <w:hyperlink w:anchor="_Toc468345371" w:history="1">
            <w:r w:rsidR="00B6080E" w:rsidRPr="005555ED">
              <w:rPr>
                <w:rStyle w:val="Hyperlink"/>
                <w:noProof/>
              </w:rPr>
              <w:t>5.2.1.6</w:t>
            </w:r>
            <w:r w:rsidR="00B6080E">
              <w:rPr>
                <w:rFonts w:asciiTheme="minorHAnsi" w:eastAsiaTheme="minorEastAsia" w:hAnsiTheme="minorHAnsi" w:cstheme="minorBidi"/>
                <w:noProof/>
                <w:sz w:val="22"/>
                <w:szCs w:val="22"/>
                <w:lang w:val="en-US"/>
              </w:rPr>
              <w:tab/>
            </w:r>
            <w:r w:rsidR="00B6080E" w:rsidRPr="005555ED">
              <w:rPr>
                <w:rStyle w:val="Hyperlink"/>
                <w:noProof/>
              </w:rPr>
              <w:t>Potrošnja pojedinih tipova goriva ostalog javnog prijevoza uspinjačom i specijaliziranim vozilima</w:t>
            </w:r>
            <w:r w:rsidR="00B6080E">
              <w:rPr>
                <w:noProof/>
                <w:webHidden/>
              </w:rPr>
              <w:tab/>
            </w:r>
            <w:r w:rsidR="00B6080E">
              <w:rPr>
                <w:noProof/>
                <w:webHidden/>
              </w:rPr>
              <w:fldChar w:fldCharType="begin"/>
            </w:r>
            <w:r w:rsidR="00B6080E">
              <w:rPr>
                <w:noProof/>
                <w:webHidden/>
              </w:rPr>
              <w:instrText xml:space="preserve"> PAGEREF _Toc468345371 \h </w:instrText>
            </w:r>
            <w:r w:rsidR="00B6080E">
              <w:rPr>
                <w:noProof/>
                <w:webHidden/>
              </w:rPr>
            </w:r>
            <w:r w:rsidR="00B6080E">
              <w:rPr>
                <w:noProof/>
                <w:webHidden/>
              </w:rPr>
              <w:fldChar w:fldCharType="separate"/>
            </w:r>
            <w:r w:rsidR="00B6080E">
              <w:rPr>
                <w:noProof/>
                <w:webHidden/>
              </w:rPr>
              <w:t>54</w:t>
            </w:r>
            <w:r w:rsidR="00B6080E">
              <w:rPr>
                <w:noProof/>
                <w:webHidden/>
              </w:rPr>
              <w:fldChar w:fldCharType="end"/>
            </w:r>
          </w:hyperlink>
        </w:p>
        <w:p w14:paraId="026CD419" w14:textId="7D778D86" w:rsidR="00B6080E" w:rsidRDefault="00323A51">
          <w:pPr>
            <w:pStyle w:val="TOC3"/>
            <w:rPr>
              <w:rFonts w:asciiTheme="minorHAnsi" w:eastAsiaTheme="minorEastAsia" w:hAnsiTheme="minorHAnsi" w:cstheme="minorBidi"/>
              <w:bCs w:val="0"/>
              <w:i w:val="0"/>
              <w:iCs w:val="0"/>
              <w:sz w:val="22"/>
              <w:szCs w:val="22"/>
              <w:lang w:val="en-US"/>
            </w:rPr>
          </w:pPr>
          <w:hyperlink w:anchor="_Toc468345372" w:history="1">
            <w:r w:rsidR="00B6080E" w:rsidRPr="005555ED">
              <w:rPr>
                <w:rStyle w:val="Hyperlink"/>
                <w14:scene3d>
                  <w14:camera w14:prst="orthographicFront"/>
                  <w14:lightRig w14:rig="threePt" w14:dir="t">
                    <w14:rot w14:lat="0" w14:lon="0" w14:rev="0"/>
                  </w14:lightRig>
                </w14:scene3d>
              </w:rPr>
              <w:t>5.2.2</w:t>
            </w:r>
            <w:r w:rsidR="00B6080E">
              <w:rPr>
                <w:rFonts w:asciiTheme="minorHAnsi" w:eastAsiaTheme="minorEastAsia" w:hAnsiTheme="minorHAnsi" w:cstheme="minorBidi"/>
                <w:bCs w:val="0"/>
                <w:i w:val="0"/>
                <w:iCs w:val="0"/>
                <w:sz w:val="22"/>
                <w:szCs w:val="22"/>
                <w:lang w:val="en-US"/>
              </w:rPr>
              <w:tab/>
            </w:r>
            <w:r w:rsidR="00B6080E" w:rsidRPr="005555ED">
              <w:rPr>
                <w:rStyle w:val="Hyperlink"/>
              </w:rPr>
              <w:t>HŽ Putnički prijevoz d.o.o.</w:t>
            </w:r>
            <w:r w:rsidR="00B6080E">
              <w:rPr>
                <w:webHidden/>
              </w:rPr>
              <w:tab/>
            </w:r>
            <w:r w:rsidR="00B6080E">
              <w:rPr>
                <w:webHidden/>
              </w:rPr>
              <w:fldChar w:fldCharType="begin"/>
            </w:r>
            <w:r w:rsidR="00B6080E">
              <w:rPr>
                <w:webHidden/>
              </w:rPr>
              <w:instrText xml:space="preserve"> PAGEREF _Toc468345372 \h </w:instrText>
            </w:r>
            <w:r w:rsidR="00B6080E">
              <w:rPr>
                <w:webHidden/>
              </w:rPr>
            </w:r>
            <w:r w:rsidR="00B6080E">
              <w:rPr>
                <w:webHidden/>
              </w:rPr>
              <w:fldChar w:fldCharType="separate"/>
            </w:r>
            <w:r w:rsidR="00B6080E">
              <w:rPr>
                <w:webHidden/>
              </w:rPr>
              <w:t>56</w:t>
            </w:r>
            <w:r w:rsidR="00B6080E">
              <w:rPr>
                <w:webHidden/>
              </w:rPr>
              <w:fldChar w:fldCharType="end"/>
            </w:r>
          </w:hyperlink>
        </w:p>
        <w:p w14:paraId="24118672" w14:textId="27DC1E60" w:rsidR="00B6080E" w:rsidRDefault="00323A51">
          <w:pPr>
            <w:pStyle w:val="TOC2"/>
            <w:rPr>
              <w:rFonts w:asciiTheme="minorHAnsi" w:eastAsiaTheme="minorEastAsia" w:hAnsiTheme="minorHAnsi" w:cstheme="minorBidi"/>
              <w:smallCaps w:val="0"/>
              <w:noProof/>
              <w:sz w:val="22"/>
              <w:szCs w:val="22"/>
              <w:lang w:val="en-US"/>
            </w:rPr>
          </w:pPr>
          <w:hyperlink w:anchor="_Toc468345373" w:history="1">
            <w:r w:rsidR="00B6080E" w:rsidRPr="005555ED">
              <w:rPr>
                <w:rStyle w:val="Hyperlink"/>
                <w:noProof/>
                <w14:scene3d>
                  <w14:camera w14:prst="orthographicFront"/>
                  <w14:lightRig w14:rig="threePt" w14:dir="t">
                    <w14:rot w14:lat="0" w14:lon="0" w14:rev="0"/>
                  </w14:lightRig>
                </w14:scene3d>
              </w:rPr>
              <w:t>5.3</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OSOBNA I KOMERCIJALNA VOZILA</w:t>
            </w:r>
            <w:r w:rsidR="00B6080E">
              <w:rPr>
                <w:noProof/>
                <w:webHidden/>
              </w:rPr>
              <w:tab/>
            </w:r>
            <w:r w:rsidR="00B6080E">
              <w:rPr>
                <w:noProof/>
                <w:webHidden/>
              </w:rPr>
              <w:fldChar w:fldCharType="begin"/>
            </w:r>
            <w:r w:rsidR="00B6080E">
              <w:rPr>
                <w:noProof/>
                <w:webHidden/>
              </w:rPr>
              <w:instrText xml:space="preserve"> PAGEREF _Toc468345373 \h </w:instrText>
            </w:r>
            <w:r w:rsidR="00B6080E">
              <w:rPr>
                <w:noProof/>
                <w:webHidden/>
              </w:rPr>
            </w:r>
            <w:r w:rsidR="00B6080E">
              <w:rPr>
                <w:noProof/>
                <w:webHidden/>
              </w:rPr>
              <w:fldChar w:fldCharType="separate"/>
            </w:r>
            <w:r w:rsidR="00B6080E">
              <w:rPr>
                <w:noProof/>
                <w:webHidden/>
              </w:rPr>
              <w:t>57</w:t>
            </w:r>
            <w:r w:rsidR="00B6080E">
              <w:rPr>
                <w:noProof/>
                <w:webHidden/>
              </w:rPr>
              <w:fldChar w:fldCharType="end"/>
            </w:r>
          </w:hyperlink>
        </w:p>
        <w:p w14:paraId="4F5F8235" w14:textId="6ED0FD13" w:rsidR="00B6080E" w:rsidRDefault="00323A51">
          <w:pPr>
            <w:pStyle w:val="TOC3"/>
            <w:rPr>
              <w:rFonts w:asciiTheme="minorHAnsi" w:eastAsiaTheme="minorEastAsia" w:hAnsiTheme="minorHAnsi" w:cstheme="minorBidi"/>
              <w:bCs w:val="0"/>
              <w:i w:val="0"/>
              <w:iCs w:val="0"/>
              <w:sz w:val="22"/>
              <w:szCs w:val="22"/>
              <w:lang w:val="en-US"/>
            </w:rPr>
          </w:pPr>
          <w:hyperlink w:anchor="_Toc468345374" w:history="1">
            <w:r w:rsidR="00B6080E" w:rsidRPr="005555ED">
              <w:rPr>
                <w:rStyle w:val="Hyperlink"/>
                <w14:scene3d>
                  <w14:camera w14:prst="orthographicFront"/>
                  <w14:lightRig w14:rig="threePt" w14:dir="t">
                    <w14:rot w14:lat="0" w14:lon="0" w14:rev="0"/>
                  </w14:lightRig>
                </w14:scene3d>
              </w:rPr>
              <w:t>5.3.1</w:t>
            </w:r>
            <w:r w:rsidR="00B6080E">
              <w:rPr>
                <w:rFonts w:asciiTheme="minorHAnsi" w:eastAsiaTheme="minorEastAsia" w:hAnsiTheme="minorHAnsi" w:cstheme="minorBidi"/>
                <w:bCs w:val="0"/>
                <w:i w:val="0"/>
                <w:iCs w:val="0"/>
                <w:sz w:val="22"/>
                <w:szCs w:val="22"/>
                <w:lang w:val="en-US"/>
              </w:rPr>
              <w:tab/>
            </w:r>
            <w:r w:rsidR="00B6080E" w:rsidRPr="005555ED">
              <w:rPr>
                <w:rStyle w:val="Hyperlink"/>
              </w:rPr>
              <w:t>Opći podaci</w:t>
            </w:r>
            <w:r w:rsidR="00B6080E">
              <w:rPr>
                <w:webHidden/>
              </w:rPr>
              <w:tab/>
            </w:r>
            <w:r w:rsidR="00B6080E">
              <w:rPr>
                <w:webHidden/>
              </w:rPr>
              <w:fldChar w:fldCharType="begin"/>
            </w:r>
            <w:r w:rsidR="00B6080E">
              <w:rPr>
                <w:webHidden/>
              </w:rPr>
              <w:instrText xml:space="preserve"> PAGEREF _Toc468345374 \h </w:instrText>
            </w:r>
            <w:r w:rsidR="00B6080E">
              <w:rPr>
                <w:webHidden/>
              </w:rPr>
            </w:r>
            <w:r w:rsidR="00B6080E">
              <w:rPr>
                <w:webHidden/>
              </w:rPr>
              <w:fldChar w:fldCharType="separate"/>
            </w:r>
            <w:r w:rsidR="00B6080E">
              <w:rPr>
                <w:webHidden/>
              </w:rPr>
              <w:t>57</w:t>
            </w:r>
            <w:r w:rsidR="00B6080E">
              <w:rPr>
                <w:webHidden/>
              </w:rPr>
              <w:fldChar w:fldCharType="end"/>
            </w:r>
          </w:hyperlink>
        </w:p>
        <w:p w14:paraId="1E12FDFA" w14:textId="13748945" w:rsidR="00B6080E" w:rsidRDefault="00323A51">
          <w:pPr>
            <w:pStyle w:val="TOC3"/>
            <w:rPr>
              <w:rFonts w:asciiTheme="minorHAnsi" w:eastAsiaTheme="minorEastAsia" w:hAnsiTheme="minorHAnsi" w:cstheme="minorBidi"/>
              <w:bCs w:val="0"/>
              <w:i w:val="0"/>
              <w:iCs w:val="0"/>
              <w:sz w:val="22"/>
              <w:szCs w:val="22"/>
              <w:lang w:val="en-US"/>
            </w:rPr>
          </w:pPr>
          <w:hyperlink w:anchor="_Toc468345375" w:history="1">
            <w:r w:rsidR="00B6080E" w:rsidRPr="005555ED">
              <w:rPr>
                <w:rStyle w:val="Hyperlink"/>
                <w14:scene3d>
                  <w14:camera w14:prst="orthographicFront"/>
                  <w14:lightRig w14:rig="threePt" w14:dir="t">
                    <w14:rot w14:lat="0" w14:lon="0" w14:rev="0"/>
                  </w14:lightRig>
                </w14:scene3d>
              </w:rPr>
              <w:t>5.3.2</w:t>
            </w:r>
            <w:r w:rsidR="00B6080E">
              <w:rPr>
                <w:rFonts w:asciiTheme="minorHAnsi" w:eastAsiaTheme="minorEastAsia" w:hAnsiTheme="minorHAnsi" w:cstheme="minorBidi"/>
                <w:bCs w:val="0"/>
                <w:i w:val="0"/>
                <w:iCs w:val="0"/>
                <w:sz w:val="22"/>
                <w:szCs w:val="22"/>
                <w:lang w:val="en-US"/>
              </w:rPr>
              <w:tab/>
            </w:r>
            <w:r w:rsidR="00B6080E" w:rsidRPr="005555ED">
              <w:rPr>
                <w:rStyle w:val="Hyperlink"/>
              </w:rPr>
              <w:t>Prikaz trendova osobnih i komercijalnih vozila</w:t>
            </w:r>
            <w:r w:rsidR="00B6080E">
              <w:rPr>
                <w:webHidden/>
              </w:rPr>
              <w:tab/>
            </w:r>
            <w:r w:rsidR="00B6080E">
              <w:rPr>
                <w:webHidden/>
              </w:rPr>
              <w:fldChar w:fldCharType="begin"/>
            </w:r>
            <w:r w:rsidR="00B6080E">
              <w:rPr>
                <w:webHidden/>
              </w:rPr>
              <w:instrText xml:space="preserve"> PAGEREF _Toc468345375 \h </w:instrText>
            </w:r>
            <w:r w:rsidR="00B6080E">
              <w:rPr>
                <w:webHidden/>
              </w:rPr>
            </w:r>
            <w:r w:rsidR="00B6080E">
              <w:rPr>
                <w:webHidden/>
              </w:rPr>
              <w:fldChar w:fldCharType="separate"/>
            </w:r>
            <w:r w:rsidR="00B6080E">
              <w:rPr>
                <w:webHidden/>
              </w:rPr>
              <w:t>59</w:t>
            </w:r>
            <w:r w:rsidR="00B6080E">
              <w:rPr>
                <w:webHidden/>
              </w:rPr>
              <w:fldChar w:fldCharType="end"/>
            </w:r>
          </w:hyperlink>
        </w:p>
        <w:p w14:paraId="59A627AD" w14:textId="6A74C53F" w:rsidR="00B6080E" w:rsidRDefault="00323A51">
          <w:pPr>
            <w:pStyle w:val="TOC3"/>
            <w:rPr>
              <w:rFonts w:asciiTheme="minorHAnsi" w:eastAsiaTheme="minorEastAsia" w:hAnsiTheme="minorHAnsi" w:cstheme="minorBidi"/>
              <w:bCs w:val="0"/>
              <w:i w:val="0"/>
              <w:iCs w:val="0"/>
              <w:sz w:val="22"/>
              <w:szCs w:val="22"/>
              <w:lang w:val="en-US"/>
            </w:rPr>
          </w:pPr>
          <w:hyperlink w:anchor="_Toc468345376" w:history="1">
            <w:r w:rsidR="00B6080E" w:rsidRPr="005555ED">
              <w:rPr>
                <w:rStyle w:val="Hyperlink"/>
                <w14:scene3d>
                  <w14:camera w14:prst="orthographicFront"/>
                  <w14:lightRig w14:rig="threePt" w14:dir="t">
                    <w14:rot w14:lat="0" w14:lon="0" w14:rev="0"/>
                  </w14:lightRig>
                </w14:scene3d>
              </w:rPr>
              <w:t>5.3.3</w:t>
            </w:r>
            <w:r w:rsidR="00B6080E">
              <w:rPr>
                <w:rFonts w:asciiTheme="minorHAnsi" w:eastAsiaTheme="minorEastAsia" w:hAnsiTheme="minorHAnsi" w:cstheme="minorBidi"/>
                <w:bCs w:val="0"/>
                <w:i w:val="0"/>
                <w:iCs w:val="0"/>
                <w:sz w:val="22"/>
                <w:szCs w:val="22"/>
                <w:lang w:val="en-US"/>
              </w:rPr>
              <w:tab/>
            </w:r>
            <w:r w:rsidR="00B6080E" w:rsidRPr="005555ED">
              <w:rPr>
                <w:rStyle w:val="Hyperlink"/>
              </w:rPr>
              <w:t>Potrošnja goriva podsektora osobna i komercijalna vozila</w:t>
            </w:r>
            <w:r w:rsidR="00B6080E">
              <w:rPr>
                <w:webHidden/>
              </w:rPr>
              <w:tab/>
            </w:r>
            <w:r w:rsidR="00B6080E">
              <w:rPr>
                <w:webHidden/>
              </w:rPr>
              <w:fldChar w:fldCharType="begin"/>
            </w:r>
            <w:r w:rsidR="00B6080E">
              <w:rPr>
                <w:webHidden/>
              </w:rPr>
              <w:instrText xml:space="preserve"> PAGEREF _Toc468345376 \h </w:instrText>
            </w:r>
            <w:r w:rsidR="00B6080E">
              <w:rPr>
                <w:webHidden/>
              </w:rPr>
            </w:r>
            <w:r w:rsidR="00B6080E">
              <w:rPr>
                <w:webHidden/>
              </w:rPr>
              <w:fldChar w:fldCharType="separate"/>
            </w:r>
            <w:r w:rsidR="00B6080E">
              <w:rPr>
                <w:webHidden/>
              </w:rPr>
              <w:t>61</w:t>
            </w:r>
            <w:r w:rsidR="00B6080E">
              <w:rPr>
                <w:webHidden/>
              </w:rPr>
              <w:fldChar w:fldCharType="end"/>
            </w:r>
          </w:hyperlink>
        </w:p>
        <w:p w14:paraId="564CF91B" w14:textId="3BF9F2F8" w:rsidR="00B6080E" w:rsidRDefault="00323A51">
          <w:pPr>
            <w:pStyle w:val="TOC2"/>
            <w:rPr>
              <w:rFonts w:asciiTheme="minorHAnsi" w:eastAsiaTheme="minorEastAsia" w:hAnsiTheme="minorHAnsi" w:cstheme="minorBidi"/>
              <w:smallCaps w:val="0"/>
              <w:noProof/>
              <w:sz w:val="22"/>
              <w:szCs w:val="22"/>
              <w:lang w:val="en-US"/>
            </w:rPr>
          </w:pPr>
          <w:hyperlink w:anchor="_Toc468345377" w:history="1">
            <w:r w:rsidR="00B6080E" w:rsidRPr="005555ED">
              <w:rPr>
                <w:rStyle w:val="Hyperlink"/>
                <w:noProof/>
                <w14:scene3d>
                  <w14:camera w14:prst="orthographicFront"/>
                  <w14:lightRig w14:rig="threePt" w14:dir="t">
                    <w14:rot w14:lat="0" w14:lon="0" w14:rev="0"/>
                  </w14:lightRig>
                </w14:scene3d>
              </w:rPr>
              <w:t>5.4</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PRIKAZ REZULTATA PROVEDENE ANALIZE ENERGETSKE POTROŠNJE U SEKTORU PROMETA GRADA ZAGREBA U 2015. GODINI</w:t>
            </w:r>
            <w:r w:rsidR="00B6080E">
              <w:rPr>
                <w:noProof/>
                <w:webHidden/>
              </w:rPr>
              <w:tab/>
            </w:r>
            <w:r w:rsidR="00B6080E">
              <w:rPr>
                <w:noProof/>
                <w:webHidden/>
              </w:rPr>
              <w:fldChar w:fldCharType="begin"/>
            </w:r>
            <w:r w:rsidR="00B6080E">
              <w:rPr>
                <w:noProof/>
                <w:webHidden/>
              </w:rPr>
              <w:instrText xml:space="preserve"> PAGEREF _Toc468345377 \h </w:instrText>
            </w:r>
            <w:r w:rsidR="00B6080E">
              <w:rPr>
                <w:noProof/>
                <w:webHidden/>
              </w:rPr>
            </w:r>
            <w:r w:rsidR="00B6080E">
              <w:rPr>
                <w:noProof/>
                <w:webHidden/>
              </w:rPr>
              <w:fldChar w:fldCharType="separate"/>
            </w:r>
            <w:r w:rsidR="00B6080E">
              <w:rPr>
                <w:noProof/>
                <w:webHidden/>
              </w:rPr>
              <w:t>63</w:t>
            </w:r>
            <w:r w:rsidR="00B6080E">
              <w:rPr>
                <w:noProof/>
                <w:webHidden/>
              </w:rPr>
              <w:fldChar w:fldCharType="end"/>
            </w:r>
          </w:hyperlink>
        </w:p>
        <w:p w14:paraId="61FD51CE" w14:textId="5EC8CB6D" w:rsidR="00B6080E" w:rsidRDefault="00323A51">
          <w:pPr>
            <w:pStyle w:val="TOC1"/>
            <w:rPr>
              <w:rFonts w:asciiTheme="minorHAnsi" w:eastAsiaTheme="minorEastAsia" w:hAnsiTheme="minorHAnsi" w:cstheme="minorBidi"/>
              <w:b w:val="0"/>
              <w:bCs w:val="0"/>
              <w:caps w:val="0"/>
              <w:szCs w:val="22"/>
              <w:lang w:val="en-US"/>
            </w:rPr>
          </w:pPr>
          <w:hyperlink w:anchor="_Toc468345378" w:history="1">
            <w:r w:rsidR="00B6080E" w:rsidRPr="005555ED">
              <w:rPr>
                <w:rStyle w:val="Hyperlink"/>
              </w:rPr>
              <w:t>6</w:t>
            </w:r>
            <w:r w:rsidR="00B6080E">
              <w:rPr>
                <w:rFonts w:asciiTheme="minorHAnsi" w:eastAsiaTheme="minorEastAsia" w:hAnsiTheme="minorHAnsi" w:cstheme="minorBidi"/>
                <w:b w:val="0"/>
                <w:bCs w:val="0"/>
                <w:caps w:val="0"/>
                <w:szCs w:val="22"/>
                <w:lang w:val="en-US"/>
              </w:rPr>
              <w:tab/>
            </w:r>
            <w:r w:rsidR="00B6080E" w:rsidRPr="005555ED">
              <w:rPr>
                <w:rStyle w:val="Hyperlink"/>
              </w:rPr>
              <w:t>ANALIZA ENERGETSKE POTROŠNJE U SEKTORU JAVNE RASVJETE GRADA ZAGREBA U 2015. GODINI</w:t>
            </w:r>
            <w:r w:rsidR="00B6080E">
              <w:rPr>
                <w:webHidden/>
              </w:rPr>
              <w:tab/>
            </w:r>
            <w:r w:rsidR="00B6080E">
              <w:rPr>
                <w:webHidden/>
              </w:rPr>
              <w:fldChar w:fldCharType="begin"/>
            </w:r>
            <w:r w:rsidR="00B6080E">
              <w:rPr>
                <w:webHidden/>
              </w:rPr>
              <w:instrText xml:space="preserve"> PAGEREF _Toc468345378 \h </w:instrText>
            </w:r>
            <w:r w:rsidR="00B6080E">
              <w:rPr>
                <w:webHidden/>
              </w:rPr>
            </w:r>
            <w:r w:rsidR="00B6080E">
              <w:rPr>
                <w:webHidden/>
              </w:rPr>
              <w:fldChar w:fldCharType="separate"/>
            </w:r>
            <w:r w:rsidR="00B6080E">
              <w:rPr>
                <w:webHidden/>
              </w:rPr>
              <w:t>64</w:t>
            </w:r>
            <w:r w:rsidR="00B6080E">
              <w:rPr>
                <w:webHidden/>
              </w:rPr>
              <w:fldChar w:fldCharType="end"/>
            </w:r>
          </w:hyperlink>
        </w:p>
        <w:p w14:paraId="4E38333D" w14:textId="08BBF3C6" w:rsidR="00B6080E" w:rsidRDefault="00323A51">
          <w:pPr>
            <w:pStyle w:val="TOC2"/>
            <w:rPr>
              <w:rFonts w:asciiTheme="minorHAnsi" w:eastAsiaTheme="minorEastAsia" w:hAnsiTheme="minorHAnsi" w:cstheme="minorBidi"/>
              <w:smallCaps w:val="0"/>
              <w:noProof/>
              <w:sz w:val="22"/>
              <w:szCs w:val="22"/>
              <w:lang w:val="en-US"/>
            </w:rPr>
          </w:pPr>
          <w:hyperlink w:anchor="_Toc468345379" w:history="1">
            <w:r w:rsidR="00B6080E" w:rsidRPr="005555ED">
              <w:rPr>
                <w:rStyle w:val="Hyperlink"/>
                <w:noProof/>
                <w14:scene3d>
                  <w14:camera w14:prst="orthographicFront"/>
                  <w14:lightRig w14:rig="threePt" w14:dir="t">
                    <w14:rot w14:lat="0" w14:lon="0" w14:rev="0"/>
                  </w14:lightRig>
                </w14:scene3d>
              </w:rPr>
              <w:t>6.1</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Opći podaci o sektoru javne rasvjete Grada Zagreba</w:t>
            </w:r>
            <w:r w:rsidR="00B6080E">
              <w:rPr>
                <w:noProof/>
                <w:webHidden/>
              </w:rPr>
              <w:tab/>
            </w:r>
            <w:r w:rsidR="00B6080E">
              <w:rPr>
                <w:noProof/>
                <w:webHidden/>
              </w:rPr>
              <w:fldChar w:fldCharType="begin"/>
            </w:r>
            <w:r w:rsidR="00B6080E">
              <w:rPr>
                <w:noProof/>
                <w:webHidden/>
              </w:rPr>
              <w:instrText xml:space="preserve"> PAGEREF _Toc468345379 \h </w:instrText>
            </w:r>
            <w:r w:rsidR="00B6080E">
              <w:rPr>
                <w:noProof/>
                <w:webHidden/>
              </w:rPr>
            </w:r>
            <w:r w:rsidR="00B6080E">
              <w:rPr>
                <w:noProof/>
                <w:webHidden/>
              </w:rPr>
              <w:fldChar w:fldCharType="separate"/>
            </w:r>
            <w:r w:rsidR="00B6080E">
              <w:rPr>
                <w:noProof/>
                <w:webHidden/>
              </w:rPr>
              <w:t>64</w:t>
            </w:r>
            <w:r w:rsidR="00B6080E">
              <w:rPr>
                <w:noProof/>
                <w:webHidden/>
              </w:rPr>
              <w:fldChar w:fldCharType="end"/>
            </w:r>
          </w:hyperlink>
        </w:p>
        <w:p w14:paraId="5D12781C" w14:textId="3F2DC188" w:rsidR="00B6080E" w:rsidRDefault="00323A51">
          <w:pPr>
            <w:pStyle w:val="TOC2"/>
            <w:rPr>
              <w:rFonts w:asciiTheme="minorHAnsi" w:eastAsiaTheme="minorEastAsia" w:hAnsiTheme="minorHAnsi" w:cstheme="minorBidi"/>
              <w:smallCaps w:val="0"/>
              <w:noProof/>
              <w:sz w:val="22"/>
              <w:szCs w:val="22"/>
              <w:lang w:val="en-US"/>
            </w:rPr>
          </w:pPr>
          <w:hyperlink w:anchor="_Toc468345380" w:history="1">
            <w:r w:rsidR="00B6080E" w:rsidRPr="005555ED">
              <w:rPr>
                <w:rStyle w:val="Hyperlink"/>
                <w:noProof/>
                <w14:scene3d>
                  <w14:camera w14:prst="orthographicFront"/>
                  <w14:lightRig w14:rig="threePt" w14:dir="t">
                    <w14:rot w14:lat="0" w14:lon="0" w14:rev="0"/>
                  </w14:lightRig>
                </w14:scene3d>
              </w:rPr>
              <w:t>6.2</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Električna mreža javne rasvjete Grada Zagreba</w:t>
            </w:r>
            <w:r w:rsidR="00B6080E">
              <w:rPr>
                <w:noProof/>
                <w:webHidden/>
              </w:rPr>
              <w:tab/>
            </w:r>
            <w:r w:rsidR="00B6080E">
              <w:rPr>
                <w:noProof/>
                <w:webHidden/>
              </w:rPr>
              <w:fldChar w:fldCharType="begin"/>
            </w:r>
            <w:r w:rsidR="00B6080E">
              <w:rPr>
                <w:noProof/>
                <w:webHidden/>
              </w:rPr>
              <w:instrText xml:space="preserve"> PAGEREF _Toc468345380 \h </w:instrText>
            </w:r>
            <w:r w:rsidR="00B6080E">
              <w:rPr>
                <w:noProof/>
                <w:webHidden/>
              </w:rPr>
            </w:r>
            <w:r w:rsidR="00B6080E">
              <w:rPr>
                <w:noProof/>
                <w:webHidden/>
              </w:rPr>
              <w:fldChar w:fldCharType="separate"/>
            </w:r>
            <w:r w:rsidR="00B6080E">
              <w:rPr>
                <w:noProof/>
                <w:webHidden/>
              </w:rPr>
              <w:t>64</w:t>
            </w:r>
            <w:r w:rsidR="00B6080E">
              <w:rPr>
                <w:noProof/>
                <w:webHidden/>
              </w:rPr>
              <w:fldChar w:fldCharType="end"/>
            </w:r>
          </w:hyperlink>
        </w:p>
        <w:p w14:paraId="2896B8EB" w14:textId="7097D407" w:rsidR="00B6080E" w:rsidRDefault="00323A51">
          <w:pPr>
            <w:pStyle w:val="TOC3"/>
            <w:rPr>
              <w:rFonts w:asciiTheme="minorHAnsi" w:eastAsiaTheme="minorEastAsia" w:hAnsiTheme="minorHAnsi" w:cstheme="minorBidi"/>
              <w:bCs w:val="0"/>
              <w:i w:val="0"/>
              <w:iCs w:val="0"/>
              <w:sz w:val="22"/>
              <w:szCs w:val="22"/>
              <w:lang w:val="en-US"/>
            </w:rPr>
          </w:pPr>
          <w:hyperlink w:anchor="_Toc468345381" w:history="1">
            <w:r w:rsidR="00B6080E" w:rsidRPr="005555ED">
              <w:rPr>
                <w:rStyle w:val="Hyperlink"/>
                <w:rFonts w:eastAsia="Calibri"/>
                <w14:scene3d>
                  <w14:camera w14:prst="orthographicFront"/>
                  <w14:lightRig w14:rig="threePt" w14:dir="t">
                    <w14:rot w14:lat="0" w14:lon="0" w14:rev="0"/>
                  </w14:lightRig>
                </w14:scene3d>
              </w:rPr>
              <w:t>6.2.1</w:t>
            </w:r>
            <w:r w:rsidR="00B6080E">
              <w:rPr>
                <w:rFonts w:asciiTheme="minorHAnsi" w:eastAsiaTheme="minorEastAsia" w:hAnsiTheme="minorHAnsi" w:cstheme="minorBidi"/>
                <w:bCs w:val="0"/>
                <w:i w:val="0"/>
                <w:iCs w:val="0"/>
                <w:sz w:val="22"/>
                <w:szCs w:val="22"/>
                <w:lang w:val="en-US"/>
              </w:rPr>
              <w:tab/>
            </w:r>
            <w:r w:rsidR="00B6080E" w:rsidRPr="005555ED">
              <w:rPr>
                <w:rStyle w:val="Hyperlink"/>
                <w:rFonts w:eastAsia="Calibri"/>
              </w:rPr>
              <w:t>Struktura električne mreže javne rasvjete Grada Zagreba</w:t>
            </w:r>
            <w:r w:rsidR="00B6080E">
              <w:rPr>
                <w:webHidden/>
              </w:rPr>
              <w:tab/>
            </w:r>
            <w:r w:rsidR="00B6080E">
              <w:rPr>
                <w:webHidden/>
              </w:rPr>
              <w:fldChar w:fldCharType="begin"/>
            </w:r>
            <w:r w:rsidR="00B6080E">
              <w:rPr>
                <w:webHidden/>
              </w:rPr>
              <w:instrText xml:space="preserve"> PAGEREF _Toc468345381 \h </w:instrText>
            </w:r>
            <w:r w:rsidR="00B6080E">
              <w:rPr>
                <w:webHidden/>
              </w:rPr>
            </w:r>
            <w:r w:rsidR="00B6080E">
              <w:rPr>
                <w:webHidden/>
              </w:rPr>
              <w:fldChar w:fldCharType="separate"/>
            </w:r>
            <w:r w:rsidR="00B6080E">
              <w:rPr>
                <w:webHidden/>
              </w:rPr>
              <w:t>64</w:t>
            </w:r>
            <w:r w:rsidR="00B6080E">
              <w:rPr>
                <w:webHidden/>
              </w:rPr>
              <w:fldChar w:fldCharType="end"/>
            </w:r>
          </w:hyperlink>
        </w:p>
        <w:p w14:paraId="3940D4AE" w14:textId="22E65363" w:rsidR="00B6080E" w:rsidRDefault="00323A51">
          <w:pPr>
            <w:pStyle w:val="TOC3"/>
            <w:rPr>
              <w:rFonts w:asciiTheme="minorHAnsi" w:eastAsiaTheme="minorEastAsia" w:hAnsiTheme="minorHAnsi" w:cstheme="minorBidi"/>
              <w:bCs w:val="0"/>
              <w:i w:val="0"/>
              <w:iCs w:val="0"/>
              <w:sz w:val="22"/>
              <w:szCs w:val="22"/>
              <w:lang w:val="en-US"/>
            </w:rPr>
          </w:pPr>
          <w:hyperlink w:anchor="_Toc468345382" w:history="1">
            <w:r w:rsidR="00B6080E" w:rsidRPr="005555ED">
              <w:rPr>
                <w:rStyle w:val="Hyperlink"/>
                <w:lang w:eastAsia="hr-HR"/>
                <w14:scene3d>
                  <w14:camera w14:prst="orthographicFront"/>
                  <w14:lightRig w14:rig="threePt" w14:dir="t">
                    <w14:rot w14:lat="0" w14:lon="0" w14:rev="0"/>
                  </w14:lightRig>
                </w14:scene3d>
              </w:rPr>
              <w:t>6.2.2</w:t>
            </w:r>
            <w:r w:rsidR="00B6080E">
              <w:rPr>
                <w:rFonts w:asciiTheme="minorHAnsi" w:eastAsiaTheme="minorEastAsia" w:hAnsiTheme="minorHAnsi" w:cstheme="minorBidi"/>
                <w:bCs w:val="0"/>
                <w:i w:val="0"/>
                <w:iCs w:val="0"/>
                <w:sz w:val="22"/>
                <w:szCs w:val="22"/>
                <w:lang w:val="en-US"/>
              </w:rPr>
              <w:tab/>
            </w:r>
            <w:r w:rsidR="00B6080E" w:rsidRPr="005555ED">
              <w:rPr>
                <w:rStyle w:val="Hyperlink"/>
                <w:lang w:eastAsia="hr-HR"/>
              </w:rPr>
              <w:t>Potrošnja i trošak električne energije sektora javne rasvjete Grada Zagreba</w:t>
            </w:r>
            <w:r w:rsidR="00B6080E">
              <w:rPr>
                <w:webHidden/>
              </w:rPr>
              <w:tab/>
            </w:r>
            <w:r w:rsidR="00B6080E">
              <w:rPr>
                <w:webHidden/>
              </w:rPr>
              <w:fldChar w:fldCharType="begin"/>
            </w:r>
            <w:r w:rsidR="00B6080E">
              <w:rPr>
                <w:webHidden/>
              </w:rPr>
              <w:instrText xml:space="preserve"> PAGEREF _Toc468345382 \h </w:instrText>
            </w:r>
            <w:r w:rsidR="00B6080E">
              <w:rPr>
                <w:webHidden/>
              </w:rPr>
            </w:r>
            <w:r w:rsidR="00B6080E">
              <w:rPr>
                <w:webHidden/>
              </w:rPr>
              <w:fldChar w:fldCharType="separate"/>
            </w:r>
            <w:r w:rsidR="00B6080E">
              <w:rPr>
                <w:webHidden/>
              </w:rPr>
              <w:t>66</w:t>
            </w:r>
            <w:r w:rsidR="00B6080E">
              <w:rPr>
                <w:webHidden/>
              </w:rPr>
              <w:fldChar w:fldCharType="end"/>
            </w:r>
          </w:hyperlink>
        </w:p>
        <w:p w14:paraId="072BF1BA" w14:textId="6907DB98" w:rsidR="00B6080E" w:rsidRDefault="00323A51">
          <w:pPr>
            <w:pStyle w:val="TOC1"/>
            <w:rPr>
              <w:rFonts w:asciiTheme="minorHAnsi" w:eastAsiaTheme="minorEastAsia" w:hAnsiTheme="minorHAnsi" w:cstheme="minorBidi"/>
              <w:b w:val="0"/>
              <w:bCs w:val="0"/>
              <w:caps w:val="0"/>
              <w:szCs w:val="22"/>
              <w:lang w:val="en-US"/>
            </w:rPr>
          </w:pPr>
          <w:hyperlink w:anchor="_Toc468345383" w:history="1">
            <w:r w:rsidR="00B6080E" w:rsidRPr="005555ED">
              <w:rPr>
                <w:rStyle w:val="Hyperlink"/>
              </w:rPr>
              <w:t>7</w:t>
            </w:r>
            <w:r w:rsidR="00B6080E">
              <w:rPr>
                <w:rFonts w:asciiTheme="minorHAnsi" w:eastAsiaTheme="minorEastAsia" w:hAnsiTheme="minorHAnsi" w:cstheme="minorBidi"/>
                <w:b w:val="0"/>
                <w:bCs w:val="0"/>
                <w:caps w:val="0"/>
                <w:szCs w:val="22"/>
                <w:lang w:val="en-US"/>
              </w:rPr>
              <w:tab/>
            </w:r>
            <w:r w:rsidR="00B6080E" w:rsidRPr="005555ED">
              <w:rPr>
                <w:rStyle w:val="Hyperlink"/>
              </w:rPr>
              <w:t>KONTROLNI INVENTAR EMISIJA CO</w:t>
            </w:r>
            <w:r w:rsidR="00B6080E" w:rsidRPr="005555ED">
              <w:rPr>
                <w:rStyle w:val="Hyperlink"/>
                <w:vertAlign w:val="subscript"/>
              </w:rPr>
              <w:t>2</w:t>
            </w:r>
            <w:r w:rsidR="00B6080E" w:rsidRPr="005555ED">
              <w:rPr>
                <w:rStyle w:val="Hyperlink"/>
              </w:rPr>
              <w:t xml:space="preserve"> (MEI) ZA 2015. GODINU</w:t>
            </w:r>
            <w:r w:rsidR="00B6080E">
              <w:rPr>
                <w:webHidden/>
              </w:rPr>
              <w:tab/>
            </w:r>
            <w:r w:rsidR="00B6080E">
              <w:rPr>
                <w:webHidden/>
              </w:rPr>
              <w:fldChar w:fldCharType="begin"/>
            </w:r>
            <w:r w:rsidR="00B6080E">
              <w:rPr>
                <w:webHidden/>
              </w:rPr>
              <w:instrText xml:space="preserve"> PAGEREF _Toc468345383 \h </w:instrText>
            </w:r>
            <w:r w:rsidR="00B6080E">
              <w:rPr>
                <w:webHidden/>
              </w:rPr>
            </w:r>
            <w:r w:rsidR="00B6080E">
              <w:rPr>
                <w:webHidden/>
              </w:rPr>
              <w:fldChar w:fldCharType="separate"/>
            </w:r>
            <w:r w:rsidR="00B6080E">
              <w:rPr>
                <w:webHidden/>
              </w:rPr>
              <w:t>68</w:t>
            </w:r>
            <w:r w:rsidR="00B6080E">
              <w:rPr>
                <w:webHidden/>
              </w:rPr>
              <w:fldChar w:fldCharType="end"/>
            </w:r>
          </w:hyperlink>
        </w:p>
        <w:p w14:paraId="3BE5303B" w14:textId="3C7CBD98" w:rsidR="00B6080E" w:rsidRDefault="00323A51">
          <w:pPr>
            <w:pStyle w:val="TOC2"/>
            <w:rPr>
              <w:rFonts w:asciiTheme="minorHAnsi" w:eastAsiaTheme="minorEastAsia" w:hAnsiTheme="minorHAnsi" w:cstheme="minorBidi"/>
              <w:smallCaps w:val="0"/>
              <w:noProof/>
              <w:sz w:val="22"/>
              <w:szCs w:val="22"/>
              <w:lang w:val="en-US"/>
            </w:rPr>
          </w:pPr>
          <w:hyperlink w:anchor="_Toc468345384" w:history="1">
            <w:r w:rsidR="00B6080E" w:rsidRPr="005555ED">
              <w:rPr>
                <w:rStyle w:val="Hyperlink"/>
                <w:rFonts w:cstheme="minorHAnsi"/>
                <w:noProof/>
                <w14:scene3d>
                  <w14:camera w14:prst="orthographicFront"/>
                  <w14:lightRig w14:rig="threePt" w14:dir="t">
                    <w14:rot w14:lat="0" w14:lon="0" w14:rev="0"/>
                  </w14:lightRig>
                </w14:scene3d>
              </w:rPr>
              <w:t>7.1</w:t>
            </w:r>
            <w:r w:rsidR="00B6080E">
              <w:rPr>
                <w:rFonts w:asciiTheme="minorHAnsi" w:eastAsiaTheme="minorEastAsia" w:hAnsiTheme="minorHAnsi" w:cstheme="minorBidi"/>
                <w:smallCaps w:val="0"/>
                <w:noProof/>
                <w:sz w:val="22"/>
                <w:szCs w:val="22"/>
                <w:lang w:val="en-US"/>
              </w:rPr>
              <w:tab/>
            </w:r>
            <w:r w:rsidR="00B6080E" w:rsidRPr="005555ED">
              <w:rPr>
                <w:rStyle w:val="Hyperlink"/>
                <w:rFonts w:cstheme="minorHAnsi"/>
                <w:noProof/>
              </w:rPr>
              <w:t>Kontrolni inventar emisija CO</w:t>
            </w:r>
            <w:r w:rsidR="00B6080E" w:rsidRPr="005555ED">
              <w:rPr>
                <w:rStyle w:val="Hyperlink"/>
                <w:rFonts w:cstheme="minorHAnsi"/>
                <w:noProof/>
                <w:vertAlign w:val="subscript"/>
              </w:rPr>
              <w:t>2</w:t>
            </w:r>
            <w:r w:rsidR="00B6080E" w:rsidRPr="005555ED">
              <w:rPr>
                <w:rStyle w:val="Hyperlink"/>
                <w:rFonts w:cstheme="minorHAnsi"/>
                <w:noProof/>
              </w:rPr>
              <w:t xml:space="preserve"> iz sektora zgradarstva Grada Zagreba za 2015. godinu</w:t>
            </w:r>
            <w:r w:rsidR="00B6080E">
              <w:rPr>
                <w:noProof/>
                <w:webHidden/>
              </w:rPr>
              <w:tab/>
            </w:r>
            <w:r w:rsidR="00B6080E">
              <w:rPr>
                <w:noProof/>
                <w:webHidden/>
              </w:rPr>
              <w:fldChar w:fldCharType="begin"/>
            </w:r>
            <w:r w:rsidR="00B6080E">
              <w:rPr>
                <w:noProof/>
                <w:webHidden/>
              </w:rPr>
              <w:instrText xml:space="preserve"> PAGEREF _Toc468345384 \h </w:instrText>
            </w:r>
            <w:r w:rsidR="00B6080E">
              <w:rPr>
                <w:noProof/>
                <w:webHidden/>
              </w:rPr>
            </w:r>
            <w:r w:rsidR="00B6080E">
              <w:rPr>
                <w:noProof/>
                <w:webHidden/>
              </w:rPr>
              <w:fldChar w:fldCharType="separate"/>
            </w:r>
            <w:r w:rsidR="00B6080E">
              <w:rPr>
                <w:noProof/>
                <w:webHidden/>
              </w:rPr>
              <w:t>68</w:t>
            </w:r>
            <w:r w:rsidR="00B6080E">
              <w:rPr>
                <w:noProof/>
                <w:webHidden/>
              </w:rPr>
              <w:fldChar w:fldCharType="end"/>
            </w:r>
          </w:hyperlink>
        </w:p>
        <w:p w14:paraId="62782218" w14:textId="614FD92B" w:rsidR="00B6080E" w:rsidRDefault="00323A51">
          <w:pPr>
            <w:pStyle w:val="TOC2"/>
            <w:rPr>
              <w:rFonts w:asciiTheme="minorHAnsi" w:eastAsiaTheme="minorEastAsia" w:hAnsiTheme="minorHAnsi" w:cstheme="minorBidi"/>
              <w:smallCaps w:val="0"/>
              <w:noProof/>
              <w:sz w:val="22"/>
              <w:szCs w:val="22"/>
              <w:lang w:val="en-US"/>
            </w:rPr>
          </w:pPr>
          <w:hyperlink w:anchor="_Toc468345385" w:history="1">
            <w:r w:rsidR="00B6080E" w:rsidRPr="005555ED">
              <w:rPr>
                <w:rStyle w:val="Hyperlink"/>
                <w:noProof/>
                <w14:scene3d>
                  <w14:camera w14:prst="orthographicFront"/>
                  <w14:lightRig w14:rig="threePt" w14:dir="t">
                    <w14:rot w14:lat="0" w14:lon="0" w14:rev="0"/>
                  </w14:lightRig>
                </w14:scene3d>
              </w:rPr>
              <w:t>7.2</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Kontrolni inventar emisija CO</w:t>
            </w:r>
            <w:r w:rsidR="00B6080E" w:rsidRPr="005555ED">
              <w:rPr>
                <w:rStyle w:val="Hyperlink"/>
                <w:noProof/>
                <w:vertAlign w:val="subscript"/>
              </w:rPr>
              <w:t>2</w:t>
            </w:r>
            <w:r w:rsidR="00B6080E" w:rsidRPr="005555ED">
              <w:rPr>
                <w:rStyle w:val="Hyperlink"/>
                <w:noProof/>
              </w:rPr>
              <w:t xml:space="preserve"> iz sektora prometa za 2015. godinu</w:t>
            </w:r>
            <w:r w:rsidR="00B6080E">
              <w:rPr>
                <w:noProof/>
                <w:webHidden/>
              </w:rPr>
              <w:tab/>
            </w:r>
            <w:r w:rsidR="00B6080E">
              <w:rPr>
                <w:noProof/>
                <w:webHidden/>
              </w:rPr>
              <w:fldChar w:fldCharType="begin"/>
            </w:r>
            <w:r w:rsidR="00B6080E">
              <w:rPr>
                <w:noProof/>
                <w:webHidden/>
              </w:rPr>
              <w:instrText xml:space="preserve"> PAGEREF _Toc468345385 \h </w:instrText>
            </w:r>
            <w:r w:rsidR="00B6080E">
              <w:rPr>
                <w:noProof/>
                <w:webHidden/>
              </w:rPr>
            </w:r>
            <w:r w:rsidR="00B6080E">
              <w:rPr>
                <w:noProof/>
                <w:webHidden/>
              </w:rPr>
              <w:fldChar w:fldCharType="separate"/>
            </w:r>
            <w:r w:rsidR="00B6080E">
              <w:rPr>
                <w:noProof/>
                <w:webHidden/>
              </w:rPr>
              <w:t>71</w:t>
            </w:r>
            <w:r w:rsidR="00B6080E">
              <w:rPr>
                <w:noProof/>
                <w:webHidden/>
              </w:rPr>
              <w:fldChar w:fldCharType="end"/>
            </w:r>
          </w:hyperlink>
        </w:p>
        <w:p w14:paraId="35C0EAAE" w14:textId="1D63E90D" w:rsidR="00B6080E" w:rsidRDefault="00323A51">
          <w:pPr>
            <w:pStyle w:val="TOC3"/>
            <w:rPr>
              <w:rFonts w:asciiTheme="minorHAnsi" w:eastAsiaTheme="minorEastAsia" w:hAnsiTheme="minorHAnsi" w:cstheme="minorBidi"/>
              <w:bCs w:val="0"/>
              <w:i w:val="0"/>
              <w:iCs w:val="0"/>
              <w:sz w:val="22"/>
              <w:szCs w:val="22"/>
              <w:lang w:val="en-US"/>
            </w:rPr>
          </w:pPr>
          <w:hyperlink w:anchor="_Toc468345386" w:history="1">
            <w:r w:rsidR="00B6080E" w:rsidRPr="005555ED">
              <w:rPr>
                <w:rStyle w:val="Hyperlink"/>
                <w14:scene3d>
                  <w14:camera w14:prst="orthographicFront"/>
                  <w14:lightRig w14:rig="threePt" w14:dir="t">
                    <w14:rot w14:lat="0" w14:lon="0" w14:rev="0"/>
                  </w14:lightRig>
                </w14:scene3d>
              </w:rPr>
              <w:t>7.2.1</w:t>
            </w:r>
            <w:r w:rsidR="00B6080E">
              <w:rPr>
                <w:rFonts w:asciiTheme="minorHAnsi" w:eastAsiaTheme="minorEastAsia" w:hAnsiTheme="minorHAnsi" w:cstheme="minorBidi"/>
                <w:bCs w:val="0"/>
                <w:i w:val="0"/>
                <w:iCs w:val="0"/>
                <w:sz w:val="22"/>
                <w:szCs w:val="22"/>
                <w:lang w:val="en-US"/>
              </w:rPr>
              <w:tab/>
            </w:r>
            <w:r w:rsidR="00B6080E" w:rsidRPr="005555ED">
              <w:rPr>
                <w:rStyle w:val="Hyperlink"/>
              </w:rPr>
              <w:t>Metodologija izrade Kontrolnog inventara emisija CO</w:t>
            </w:r>
            <w:r w:rsidR="00B6080E" w:rsidRPr="005555ED">
              <w:rPr>
                <w:rStyle w:val="Hyperlink"/>
                <w:vertAlign w:val="subscript"/>
              </w:rPr>
              <w:t>2</w:t>
            </w:r>
            <w:r w:rsidR="00B6080E" w:rsidRPr="005555ED">
              <w:rPr>
                <w:rStyle w:val="Hyperlink"/>
              </w:rPr>
              <w:t xml:space="preserve"> iz sektora prometa za 2015. godinu</w:t>
            </w:r>
            <w:r w:rsidR="00B6080E">
              <w:rPr>
                <w:webHidden/>
              </w:rPr>
              <w:tab/>
            </w:r>
            <w:r w:rsidR="00B6080E">
              <w:rPr>
                <w:webHidden/>
              </w:rPr>
              <w:fldChar w:fldCharType="begin"/>
            </w:r>
            <w:r w:rsidR="00B6080E">
              <w:rPr>
                <w:webHidden/>
              </w:rPr>
              <w:instrText xml:space="preserve"> PAGEREF _Toc468345386 \h </w:instrText>
            </w:r>
            <w:r w:rsidR="00B6080E">
              <w:rPr>
                <w:webHidden/>
              </w:rPr>
            </w:r>
            <w:r w:rsidR="00B6080E">
              <w:rPr>
                <w:webHidden/>
              </w:rPr>
              <w:fldChar w:fldCharType="separate"/>
            </w:r>
            <w:r w:rsidR="00B6080E">
              <w:rPr>
                <w:webHidden/>
              </w:rPr>
              <w:t>71</w:t>
            </w:r>
            <w:r w:rsidR="00B6080E">
              <w:rPr>
                <w:webHidden/>
              </w:rPr>
              <w:fldChar w:fldCharType="end"/>
            </w:r>
          </w:hyperlink>
        </w:p>
        <w:p w14:paraId="44F7E7A2" w14:textId="11122522" w:rsidR="00B6080E" w:rsidRDefault="00323A51">
          <w:pPr>
            <w:pStyle w:val="TOC2"/>
            <w:rPr>
              <w:rFonts w:asciiTheme="minorHAnsi" w:eastAsiaTheme="minorEastAsia" w:hAnsiTheme="minorHAnsi" w:cstheme="minorBidi"/>
              <w:smallCaps w:val="0"/>
              <w:noProof/>
              <w:sz w:val="22"/>
              <w:szCs w:val="22"/>
              <w:lang w:val="en-US"/>
            </w:rPr>
          </w:pPr>
          <w:hyperlink w:anchor="_Toc468345387" w:history="1">
            <w:r w:rsidR="00B6080E" w:rsidRPr="005555ED">
              <w:rPr>
                <w:rStyle w:val="Hyperlink"/>
                <w:noProof/>
                <w14:scene3d>
                  <w14:camera w14:prst="orthographicFront"/>
                  <w14:lightRig w14:rig="threePt" w14:dir="t">
                    <w14:rot w14:lat="0" w14:lon="0" w14:rev="0"/>
                  </w14:lightRig>
                </w14:scene3d>
              </w:rPr>
              <w:t>7.3</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Kontrolni inventar emisija CO</w:t>
            </w:r>
            <w:r w:rsidR="00B6080E" w:rsidRPr="005555ED">
              <w:rPr>
                <w:rStyle w:val="Hyperlink"/>
                <w:noProof/>
                <w:vertAlign w:val="subscript"/>
              </w:rPr>
              <w:t>2</w:t>
            </w:r>
            <w:r w:rsidR="00B6080E" w:rsidRPr="005555ED">
              <w:rPr>
                <w:rStyle w:val="Hyperlink"/>
                <w:noProof/>
              </w:rPr>
              <w:t xml:space="preserve"> iz sektora javne rasvjete Grada Zagreba u 2015. godini</w:t>
            </w:r>
            <w:r w:rsidR="00B6080E">
              <w:rPr>
                <w:noProof/>
                <w:webHidden/>
              </w:rPr>
              <w:tab/>
            </w:r>
            <w:r w:rsidR="00B6080E">
              <w:rPr>
                <w:noProof/>
                <w:webHidden/>
              </w:rPr>
              <w:fldChar w:fldCharType="begin"/>
            </w:r>
            <w:r w:rsidR="00B6080E">
              <w:rPr>
                <w:noProof/>
                <w:webHidden/>
              </w:rPr>
              <w:instrText xml:space="preserve"> PAGEREF _Toc468345387 \h </w:instrText>
            </w:r>
            <w:r w:rsidR="00B6080E">
              <w:rPr>
                <w:noProof/>
                <w:webHidden/>
              </w:rPr>
            </w:r>
            <w:r w:rsidR="00B6080E">
              <w:rPr>
                <w:noProof/>
                <w:webHidden/>
              </w:rPr>
              <w:fldChar w:fldCharType="separate"/>
            </w:r>
            <w:r w:rsidR="00B6080E">
              <w:rPr>
                <w:noProof/>
                <w:webHidden/>
              </w:rPr>
              <w:t>72</w:t>
            </w:r>
            <w:r w:rsidR="00B6080E">
              <w:rPr>
                <w:noProof/>
                <w:webHidden/>
              </w:rPr>
              <w:fldChar w:fldCharType="end"/>
            </w:r>
          </w:hyperlink>
        </w:p>
        <w:p w14:paraId="757E0432" w14:textId="428912C4" w:rsidR="00B6080E" w:rsidRDefault="00323A51">
          <w:pPr>
            <w:pStyle w:val="TOC2"/>
            <w:rPr>
              <w:rFonts w:asciiTheme="minorHAnsi" w:eastAsiaTheme="minorEastAsia" w:hAnsiTheme="minorHAnsi" w:cstheme="minorBidi"/>
              <w:smallCaps w:val="0"/>
              <w:noProof/>
              <w:sz w:val="22"/>
              <w:szCs w:val="22"/>
              <w:lang w:val="en-US"/>
            </w:rPr>
          </w:pPr>
          <w:hyperlink w:anchor="_Toc468345388" w:history="1">
            <w:r w:rsidR="00B6080E" w:rsidRPr="005555ED">
              <w:rPr>
                <w:rStyle w:val="Hyperlink"/>
                <w:noProof/>
                <w14:scene3d>
                  <w14:camera w14:prst="orthographicFront"/>
                  <w14:lightRig w14:rig="threePt" w14:dir="t">
                    <w14:rot w14:lat="0" w14:lon="0" w14:rev="0"/>
                  </w14:lightRig>
                </w14:scene3d>
              </w:rPr>
              <w:t>7.4</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Ukupni Kontrolni inventar emisija CO</w:t>
            </w:r>
            <w:r w:rsidR="00B6080E" w:rsidRPr="005555ED">
              <w:rPr>
                <w:rStyle w:val="Hyperlink"/>
                <w:noProof/>
                <w:vertAlign w:val="subscript"/>
              </w:rPr>
              <w:t>2</w:t>
            </w:r>
            <w:r w:rsidR="00B6080E" w:rsidRPr="005555ED">
              <w:rPr>
                <w:rStyle w:val="Hyperlink"/>
                <w:noProof/>
              </w:rPr>
              <w:t xml:space="preserve"> Grada Zagreba</w:t>
            </w:r>
            <w:r w:rsidR="00B6080E">
              <w:rPr>
                <w:noProof/>
                <w:webHidden/>
              </w:rPr>
              <w:tab/>
            </w:r>
            <w:r w:rsidR="00B6080E">
              <w:rPr>
                <w:noProof/>
                <w:webHidden/>
              </w:rPr>
              <w:fldChar w:fldCharType="begin"/>
            </w:r>
            <w:r w:rsidR="00B6080E">
              <w:rPr>
                <w:noProof/>
                <w:webHidden/>
              </w:rPr>
              <w:instrText xml:space="preserve"> PAGEREF _Toc468345388 \h </w:instrText>
            </w:r>
            <w:r w:rsidR="00B6080E">
              <w:rPr>
                <w:noProof/>
                <w:webHidden/>
              </w:rPr>
            </w:r>
            <w:r w:rsidR="00B6080E">
              <w:rPr>
                <w:noProof/>
                <w:webHidden/>
              </w:rPr>
              <w:fldChar w:fldCharType="separate"/>
            </w:r>
            <w:r w:rsidR="00B6080E">
              <w:rPr>
                <w:noProof/>
                <w:webHidden/>
              </w:rPr>
              <w:t>73</w:t>
            </w:r>
            <w:r w:rsidR="00B6080E">
              <w:rPr>
                <w:noProof/>
                <w:webHidden/>
              </w:rPr>
              <w:fldChar w:fldCharType="end"/>
            </w:r>
          </w:hyperlink>
        </w:p>
        <w:p w14:paraId="7E73E3E7" w14:textId="71DAC217" w:rsidR="00B6080E" w:rsidRDefault="00323A51">
          <w:pPr>
            <w:pStyle w:val="TOC3"/>
            <w:rPr>
              <w:rFonts w:asciiTheme="minorHAnsi" w:eastAsiaTheme="minorEastAsia" w:hAnsiTheme="minorHAnsi" w:cstheme="minorBidi"/>
              <w:bCs w:val="0"/>
              <w:i w:val="0"/>
              <w:iCs w:val="0"/>
              <w:sz w:val="22"/>
              <w:szCs w:val="22"/>
              <w:lang w:val="en-US"/>
            </w:rPr>
          </w:pPr>
          <w:hyperlink w:anchor="_Toc468345389" w:history="1">
            <w:r w:rsidR="00B6080E" w:rsidRPr="005555ED">
              <w:rPr>
                <w:rStyle w:val="Hyperlink"/>
                <w:rFonts w:cstheme="minorHAnsi"/>
                <w14:scene3d>
                  <w14:camera w14:prst="orthographicFront"/>
                  <w14:lightRig w14:rig="threePt" w14:dir="t">
                    <w14:rot w14:lat="0" w14:lon="0" w14:rev="0"/>
                  </w14:lightRig>
                </w14:scene3d>
              </w:rPr>
              <w:t>7.4.1</w:t>
            </w:r>
            <w:r w:rsidR="00B6080E">
              <w:rPr>
                <w:rFonts w:asciiTheme="minorHAnsi" w:eastAsiaTheme="minorEastAsia" w:hAnsiTheme="minorHAnsi" w:cstheme="minorBidi"/>
                <w:bCs w:val="0"/>
                <w:i w:val="0"/>
                <w:iCs w:val="0"/>
                <w:sz w:val="22"/>
                <w:szCs w:val="22"/>
                <w:lang w:val="en-US"/>
              </w:rPr>
              <w:tab/>
            </w:r>
            <w:r w:rsidR="00B6080E" w:rsidRPr="005555ED">
              <w:rPr>
                <w:rStyle w:val="Hyperlink"/>
                <w:rFonts w:cstheme="minorHAnsi"/>
              </w:rPr>
              <w:t>Kontrolni inventar emisije CO</w:t>
            </w:r>
            <w:r w:rsidR="00B6080E" w:rsidRPr="005555ED">
              <w:rPr>
                <w:rStyle w:val="Hyperlink"/>
                <w:rFonts w:cstheme="minorHAnsi"/>
                <w:vertAlign w:val="subscript"/>
              </w:rPr>
              <w:t>2</w:t>
            </w:r>
            <w:r w:rsidR="00B6080E" w:rsidRPr="005555ED">
              <w:rPr>
                <w:rStyle w:val="Hyperlink"/>
                <w:rFonts w:cstheme="minorHAnsi"/>
              </w:rPr>
              <w:t xml:space="preserve"> Grada Zagreba u 2015. godini</w:t>
            </w:r>
            <w:r w:rsidR="00B6080E">
              <w:rPr>
                <w:webHidden/>
              </w:rPr>
              <w:tab/>
            </w:r>
            <w:r w:rsidR="00B6080E">
              <w:rPr>
                <w:webHidden/>
              </w:rPr>
              <w:fldChar w:fldCharType="begin"/>
            </w:r>
            <w:r w:rsidR="00B6080E">
              <w:rPr>
                <w:webHidden/>
              </w:rPr>
              <w:instrText xml:space="preserve"> PAGEREF _Toc468345389 \h </w:instrText>
            </w:r>
            <w:r w:rsidR="00B6080E">
              <w:rPr>
                <w:webHidden/>
              </w:rPr>
            </w:r>
            <w:r w:rsidR="00B6080E">
              <w:rPr>
                <w:webHidden/>
              </w:rPr>
              <w:fldChar w:fldCharType="separate"/>
            </w:r>
            <w:r w:rsidR="00B6080E">
              <w:rPr>
                <w:webHidden/>
              </w:rPr>
              <w:t>76</w:t>
            </w:r>
            <w:r w:rsidR="00B6080E">
              <w:rPr>
                <w:webHidden/>
              </w:rPr>
              <w:fldChar w:fldCharType="end"/>
            </w:r>
          </w:hyperlink>
        </w:p>
        <w:p w14:paraId="3EFB0AEE" w14:textId="0A578EB6" w:rsidR="00B6080E" w:rsidRDefault="00323A51">
          <w:pPr>
            <w:pStyle w:val="TOC1"/>
            <w:rPr>
              <w:rFonts w:asciiTheme="minorHAnsi" w:eastAsiaTheme="minorEastAsia" w:hAnsiTheme="minorHAnsi" w:cstheme="minorBidi"/>
              <w:b w:val="0"/>
              <w:bCs w:val="0"/>
              <w:caps w:val="0"/>
              <w:szCs w:val="22"/>
              <w:lang w:val="en-US"/>
            </w:rPr>
          </w:pPr>
          <w:hyperlink w:anchor="_Toc468345390" w:history="1">
            <w:r w:rsidR="00B6080E" w:rsidRPr="005555ED">
              <w:rPr>
                <w:rStyle w:val="Hyperlink"/>
              </w:rPr>
              <w:t>8</w:t>
            </w:r>
            <w:r w:rsidR="00B6080E">
              <w:rPr>
                <w:rFonts w:asciiTheme="minorHAnsi" w:eastAsiaTheme="minorEastAsia" w:hAnsiTheme="minorHAnsi" w:cstheme="minorBidi"/>
                <w:b w:val="0"/>
                <w:bCs w:val="0"/>
                <w:caps w:val="0"/>
                <w:szCs w:val="22"/>
                <w:lang w:val="en-US"/>
              </w:rPr>
              <w:tab/>
            </w:r>
            <w:r w:rsidR="00B6080E" w:rsidRPr="005555ED">
              <w:rPr>
                <w:rStyle w:val="Hyperlink"/>
              </w:rPr>
              <w:t>USPOREDBA REFERENTNOG INVENTARA EMISIJA CO</w:t>
            </w:r>
            <w:r w:rsidR="00B6080E" w:rsidRPr="005555ED">
              <w:rPr>
                <w:rStyle w:val="Hyperlink"/>
                <w:vertAlign w:val="subscript"/>
              </w:rPr>
              <w:t>2</w:t>
            </w:r>
            <w:r w:rsidR="00B6080E" w:rsidRPr="005555ED">
              <w:rPr>
                <w:rStyle w:val="Hyperlink"/>
              </w:rPr>
              <w:t xml:space="preserve"> ZA 2008. GODINU I KONTROLNOG INVENTARA ZA 2015. GODINU ZA SEKTORE ZGRADARSTVA, PROMETA I JAVNE RASVJETE</w:t>
            </w:r>
            <w:r w:rsidR="00B6080E">
              <w:rPr>
                <w:webHidden/>
              </w:rPr>
              <w:tab/>
            </w:r>
            <w:r w:rsidR="00B6080E">
              <w:rPr>
                <w:webHidden/>
              </w:rPr>
              <w:fldChar w:fldCharType="begin"/>
            </w:r>
            <w:r w:rsidR="00B6080E">
              <w:rPr>
                <w:webHidden/>
              </w:rPr>
              <w:instrText xml:space="preserve"> PAGEREF _Toc468345390 \h </w:instrText>
            </w:r>
            <w:r w:rsidR="00B6080E">
              <w:rPr>
                <w:webHidden/>
              </w:rPr>
            </w:r>
            <w:r w:rsidR="00B6080E">
              <w:rPr>
                <w:webHidden/>
              </w:rPr>
              <w:fldChar w:fldCharType="separate"/>
            </w:r>
            <w:r w:rsidR="00B6080E">
              <w:rPr>
                <w:webHidden/>
              </w:rPr>
              <w:t>78</w:t>
            </w:r>
            <w:r w:rsidR="00B6080E">
              <w:rPr>
                <w:webHidden/>
              </w:rPr>
              <w:fldChar w:fldCharType="end"/>
            </w:r>
          </w:hyperlink>
        </w:p>
        <w:p w14:paraId="3FDF2999" w14:textId="11DCF756" w:rsidR="00B6080E" w:rsidRDefault="00323A51">
          <w:pPr>
            <w:pStyle w:val="TOC2"/>
            <w:rPr>
              <w:rFonts w:asciiTheme="minorHAnsi" w:eastAsiaTheme="minorEastAsia" w:hAnsiTheme="minorHAnsi" w:cstheme="minorBidi"/>
              <w:smallCaps w:val="0"/>
              <w:noProof/>
              <w:sz w:val="22"/>
              <w:szCs w:val="22"/>
              <w:lang w:val="en-US"/>
            </w:rPr>
          </w:pPr>
          <w:hyperlink w:anchor="_Toc468345391" w:history="1">
            <w:r w:rsidR="00B6080E" w:rsidRPr="005555ED">
              <w:rPr>
                <w:rStyle w:val="Hyperlink"/>
                <w:noProof/>
                <w14:scene3d>
                  <w14:camera w14:prst="orthographicFront"/>
                  <w14:lightRig w14:rig="threePt" w14:dir="t">
                    <w14:rot w14:lat="0" w14:lon="0" w14:rev="0"/>
                  </w14:lightRig>
                </w14:scene3d>
              </w:rPr>
              <w:t>8.1</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Usporedba Referentnog i Kontrolnog inventara emisije CO</w:t>
            </w:r>
            <w:r w:rsidR="00B6080E" w:rsidRPr="005555ED">
              <w:rPr>
                <w:rStyle w:val="Hyperlink"/>
                <w:noProof/>
                <w:vertAlign w:val="subscript"/>
              </w:rPr>
              <w:t>2</w:t>
            </w:r>
            <w:r w:rsidR="00B6080E">
              <w:rPr>
                <w:noProof/>
                <w:webHidden/>
              </w:rPr>
              <w:tab/>
            </w:r>
            <w:r w:rsidR="00B6080E">
              <w:rPr>
                <w:noProof/>
                <w:webHidden/>
              </w:rPr>
              <w:fldChar w:fldCharType="begin"/>
            </w:r>
            <w:r w:rsidR="00B6080E">
              <w:rPr>
                <w:noProof/>
                <w:webHidden/>
              </w:rPr>
              <w:instrText xml:space="preserve"> PAGEREF _Toc468345391 \h </w:instrText>
            </w:r>
            <w:r w:rsidR="00B6080E">
              <w:rPr>
                <w:noProof/>
                <w:webHidden/>
              </w:rPr>
            </w:r>
            <w:r w:rsidR="00B6080E">
              <w:rPr>
                <w:noProof/>
                <w:webHidden/>
              </w:rPr>
              <w:fldChar w:fldCharType="separate"/>
            </w:r>
            <w:r w:rsidR="00B6080E">
              <w:rPr>
                <w:noProof/>
                <w:webHidden/>
              </w:rPr>
              <w:t>78</w:t>
            </w:r>
            <w:r w:rsidR="00B6080E">
              <w:rPr>
                <w:noProof/>
                <w:webHidden/>
              </w:rPr>
              <w:fldChar w:fldCharType="end"/>
            </w:r>
          </w:hyperlink>
        </w:p>
        <w:p w14:paraId="6F4BA3F4" w14:textId="2160F1FF" w:rsidR="00B6080E" w:rsidRDefault="00323A51">
          <w:pPr>
            <w:pStyle w:val="TOC2"/>
            <w:rPr>
              <w:rFonts w:asciiTheme="minorHAnsi" w:eastAsiaTheme="minorEastAsia" w:hAnsiTheme="minorHAnsi" w:cstheme="minorBidi"/>
              <w:smallCaps w:val="0"/>
              <w:noProof/>
              <w:sz w:val="22"/>
              <w:szCs w:val="22"/>
              <w:lang w:val="en-US"/>
            </w:rPr>
          </w:pPr>
          <w:hyperlink w:anchor="_Toc468345392" w:history="1">
            <w:r w:rsidR="00B6080E" w:rsidRPr="005555ED">
              <w:rPr>
                <w:rStyle w:val="Hyperlink"/>
                <w:noProof/>
                <w14:scene3d>
                  <w14:camera w14:prst="orthographicFront"/>
                  <w14:lightRig w14:rig="threePt" w14:dir="t">
                    <w14:rot w14:lat="0" w14:lon="0" w14:rev="0"/>
                  </w14:lightRig>
                </w14:scene3d>
              </w:rPr>
              <w:t>8.2</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Indikatori usporedbe Referentnog i Kontrolnog inventara emisije CO</w:t>
            </w:r>
            <w:r w:rsidR="00B6080E" w:rsidRPr="005555ED">
              <w:rPr>
                <w:rStyle w:val="Hyperlink"/>
                <w:noProof/>
                <w:vertAlign w:val="subscript"/>
              </w:rPr>
              <w:t>2</w:t>
            </w:r>
            <w:r w:rsidR="00B6080E">
              <w:rPr>
                <w:noProof/>
                <w:webHidden/>
              </w:rPr>
              <w:tab/>
            </w:r>
            <w:r w:rsidR="00B6080E">
              <w:rPr>
                <w:noProof/>
                <w:webHidden/>
              </w:rPr>
              <w:fldChar w:fldCharType="begin"/>
            </w:r>
            <w:r w:rsidR="00B6080E">
              <w:rPr>
                <w:noProof/>
                <w:webHidden/>
              </w:rPr>
              <w:instrText xml:space="preserve"> PAGEREF _Toc468345392 \h </w:instrText>
            </w:r>
            <w:r w:rsidR="00B6080E">
              <w:rPr>
                <w:noProof/>
                <w:webHidden/>
              </w:rPr>
            </w:r>
            <w:r w:rsidR="00B6080E">
              <w:rPr>
                <w:noProof/>
                <w:webHidden/>
              </w:rPr>
              <w:fldChar w:fldCharType="separate"/>
            </w:r>
            <w:r w:rsidR="00B6080E">
              <w:rPr>
                <w:noProof/>
                <w:webHidden/>
              </w:rPr>
              <w:t>81</w:t>
            </w:r>
            <w:r w:rsidR="00B6080E">
              <w:rPr>
                <w:noProof/>
                <w:webHidden/>
              </w:rPr>
              <w:fldChar w:fldCharType="end"/>
            </w:r>
          </w:hyperlink>
        </w:p>
        <w:p w14:paraId="43DDAB85" w14:textId="7249B6BF" w:rsidR="00B6080E" w:rsidRDefault="00323A51">
          <w:pPr>
            <w:pStyle w:val="TOC1"/>
            <w:rPr>
              <w:rFonts w:asciiTheme="minorHAnsi" w:eastAsiaTheme="minorEastAsia" w:hAnsiTheme="minorHAnsi" w:cstheme="minorBidi"/>
              <w:b w:val="0"/>
              <w:bCs w:val="0"/>
              <w:caps w:val="0"/>
              <w:szCs w:val="22"/>
              <w:lang w:val="en-US"/>
            </w:rPr>
          </w:pPr>
          <w:hyperlink w:anchor="_Toc468345393" w:history="1">
            <w:r w:rsidR="00B6080E" w:rsidRPr="005555ED">
              <w:rPr>
                <w:rStyle w:val="Hyperlink"/>
              </w:rPr>
              <w:t>9</w:t>
            </w:r>
            <w:r w:rsidR="00B6080E">
              <w:rPr>
                <w:rFonts w:asciiTheme="minorHAnsi" w:eastAsiaTheme="minorEastAsia" w:hAnsiTheme="minorHAnsi" w:cstheme="minorBidi"/>
                <w:b w:val="0"/>
                <w:bCs w:val="0"/>
                <w:caps w:val="0"/>
                <w:szCs w:val="22"/>
                <w:lang w:val="en-US"/>
              </w:rPr>
              <w:tab/>
            </w:r>
            <w:r w:rsidR="00B6080E" w:rsidRPr="005555ED">
              <w:rPr>
                <w:rStyle w:val="Hyperlink"/>
              </w:rPr>
              <w:t>ANALIZA USPJEŠNOSTI PROVEDBE AKCIJSKOG PLANA ENERGETSKI ODRŽIVOG RAZVITKA GRADA ZAGREBA</w:t>
            </w:r>
            <w:r w:rsidR="00B6080E">
              <w:rPr>
                <w:webHidden/>
              </w:rPr>
              <w:tab/>
            </w:r>
            <w:r w:rsidR="00B6080E">
              <w:rPr>
                <w:webHidden/>
              </w:rPr>
              <w:fldChar w:fldCharType="begin"/>
            </w:r>
            <w:r w:rsidR="00B6080E">
              <w:rPr>
                <w:webHidden/>
              </w:rPr>
              <w:instrText xml:space="preserve"> PAGEREF _Toc468345393 \h </w:instrText>
            </w:r>
            <w:r w:rsidR="00B6080E">
              <w:rPr>
                <w:webHidden/>
              </w:rPr>
            </w:r>
            <w:r w:rsidR="00B6080E">
              <w:rPr>
                <w:webHidden/>
              </w:rPr>
              <w:fldChar w:fldCharType="separate"/>
            </w:r>
            <w:r w:rsidR="00B6080E">
              <w:rPr>
                <w:webHidden/>
              </w:rPr>
              <w:t>84</w:t>
            </w:r>
            <w:r w:rsidR="00B6080E">
              <w:rPr>
                <w:webHidden/>
              </w:rPr>
              <w:fldChar w:fldCharType="end"/>
            </w:r>
          </w:hyperlink>
        </w:p>
        <w:p w14:paraId="2A09EC1A" w14:textId="306467AF" w:rsidR="00B6080E" w:rsidRDefault="00323A51">
          <w:pPr>
            <w:pStyle w:val="TOC2"/>
            <w:rPr>
              <w:rFonts w:asciiTheme="minorHAnsi" w:eastAsiaTheme="minorEastAsia" w:hAnsiTheme="minorHAnsi" w:cstheme="minorBidi"/>
              <w:smallCaps w:val="0"/>
              <w:noProof/>
              <w:sz w:val="22"/>
              <w:szCs w:val="22"/>
              <w:lang w:val="en-US"/>
            </w:rPr>
          </w:pPr>
          <w:hyperlink w:anchor="_Toc468345394" w:history="1">
            <w:r w:rsidR="00B6080E" w:rsidRPr="005555ED">
              <w:rPr>
                <w:rStyle w:val="Hyperlink"/>
                <w:noProof/>
                <w14:scene3d>
                  <w14:camera w14:prst="orthographicFront"/>
                  <w14:lightRig w14:rig="threePt" w14:dir="t">
                    <w14:rot w14:lat="0" w14:lon="0" w14:rev="0"/>
                  </w14:lightRig>
                </w14:scene3d>
              </w:rPr>
              <w:t>9.1</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Status implementacije planiranih mjera i aktivnosti iz Akcijskog plana</w:t>
            </w:r>
            <w:r w:rsidR="00B6080E">
              <w:rPr>
                <w:noProof/>
                <w:webHidden/>
              </w:rPr>
              <w:tab/>
            </w:r>
            <w:r w:rsidR="00B6080E">
              <w:rPr>
                <w:noProof/>
                <w:webHidden/>
              </w:rPr>
              <w:fldChar w:fldCharType="begin"/>
            </w:r>
            <w:r w:rsidR="00B6080E">
              <w:rPr>
                <w:noProof/>
                <w:webHidden/>
              </w:rPr>
              <w:instrText xml:space="preserve"> PAGEREF _Toc468345394 \h </w:instrText>
            </w:r>
            <w:r w:rsidR="00B6080E">
              <w:rPr>
                <w:noProof/>
                <w:webHidden/>
              </w:rPr>
            </w:r>
            <w:r w:rsidR="00B6080E">
              <w:rPr>
                <w:noProof/>
                <w:webHidden/>
              </w:rPr>
              <w:fldChar w:fldCharType="separate"/>
            </w:r>
            <w:r w:rsidR="00B6080E">
              <w:rPr>
                <w:noProof/>
                <w:webHidden/>
              </w:rPr>
              <w:t>85</w:t>
            </w:r>
            <w:r w:rsidR="00B6080E">
              <w:rPr>
                <w:noProof/>
                <w:webHidden/>
              </w:rPr>
              <w:fldChar w:fldCharType="end"/>
            </w:r>
          </w:hyperlink>
        </w:p>
        <w:p w14:paraId="59B372AB" w14:textId="18A21949" w:rsidR="00B6080E" w:rsidRDefault="00323A51">
          <w:pPr>
            <w:pStyle w:val="TOC2"/>
            <w:rPr>
              <w:rFonts w:asciiTheme="minorHAnsi" w:eastAsiaTheme="minorEastAsia" w:hAnsiTheme="minorHAnsi" w:cstheme="minorBidi"/>
              <w:smallCaps w:val="0"/>
              <w:noProof/>
              <w:sz w:val="22"/>
              <w:szCs w:val="22"/>
              <w:lang w:val="en-US"/>
            </w:rPr>
          </w:pPr>
          <w:hyperlink w:anchor="_Toc468345395" w:history="1">
            <w:r w:rsidR="00B6080E" w:rsidRPr="005555ED">
              <w:rPr>
                <w:rStyle w:val="Hyperlink"/>
                <w:rFonts w:eastAsia="Calibri"/>
                <w:noProof/>
                <w14:scene3d>
                  <w14:camera w14:prst="orthographicFront"/>
                  <w14:lightRig w14:rig="threePt" w14:dir="t">
                    <w14:rot w14:lat="0" w14:lon="0" w14:rev="0"/>
                  </w14:lightRig>
                </w14:scene3d>
              </w:rPr>
              <w:t>9.2</w:t>
            </w:r>
            <w:r w:rsidR="00B6080E">
              <w:rPr>
                <w:rFonts w:asciiTheme="minorHAnsi" w:eastAsiaTheme="minorEastAsia" w:hAnsiTheme="minorHAnsi" w:cstheme="minorBidi"/>
                <w:smallCaps w:val="0"/>
                <w:noProof/>
                <w:sz w:val="22"/>
                <w:szCs w:val="22"/>
                <w:lang w:val="en-US"/>
              </w:rPr>
              <w:tab/>
            </w:r>
            <w:r w:rsidR="00B6080E" w:rsidRPr="005555ED">
              <w:rPr>
                <w:rStyle w:val="Hyperlink"/>
                <w:rFonts w:eastAsia="Calibri"/>
                <w:noProof/>
              </w:rPr>
              <w:t>Pregled provedenih mjera i aktivnosti iz Akcijskog plana</w:t>
            </w:r>
            <w:r w:rsidR="00B6080E">
              <w:rPr>
                <w:noProof/>
                <w:webHidden/>
              </w:rPr>
              <w:tab/>
            </w:r>
            <w:r w:rsidR="00B6080E">
              <w:rPr>
                <w:noProof/>
                <w:webHidden/>
              </w:rPr>
              <w:fldChar w:fldCharType="begin"/>
            </w:r>
            <w:r w:rsidR="00B6080E">
              <w:rPr>
                <w:noProof/>
                <w:webHidden/>
              </w:rPr>
              <w:instrText xml:space="preserve"> PAGEREF _Toc468345395 \h </w:instrText>
            </w:r>
            <w:r w:rsidR="00B6080E">
              <w:rPr>
                <w:noProof/>
                <w:webHidden/>
              </w:rPr>
            </w:r>
            <w:r w:rsidR="00B6080E">
              <w:rPr>
                <w:noProof/>
                <w:webHidden/>
              </w:rPr>
              <w:fldChar w:fldCharType="separate"/>
            </w:r>
            <w:r w:rsidR="00B6080E">
              <w:rPr>
                <w:noProof/>
                <w:webHidden/>
              </w:rPr>
              <w:t>86</w:t>
            </w:r>
            <w:r w:rsidR="00B6080E">
              <w:rPr>
                <w:noProof/>
                <w:webHidden/>
              </w:rPr>
              <w:fldChar w:fldCharType="end"/>
            </w:r>
          </w:hyperlink>
        </w:p>
        <w:p w14:paraId="5442E010" w14:textId="16FBB291" w:rsidR="00B6080E" w:rsidRDefault="00323A51">
          <w:pPr>
            <w:pStyle w:val="TOC2"/>
            <w:rPr>
              <w:rFonts w:asciiTheme="minorHAnsi" w:eastAsiaTheme="minorEastAsia" w:hAnsiTheme="minorHAnsi" w:cstheme="minorBidi"/>
              <w:smallCaps w:val="0"/>
              <w:noProof/>
              <w:sz w:val="22"/>
              <w:szCs w:val="22"/>
              <w:lang w:val="en-US"/>
            </w:rPr>
          </w:pPr>
          <w:hyperlink w:anchor="_Toc468345396" w:history="1">
            <w:r w:rsidR="00B6080E" w:rsidRPr="005555ED">
              <w:rPr>
                <w:rStyle w:val="Hyperlink"/>
                <w:rFonts w:eastAsia="Calibri"/>
                <w:noProof/>
                <w14:scene3d>
                  <w14:camera w14:prst="orthographicFront"/>
                  <w14:lightRig w14:rig="threePt" w14:dir="t">
                    <w14:rot w14:lat="0" w14:lon="0" w14:rev="0"/>
                  </w14:lightRig>
                </w14:scene3d>
              </w:rPr>
              <w:t>9.3</w:t>
            </w:r>
            <w:r w:rsidR="00B6080E">
              <w:rPr>
                <w:rFonts w:asciiTheme="minorHAnsi" w:eastAsiaTheme="minorEastAsia" w:hAnsiTheme="minorHAnsi" w:cstheme="minorBidi"/>
                <w:smallCaps w:val="0"/>
                <w:noProof/>
                <w:sz w:val="22"/>
                <w:szCs w:val="22"/>
                <w:lang w:val="en-US"/>
              </w:rPr>
              <w:tab/>
            </w:r>
            <w:r w:rsidR="00B6080E" w:rsidRPr="005555ED">
              <w:rPr>
                <w:rStyle w:val="Hyperlink"/>
                <w:rFonts w:eastAsia="Calibri"/>
                <w:noProof/>
              </w:rPr>
              <w:t>Zaključak provedene Analize uspješnosti provedbe Akcijskog plana</w:t>
            </w:r>
            <w:r w:rsidR="00B6080E">
              <w:rPr>
                <w:noProof/>
                <w:webHidden/>
              </w:rPr>
              <w:tab/>
            </w:r>
            <w:r w:rsidR="00B6080E">
              <w:rPr>
                <w:noProof/>
                <w:webHidden/>
              </w:rPr>
              <w:fldChar w:fldCharType="begin"/>
            </w:r>
            <w:r w:rsidR="00B6080E">
              <w:rPr>
                <w:noProof/>
                <w:webHidden/>
              </w:rPr>
              <w:instrText xml:space="preserve"> PAGEREF _Toc468345396 \h </w:instrText>
            </w:r>
            <w:r w:rsidR="00B6080E">
              <w:rPr>
                <w:noProof/>
                <w:webHidden/>
              </w:rPr>
            </w:r>
            <w:r w:rsidR="00B6080E">
              <w:rPr>
                <w:noProof/>
                <w:webHidden/>
              </w:rPr>
              <w:fldChar w:fldCharType="separate"/>
            </w:r>
            <w:r w:rsidR="00B6080E">
              <w:rPr>
                <w:noProof/>
                <w:webHidden/>
              </w:rPr>
              <w:t>92</w:t>
            </w:r>
            <w:r w:rsidR="00B6080E">
              <w:rPr>
                <w:noProof/>
                <w:webHidden/>
              </w:rPr>
              <w:fldChar w:fldCharType="end"/>
            </w:r>
          </w:hyperlink>
        </w:p>
        <w:p w14:paraId="249AACC4" w14:textId="0D9BC8FA" w:rsidR="00B6080E" w:rsidRDefault="00323A51">
          <w:pPr>
            <w:pStyle w:val="TOC1"/>
            <w:rPr>
              <w:rFonts w:asciiTheme="minorHAnsi" w:eastAsiaTheme="minorEastAsia" w:hAnsiTheme="minorHAnsi" w:cstheme="minorBidi"/>
              <w:b w:val="0"/>
              <w:bCs w:val="0"/>
              <w:caps w:val="0"/>
              <w:szCs w:val="22"/>
              <w:lang w:val="en-US"/>
            </w:rPr>
          </w:pPr>
          <w:hyperlink w:anchor="_Toc468345397" w:history="1">
            <w:r w:rsidR="00B6080E" w:rsidRPr="005555ED">
              <w:rPr>
                <w:rStyle w:val="Hyperlink"/>
              </w:rPr>
              <w:t>10</w:t>
            </w:r>
            <w:r w:rsidR="00B6080E">
              <w:rPr>
                <w:rFonts w:asciiTheme="minorHAnsi" w:eastAsiaTheme="minorEastAsia" w:hAnsiTheme="minorHAnsi" w:cstheme="minorBidi"/>
                <w:b w:val="0"/>
                <w:bCs w:val="0"/>
                <w:caps w:val="0"/>
                <w:szCs w:val="22"/>
                <w:lang w:val="en-US"/>
              </w:rPr>
              <w:tab/>
            </w:r>
            <w:r w:rsidR="00B6080E" w:rsidRPr="005555ED">
              <w:rPr>
                <w:rStyle w:val="Hyperlink"/>
              </w:rPr>
              <w:t>PROJEKCIJA OČEKIVANOG SMANJENJA EMISIJE CO</w:t>
            </w:r>
            <w:r w:rsidR="00B6080E" w:rsidRPr="005555ED">
              <w:rPr>
                <w:rStyle w:val="Hyperlink"/>
                <w:vertAlign w:val="subscript"/>
              </w:rPr>
              <w:t>2</w:t>
            </w:r>
            <w:r w:rsidR="00B6080E" w:rsidRPr="005555ED">
              <w:rPr>
                <w:rStyle w:val="Hyperlink"/>
              </w:rPr>
              <w:t xml:space="preserve"> U 2020. GODINI NA OSNOVU REZULTATA PROVEDENE ANALIZE USPJEŠNOSTI AKCIJSKOG PLANA</w:t>
            </w:r>
            <w:r w:rsidR="00B6080E">
              <w:rPr>
                <w:webHidden/>
              </w:rPr>
              <w:tab/>
            </w:r>
            <w:r w:rsidR="00B6080E">
              <w:rPr>
                <w:webHidden/>
              </w:rPr>
              <w:fldChar w:fldCharType="begin"/>
            </w:r>
            <w:r w:rsidR="00B6080E">
              <w:rPr>
                <w:webHidden/>
              </w:rPr>
              <w:instrText xml:space="preserve"> PAGEREF _Toc468345397 \h </w:instrText>
            </w:r>
            <w:r w:rsidR="00B6080E">
              <w:rPr>
                <w:webHidden/>
              </w:rPr>
            </w:r>
            <w:r w:rsidR="00B6080E">
              <w:rPr>
                <w:webHidden/>
              </w:rPr>
              <w:fldChar w:fldCharType="separate"/>
            </w:r>
            <w:r w:rsidR="00B6080E">
              <w:rPr>
                <w:webHidden/>
              </w:rPr>
              <w:t>95</w:t>
            </w:r>
            <w:r w:rsidR="00B6080E">
              <w:rPr>
                <w:webHidden/>
              </w:rPr>
              <w:fldChar w:fldCharType="end"/>
            </w:r>
          </w:hyperlink>
        </w:p>
        <w:p w14:paraId="5CE2A4B5" w14:textId="3BBF7F4B" w:rsidR="00B6080E" w:rsidRDefault="00323A51">
          <w:pPr>
            <w:pStyle w:val="TOC1"/>
            <w:rPr>
              <w:rFonts w:asciiTheme="minorHAnsi" w:eastAsiaTheme="minorEastAsia" w:hAnsiTheme="minorHAnsi" w:cstheme="minorBidi"/>
              <w:b w:val="0"/>
              <w:bCs w:val="0"/>
              <w:caps w:val="0"/>
              <w:szCs w:val="22"/>
              <w:lang w:val="en-US"/>
            </w:rPr>
          </w:pPr>
          <w:hyperlink w:anchor="_Toc468345398" w:history="1">
            <w:r w:rsidR="00B6080E" w:rsidRPr="005555ED">
              <w:rPr>
                <w:rStyle w:val="Hyperlink"/>
              </w:rPr>
              <w:t>11</w:t>
            </w:r>
            <w:r w:rsidR="00B6080E">
              <w:rPr>
                <w:rFonts w:asciiTheme="minorHAnsi" w:eastAsiaTheme="minorEastAsia" w:hAnsiTheme="minorHAnsi" w:cstheme="minorBidi"/>
                <w:b w:val="0"/>
                <w:bCs w:val="0"/>
                <w:caps w:val="0"/>
                <w:szCs w:val="22"/>
                <w:lang w:val="en-US"/>
              </w:rPr>
              <w:tab/>
            </w:r>
            <w:r w:rsidR="00B6080E" w:rsidRPr="005555ED">
              <w:rPr>
                <w:rStyle w:val="Hyperlink"/>
              </w:rPr>
              <w:t>MEHANIZMI FINANCIRANJA PROVEDBE AKCIJSKOG PLANA</w:t>
            </w:r>
            <w:r w:rsidR="00B6080E">
              <w:rPr>
                <w:webHidden/>
              </w:rPr>
              <w:tab/>
            </w:r>
            <w:r w:rsidR="00B6080E">
              <w:rPr>
                <w:webHidden/>
              </w:rPr>
              <w:fldChar w:fldCharType="begin"/>
            </w:r>
            <w:r w:rsidR="00B6080E">
              <w:rPr>
                <w:webHidden/>
              </w:rPr>
              <w:instrText xml:space="preserve"> PAGEREF _Toc468345398 \h </w:instrText>
            </w:r>
            <w:r w:rsidR="00B6080E">
              <w:rPr>
                <w:webHidden/>
              </w:rPr>
            </w:r>
            <w:r w:rsidR="00B6080E">
              <w:rPr>
                <w:webHidden/>
              </w:rPr>
              <w:fldChar w:fldCharType="separate"/>
            </w:r>
            <w:r w:rsidR="00B6080E">
              <w:rPr>
                <w:webHidden/>
              </w:rPr>
              <w:t>99</w:t>
            </w:r>
            <w:r w:rsidR="00B6080E">
              <w:rPr>
                <w:webHidden/>
              </w:rPr>
              <w:fldChar w:fldCharType="end"/>
            </w:r>
          </w:hyperlink>
        </w:p>
        <w:p w14:paraId="7DD594DC" w14:textId="5D7AA8D9" w:rsidR="00B6080E" w:rsidRDefault="00323A51">
          <w:pPr>
            <w:pStyle w:val="TOC2"/>
            <w:rPr>
              <w:rFonts w:asciiTheme="minorHAnsi" w:eastAsiaTheme="minorEastAsia" w:hAnsiTheme="minorHAnsi" w:cstheme="minorBidi"/>
              <w:smallCaps w:val="0"/>
              <w:noProof/>
              <w:sz w:val="22"/>
              <w:szCs w:val="22"/>
              <w:lang w:val="en-US"/>
            </w:rPr>
          </w:pPr>
          <w:hyperlink w:anchor="_Toc468345399" w:history="1">
            <w:r w:rsidR="00B6080E" w:rsidRPr="005555ED">
              <w:rPr>
                <w:rStyle w:val="Hyperlink"/>
                <w:noProof/>
                <w:lang w:val="x-none"/>
                <w14:scene3d>
                  <w14:camera w14:prst="orthographicFront"/>
                  <w14:lightRig w14:rig="threePt" w14:dir="t">
                    <w14:rot w14:lat="0" w14:lon="0" w14:rev="0"/>
                  </w14:lightRig>
                </w14:scene3d>
              </w:rPr>
              <w:t>11.1</w:t>
            </w:r>
            <w:r w:rsidR="00B6080E">
              <w:rPr>
                <w:rFonts w:asciiTheme="minorHAnsi" w:eastAsiaTheme="minorEastAsia" w:hAnsiTheme="minorHAnsi" w:cstheme="minorBidi"/>
                <w:smallCaps w:val="0"/>
                <w:noProof/>
                <w:sz w:val="22"/>
                <w:szCs w:val="22"/>
                <w:lang w:val="en-US"/>
              </w:rPr>
              <w:tab/>
            </w:r>
            <w:r w:rsidR="00B6080E" w:rsidRPr="005555ED">
              <w:rPr>
                <w:rStyle w:val="Hyperlink"/>
                <w:noProof/>
                <w:lang w:val="x-none"/>
              </w:rPr>
              <w:t xml:space="preserve">Proračun </w:t>
            </w:r>
            <w:r w:rsidR="00B6080E" w:rsidRPr="005555ED">
              <w:rPr>
                <w:rStyle w:val="Hyperlink"/>
                <w:noProof/>
              </w:rPr>
              <w:t>Grada Zagreba</w:t>
            </w:r>
            <w:r w:rsidR="00B6080E">
              <w:rPr>
                <w:noProof/>
                <w:webHidden/>
              </w:rPr>
              <w:tab/>
            </w:r>
            <w:r w:rsidR="00B6080E">
              <w:rPr>
                <w:noProof/>
                <w:webHidden/>
              </w:rPr>
              <w:fldChar w:fldCharType="begin"/>
            </w:r>
            <w:r w:rsidR="00B6080E">
              <w:rPr>
                <w:noProof/>
                <w:webHidden/>
              </w:rPr>
              <w:instrText xml:space="preserve"> PAGEREF _Toc468345399 \h </w:instrText>
            </w:r>
            <w:r w:rsidR="00B6080E">
              <w:rPr>
                <w:noProof/>
                <w:webHidden/>
              </w:rPr>
            </w:r>
            <w:r w:rsidR="00B6080E">
              <w:rPr>
                <w:noProof/>
                <w:webHidden/>
              </w:rPr>
              <w:fldChar w:fldCharType="separate"/>
            </w:r>
            <w:r w:rsidR="00B6080E">
              <w:rPr>
                <w:noProof/>
                <w:webHidden/>
              </w:rPr>
              <w:t>100</w:t>
            </w:r>
            <w:r w:rsidR="00B6080E">
              <w:rPr>
                <w:noProof/>
                <w:webHidden/>
              </w:rPr>
              <w:fldChar w:fldCharType="end"/>
            </w:r>
          </w:hyperlink>
        </w:p>
        <w:p w14:paraId="05BCA55A" w14:textId="1EA73248" w:rsidR="00B6080E" w:rsidRDefault="00323A51">
          <w:pPr>
            <w:pStyle w:val="TOC2"/>
            <w:rPr>
              <w:rFonts w:asciiTheme="minorHAnsi" w:eastAsiaTheme="minorEastAsia" w:hAnsiTheme="minorHAnsi" w:cstheme="minorBidi"/>
              <w:smallCaps w:val="0"/>
              <w:noProof/>
              <w:sz w:val="22"/>
              <w:szCs w:val="22"/>
              <w:lang w:val="en-US"/>
            </w:rPr>
          </w:pPr>
          <w:hyperlink w:anchor="_Toc468345400" w:history="1">
            <w:r w:rsidR="00B6080E" w:rsidRPr="005555ED">
              <w:rPr>
                <w:rStyle w:val="Hyperlink"/>
                <w:noProof/>
                <w14:scene3d>
                  <w14:camera w14:prst="orthographicFront"/>
                  <w14:lightRig w14:rig="threePt" w14:dir="t">
                    <w14:rot w14:lat="0" w14:lon="0" w14:rev="0"/>
                  </w14:lightRig>
                </w14:scene3d>
              </w:rPr>
              <w:t>11.2</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Nacionalni programi energetske obnove u sektoru zgradarstva</w:t>
            </w:r>
            <w:r w:rsidR="00B6080E">
              <w:rPr>
                <w:noProof/>
                <w:webHidden/>
              </w:rPr>
              <w:tab/>
            </w:r>
            <w:r w:rsidR="00B6080E">
              <w:rPr>
                <w:noProof/>
                <w:webHidden/>
              </w:rPr>
              <w:fldChar w:fldCharType="begin"/>
            </w:r>
            <w:r w:rsidR="00B6080E">
              <w:rPr>
                <w:noProof/>
                <w:webHidden/>
              </w:rPr>
              <w:instrText xml:space="preserve"> PAGEREF _Toc468345400 \h </w:instrText>
            </w:r>
            <w:r w:rsidR="00B6080E">
              <w:rPr>
                <w:noProof/>
                <w:webHidden/>
              </w:rPr>
            </w:r>
            <w:r w:rsidR="00B6080E">
              <w:rPr>
                <w:noProof/>
                <w:webHidden/>
              </w:rPr>
              <w:fldChar w:fldCharType="separate"/>
            </w:r>
            <w:r w:rsidR="00B6080E">
              <w:rPr>
                <w:noProof/>
                <w:webHidden/>
              </w:rPr>
              <w:t>100</w:t>
            </w:r>
            <w:r w:rsidR="00B6080E">
              <w:rPr>
                <w:noProof/>
                <w:webHidden/>
              </w:rPr>
              <w:fldChar w:fldCharType="end"/>
            </w:r>
          </w:hyperlink>
        </w:p>
        <w:p w14:paraId="312010B0" w14:textId="4F3BB6AA" w:rsidR="00B6080E" w:rsidRDefault="00323A51">
          <w:pPr>
            <w:pStyle w:val="TOC3"/>
            <w:rPr>
              <w:rFonts w:asciiTheme="minorHAnsi" w:eastAsiaTheme="minorEastAsia" w:hAnsiTheme="minorHAnsi" w:cstheme="minorBidi"/>
              <w:bCs w:val="0"/>
              <w:i w:val="0"/>
              <w:iCs w:val="0"/>
              <w:sz w:val="22"/>
              <w:szCs w:val="22"/>
              <w:lang w:val="en-US"/>
            </w:rPr>
          </w:pPr>
          <w:hyperlink w:anchor="_Toc468345401" w:history="1">
            <w:r w:rsidR="00B6080E" w:rsidRPr="005555ED">
              <w:rPr>
                <w:rStyle w:val="Hyperlink"/>
                <w14:scene3d>
                  <w14:camera w14:prst="orthographicFront"/>
                  <w14:lightRig w14:rig="threePt" w14:dir="t">
                    <w14:rot w14:lat="0" w14:lon="0" w14:rev="0"/>
                  </w14:lightRig>
                </w14:scene3d>
              </w:rPr>
              <w:t>11.2.1</w:t>
            </w:r>
            <w:r w:rsidR="00B6080E">
              <w:rPr>
                <w:rFonts w:asciiTheme="minorHAnsi" w:eastAsiaTheme="minorEastAsia" w:hAnsiTheme="minorHAnsi" w:cstheme="minorBidi"/>
                <w:bCs w:val="0"/>
                <w:i w:val="0"/>
                <w:iCs w:val="0"/>
                <w:sz w:val="22"/>
                <w:szCs w:val="22"/>
                <w:lang w:val="en-US"/>
              </w:rPr>
              <w:tab/>
            </w:r>
            <w:r w:rsidR="00B6080E" w:rsidRPr="005555ED">
              <w:rPr>
                <w:rStyle w:val="Hyperlink"/>
              </w:rPr>
              <w:t>Energetska obnova zgrada javnog sektora</w:t>
            </w:r>
            <w:r w:rsidR="00B6080E">
              <w:rPr>
                <w:webHidden/>
              </w:rPr>
              <w:tab/>
            </w:r>
            <w:r w:rsidR="00B6080E">
              <w:rPr>
                <w:webHidden/>
              </w:rPr>
              <w:fldChar w:fldCharType="begin"/>
            </w:r>
            <w:r w:rsidR="00B6080E">
              <w:rPr>
                <w:webHidden/>
              </w:rPr>
              <w:instrText xml:space="preserve"> PAGEREF _Toc468345401 \h </w:instrText>
            </w:r>
            <w:r w:rsidR="00B6080E">
              <w:rPr>
                <w:webHidden/>
              </w:rPr>
            </w:r>
            <w:r w:rsidR="00B6080E">
              <w:rPr>
                <w:webHidden/>
              </w:rPr>
              <w:fldChar w:fldCharType="separate"/>
            </w:r>
            <w:r w:rsidR="00B6080E">
              <w:rPr>
                <w:webHidden/>
              </w:rPr>
              <w:t>100</w:t>
            </w:r>
            <w:r w:rsidR="00B6080E">
              <w:rPr>
                <w:webHidden/>
              </w:rPr>
              <w:fldChar w:fldCharType="end"/>
            </w:r>
          </w:hyperlink>
        </w:p>
        <w:p w14:paraId="362D031C" w14:textId="32922A6F" w:rsidR="00B6080E" w:rsidRDefault="00323A51">
          <w:pPr>
            <w:pStyle w:val="TOC3"/>
            <w:rPr>
              <w:rFonts w:asciiTheme="minorHAnsi" w:eastAsiaTheme="minorEastAsia" w:hAnsiTheme="minorHAnsi" w:cstheme="minorBidi"/>
              <w:bCs w:val="0"/>
              <w:i w:val="0"/>
              <w:iCs w:val="0"/>
              <w:sz w:val="22"/>
              <w:szCs w:val="22"/>
              <w:lang w:val="en-US"/>
            </w:rPr>
          </w:pPr>
          <w:hyperlink w:anchor="_Toc468345402" w:history="1">
            <w:r w:rsidR="00B6080E" w:rsidRPr="005555ED">
              <w:rPr>
                <w:rStyle w:val="Hyperlink"/>
                <w14:scene3d>
                  <w14:camera w14:prst="orthographicFront"/>
                  <w14:lightRig w14:rig="threePt" w14:dir="t">
                    <w14:rot w14:lat="0" w14:lon="0" w14:rev="0"/>
                  </w14:lightRig>
                </w14:scene3d>
              </w:rPr>
              <w:t>11.2.2</w:t>
            </w:r>
            <w:r w:rsidR="00B6080E">
              <w:rPr>
                <w:rFonts w:asciiTheme="minorHAnsi" w:eastAsiaTheme="minorEastAsia" w:hAnsiTheme="minorHAnsi" w:cstheme="minorBidi"/>
                <w:bCs w:val="0"/>
                <w:i w:val="0"/>
                <w:iCs w:val="0"/>
                <w:sz w:val="22"/>
                <w:szCs w:val="22"/>
                <w:lang w:val="en-US"/>
              </w:rPr>
              <w:tab/>
            </w:r>
            <w:r w:rsidR="00B6080E" w:rsidRPr="005555ED">
              <w:rPr>
                <w:rStyle w:val="Hyperlink"/>
              </w:rPr>
              <w:t>Program energetske obnove obiteljskih kuća</w:t>
            </w:r>
            <w:r w:rsidR="00B6080E">
              <w:rPr>
                <w:webHidden/>
              </w:rPr>
              <w:tab/>
            </w:r>
            <w:r w:rsidR="00B6080E">
              <w:rPr>
                <w:webHidden/>
              </w:rPr>
              <w:fldChar w:fldCharType="begin"/>
            </w:r>
            <w:r w:rsidR="00B6080E">
              <w:rPr>
                <w:webHidden/>
              </w:rPr>
              <w:instrText xml:space="preserve"> PAGEREF _Toc468345402 \h </w:instrText>
            </w:r>
            <w:r w:rsidR="00B6080E">
              <w:rPr>
                <w:webHidden/>
              </w:rPr>
            </w:r>
            <w:r w:rsidR="00B6080E">
              <w:rPr>
                <w:webHidden/>
              </w:rPr>
              <w:fldChar w:fldCharType="separate"/>
            </w:r>
            <w:r w:rsidR="00B6080E">
              <w:rPr>
                <w:webHidden/>
              </w:rPr>
              <w:t>101</w:t>
            </w:r>
            <w:r w:rsidR="00B6080E">
              <w:rPr>
                <w:webHidden/>
              </w:rPr>
              <w:fldChar w:fldCharType="end"/>
            </w:r>
          </w:hyperlink>
        </w:p>
        <w:p w14:paraId="77DD1479" w14:textId="5C43A598" w:rsidR="00B6080E" w:rsidRDefault="00323A51">
          <w:pPr>
            <w:pStyle w:val="TOC3"/>
            <w:rPr>
              <w:rFonts w:asciiTheme="minorHAnsi" w:eastAsiaTheme="minorEastAsia" w:hAnsiTheme="minorHAnsi" w:cstheme="minorBidi"/>
              <w:bCs w:val="0"/>
              <w:i w:val="0"/>
              <w:iCs w:val="0"/>
              <w:sz w:val="22"/>
              <w:szCs w:val="22"/>
              <w:lang w:val="en-US"/>
            </w:rPr>
          </w:pPr>
          <w:hyperlink w:anchor="_Toc468345403" w:history="1">
            <w:r w:rsidR="00B6080E" w:rsidRPr="005555ED">
              <w:rPr>
                <w:rStyle w:val="Hyperlink"/>
                <w14:scene3d>
                  <w14:camera w14:prst="orthographicFront"/>
                  <w14:lightRig w14:rig="threePt" w14:dir="t">
                    <w14:rot w14:lat="0" w14:lon="0" w14:rev="0"/>
                  </w14:lightRig>
                </w14:scene3d>
              </w:rPr>
              <w:t>11.2.3</w:t>
            </w:r>
            <w:r w:rsidR="00B6080E">
              <w:rPr>
                <w:rFonts w:asciiTheme="minorHAnsi" w:eastAsiaTheme="minorEastAsia" w:hAnsiTheme="minorHAnsi" w:cstheme="minorBidi"/>
                <w:bCs w:val="0"/>
                <w:i w:val="0"/>
                <w:iCs w:val="0"/>
                <w:sz w:val="22"/>
                <w:szCs w:val="22"/>
                <w:lang w:val="en-US"/>
              </w:rPr>
              <w:tab/>
            </w:r>
            <w:r w:rsidR="00B6080E" w:rsidRPr="005555ED">
              <w:rPr>
                <w:rStyle w:val="Hyperlink"/>
              </w:rPr>
              <w:t>Energetska obnova višestambenih zgrada</w:t>
            </w:r>
            <w:r w:rsidR="00B6080E">
              <w:rPr>
                <w:webHidden/>
              </w:rPr>
              <w:tab/>
            </w:r>
            <w:r w:rsidR="00B6080E">
              <w:rPr>
                <w:webHidden/>
              </w:rPr>
              <w:fldChar w:fldCharType="begin"/>
            </w:r>
            <w:r w:rsidR="00B6080E">
              <w:rPr>
                <w:webHidden/>
              </w:rPr>
              <w:instrText xml:space="preserve"> PAGEREF _Toc468345403 \h </w:instrText>
            </w:r>
            <w:r w:rsidR="00B6080E">
              <w:rPr>
                <w:webHidden/>
              </w:rPr>
            </w:r>
            <w:r w:rsidR="00B6080E">
              <w:rPr>
                <w:webHidden/>
              </w:rPr>
              <w:fldChar w:fldCharType="separate"/>
            </w:r>
            <w:r w:rsidR="00B6080E">
              <w:rPr>
                <w:webHidden/>
              </w:rPr>
              <w:t>101</w:t>
            </w:r>
            <w:r w:rsidR="00B6080E">
              <w:rPr>
                <w:webHidden/>
              </w:rPr>
              <w:fldChar w:fldCharType="end"/>
            </w:r>
          </w:hyperlink>
        </w:p>
        <w:p w14:paraId="776754D9" w14:textId="31DFF8A5" w:rsidR="00B6080E" w:rsidRDefault="00323A51">
          <w:pPr>
            <w:pStyle w:val="TOC3"/>
            <w:rPr>
              <w:rFonts w:asciiTheme="minorHAnsi" w:eastAsiaTheme="minorEastAsia" w:hAnsiTheme="minorHAnsi" w:cstheme="minorBidi"/>
              <w:bCs w:val="0"/>
              <w:i w:val="0"/>
              <w:iCs w:val="0"/>
              <w:sz w:val="22"/>
              <w:szCs w:val="22"/>
              <w:lang w:val="en-US"/>
            </w:rPr>
          </w:pPr>
          <w:hyperlink w:anchor="_Toc468345404" w:history="1">
            <w:r w:rsidR="00B6080E" w:rsidRPr="005555ED">
              <w:rPr>
                <w:rStyle w:val="Hyperlink"/>
                <w14:scene3d>
                  <w14:camera w14:prst="orthographicFront"/>
                  <w14:lightRig w14:rig="threePt" w14:dir="t">
                    <w14:rot w14:lat="0" w14:lon="0" w14:rev="0"/>
                  </w14:lightRig>
                </w14:scene3d>
              </w:rPr>
              <w:t>11.2.4</w:t>
            </w:r>
            <w:r w:rsidR="00B6080E">
              <w:rPr>
                <w:rFonts w:asciiTheme="minorHAnsi" w:eastAsiaTheme="minorEastAsia" w:hAnsiTheme="minorHAnsi" w:cstheme="minorBidi"/>
                <w:bCs w:val="0"/>
                <w:i w:val="0"/>
                <w:iCs w:val="0"/>
                <w:sz w:val="22"/>
                <w:szCs w:val="22"/>
                <w:lang w:val="en-US"/>
              </w:rPr>
              <w:tab/>
            </w:r>
            <w:r w:rsidR="00B6080E" w:rsidRPr="005555ED">
              <w:rPr>
                <w:rStyle w:val="Hyperlink"/>
              </w:rPr>
              <w:t>Program energetske obnove zgrada komercijalnih nestambenih zgrada</w:t>
            </w:r>
            <w:r w:rsidR="00B6080E">
              <w:rPr>
                <w:webHidden/>
              </w:rPr>
              <w:tab/>
            </w:r>
            <w:r w:rsidR="00B6080E">
              <w:rPr>
                <w:webHidden/>
              </w:rPr>
              <w:fldChar w:fldCharType="begin"/>
            </w:r>
            <w:r w:rsidR="00B6080E">
              <w:rPr>
                <w:webHidden/>
              </w:rPr>
              <w:instrText xml:space="preserve"> PAGEREF _Toc468345404 \h </w:instrText>
            </w:r>
            <w:r w:rsidR="00B6080E">
              <w:rPr>
                <w:webHidden/>
              </w:rPr>
            </w:r>
            <w:r w:rsidR="00B6080E">
              <w:rPr>
                <w:webHidden/>
              </w:rPr>
              <w:fldChar w:fldCharType="separate"/>
            </w:r>
            <w:r w:rsidR="00B6080E">
              <w:rPr>
                <w:webHidden/>
              </w:rPr>
              <w:t>101</w:t>
            </w:r>
            <w:r w:rsidR="00B6080E">
              <w:rPr>
                <w:webHidden/>
              </w:rPr>
              <w:fldChar w:fldCharType="end"/>
            </w:r>
          </w:hyperlink>
        </w:p>
        <w:p w14:paraId="522F0271" w14:textId="1D419684" w:rsidR="00B6080E" w:rsidRDefault="00323A51">
          <w:pPr>
            <w:pStyle w:val="TOC2"/>
            <w:rPr>
              <w:rFonts w:asciiTheme="minorHAnsi" w:eastAsiaTheme="minorEastAsia" w:hAnsiTheme="minorHAnsi" w:cstheme="minorBidi"/>
              <w:smallCaps w:val="0"/>
              <w:noProof/>
              <w:sz w:val="22"/>
              <w:szCs w:val="22"/>
              <w:lang w:val="en-US"/>
            </w:rPr>
          </w:pPr>
          <w:hyperlink w:anchor="_Toc468345405" w:history="1">
            <w:r w:rsidR="00B6080E" w:rsidRPr="005555ED">
              <w:rPr>
                <w:rStyle w:val="Hyperlink"/>
                <w:noProof/>
                <w14:scene3d>
                  <w14:camera w14:prst="orthographicFront"/>
                  <w14:lightRig w14:rig="threePt" w14:dir="t">
                    <w14:rot w14:lat="0" w14:lon="0" w14:rev="0"/>
                  </w14:lightRig>
                </w14:scene3d>
              </w:rPr>
              <w:t>11.3</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Fond za zaštitu okoliša i energetsku učinkovitost (FZOEU)</w:t>
            </w:r>
            <w:r w:rsidR="00B6080E">
              <w:rPr>
                <w:noProof/>
                <w:webHidden/>
              </w:rPr>
              <w:tab/>
            </w:r>
            <w:r w:rsidR="00B6080E">
              <w:rPr>
                <w:noProof/>
                <w:webHidden/>
              </w:rPr>
              <w:fldChar w:fldCharType="begin"/>
            </w:r>
            <w:r w:rsidR="00B6080E">
              <w:rPr>
                <w:noProof/>
                <w:webHidden/>
              </w:rPr>
              <w:instrText xml:space="preserve"> PAGEREF _Toc468345405 \h </w:instrText>
            </w:r>
            <w:r w:rsidR="00B6080E">
              <w:rPr>
                <w:noProof/>
                <w:webHidden/>
              </w:rPr>
            </w:r>
            <w:r w:rsidR="00B6080E">
              <w:rPr>
                <w:noProof/>
                <w:webHidden/>
              </w:rPr>
              <w:fldChar w:fldCharType="separate"/>
            </w:r>
            <w:r w:rsidR="00B6080E">
              <w:rPr>
                <w:noProof/>
                <w:webHidden/>
              </w:rPr>
              <w:t>102</w:t>
            </w:r>
            <w:r w:rsidR="00B6080E">
              <w:rPr>
                <w:noProof/>
                <w:webHidden/>
              </w:rPr>
              <w:fldChar w:fldCharType="end"/>
            </w:r>
          </w:hyperlink>
        </w:p>
        <w:p w14:paraId="707D7B65" w14:textId="02173921" w:rsidR="00B6080E" w:rsidRDefault="00323A51">
          <w:pPr>
            <w:pStyle w:val="TOC2"/>
            <w:rPr>
              <w:rFonts w:asciiTheme="minorHAnsi" w:eastAsiaTheme="minorEastAsia" w:hAnsiTheme="minorHAnsi" w:cstheme="minorBidi"/>
              <w:smallCaps w:val="0"/>
              <w:noProof/>
              <w:sz w:val="22"/>
              <w:szCs w:val="22"/>
              <w:lang w:val="en-US"/>
            </w:rPr>
          </w:pPr>
          <w:hyperlink w:anchor="_Toc468345406" w:history="1">
            <w:r w:rsidR="00B6080E" w:rsidRPr="005555ED">
              <w:rPr>
                <w:rStyle w:val="Hyperlink"/>
                <w:noProof/>
                <w14:scene3d>
                  <w14:camera w14:prst="orthographicFront"/>
                  <w14:lightRig w14:rig="threePt" w14:dir="t">
                    <w14:rot w14:lat="0" w14:lon="0" w14:rev="0"/>
                  </w14:lightRig>
                </w14:scene3d>
              </w:rPr>
              <w:t>11.4</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Europski Strukturni i investicijski (ESI) fondovi</w:t>
            </w:r>
            <w:r w:rsidR="00B6080E">
              <w:rPr>
                <w:noProof/>
                <w:webHidden/>
              </w:rPr>
              <w:tab/>
            </w:r>
            <w:r w:rsidR="00B6080E">
              <w:rPr>
                <w:noProof/>
                <w:webHidden/>
              </w:rPr>
              <w:fldChar w:fldCharType="begin"/>
            </w:r>
            <w:r w:rsidR="00B6080E">
              <w:rPr>
                <w:noProof/>
                <w:webHidden/>
              </w:rPr>
              <w:instrText xml:space="preserve"> PAGEREF _Toc468345406 \h </w:instrText>
            </w:r>
            <w:r w:rsidR="00B6080E">
              <w:rPr>
                <w:noProof/>
                <w:webHidden/>
              </w:rPr>
            </w:r>
            <w:r w:rsidR="00B6080E">
              <w:rPr>
                <w:noProof/>
                <w:webHidden/>
              </w:rPr>
              <w:fldChar w:fldCharType="separate"/>
            </w:r>
            <w:r w:rsidR="00B6080E">
              <w:rPr>
                <w:noProof/>
                <w:webHidden/>
              </w:rPr>
              <w:t>102</w:t>
            </w:r>
            <w:r w:rsidR="00B6080E">
              <w:rPr>
                <w:noProof/>
                <w:webHidden/>
              </w:rPr>
              <w:fldChar w:fldCharType="end"/>
            </w:r>
          </w:hyperlink>
        </w:p>
        <w:p w14:paraId="18F3C36F" w14:textId="634F38E1" w:rsidR="00B6080E" w:rsidRDefault="00323A51">
          <w:pPr>
            <w:pStyle w:val="TOC2"/>
            <w:rPr>
              <w:rFonts w:asciiTheme="minorHAnsi" w:eastAsiaTheme="minorEastAsia" w:hAnsiTheme="minorHAnsi" w:cstheme="minorBidi"/>
              <w:smallCaps w:val="0"/>
              <w:noProof/>
              <w:sz w:val="22"/>
              <w:szCs w:val="22"/>
              <w:lang w:val="en-US"/>
            </w:rPr>
          </w:pPr>
          <w:hyperlink w:anchor="_Toc468345407" w:history="1">
            <w:r w:rsidR="00B6080E" w:rsidRPr="005555ED">
              <w:rPr>
                <w:rStyle w:val="Hyperlink"/>
                <w:noProof/>
                <w14:scene3d>
                  <w14:camera w14:prst="orthographicFront"/>
                  <w14:lightRig w14:rig="threePt" w14:dir="t">
                    <w14:rot w14:lat="0" w14:lon="0" w14:rev="0"/>
                  </w14:lightRig>
                </w14:scene3d>
              </w:rPr>
              <w:t>11.5</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Hrvatska banka za obnovu i razvitak (HBOR)</w:t>
            </w:r>
            <w:r w:rsidR="00B6080E">
              <w:rPr>
                <w:noProof/>
                <w:webHidden/>
              </w:rPr>
              <w:tab/>
            </w:r>
            <w:r w:rsidR="00B6080E">
              <w:rPr>
                <w:noProof/>
                <w:webHidden/>
              </w:rPr>
              <w:fldChar w:fldCharType="begin"/>
            </w:r>
            <w:r w:rsidR="00B6080E">
              <w:rPr>
                <w:noProof/>
                <w:webHidden/>
              </w:rPr>
              <w:instrText xml:space="preserve"> PAGEREF _Toc468345407 \h </w:instrText>
            </w:r>
            <w:r w:rsidR="00B6080E">
              <w:rPr>
                <w:noProof/>
                <w:webHidden/>
              </w:rPr>
            </w:r>
            <w:r w:rsidR="00B6080E">
              <w:rPr>
                <w:noProof/>
                <w:webHidden/>
              </w:rPr>
              <w:fldChar w:fldCharType="separate"/>
            </w:r>
            <w:r w:rsidR="00B6080E">
              <w:rPr>
                <w:noProof/>
                <w:webHidden/>
              </w:rPr>
              <w:t>104</w:t>
            </w:r>
            <w:r w:rsidR="00B6080E">
              <w:rPr>
                <w:noProof/>
                <w:webHidden/>
              </w:rPr>
              <w:fldChar w:fldCharType="end"/>
            </w:r>
          </w:hyperlink>
        </w:p>
        <w:p w14:paraId="5A9D48F9" w14:textId="1AED1354" w:rsidR="00B6080E" w:rsidRDefault="00323A51">
          <w:pPr>
            <w:pStyle w:val="TOC2"/>
            <w:rPr>
              <w:rFonts w:asciiTheme="minorHAnsi" w:eastAsiaTheme="minorEastAsia" w:hAnsiTheme="minorHAnsi" w:cstheme="minorBidi"/>
              <w:smallCaps w:val="0"/>
              <w:noProof/>
              <w:sz w:val="22"/>
              <w:szCs w:val="22"/>
              <w:lang w:val="en-US"/>
            </w:rPr>
          </w:pPr>
          <w:hyperlink w:anchor="_Toc468345408" w:history="1">
            <w:r w:rsidR="00B6080E" w:rsidRPr="005555ED">
              <w:rPr>
                <w:rStyle w:val="Hyperlink"/>
                <w:noProof/>
                <w14:scene3d>
                  <w14:camera w14:prst="orthographicFront"/>
                  <w14:lightRig w14:rig="threePt" w14:dir="t">
                    <w14:rot w14:lat="0" w14:lon="0" w14:rev="0"/>
                  </w14:lightRig>
                </w14:scene3d>
              </w:rPr>
              <w:t>11.6</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Europska investicijska banka (EIB)</w:t>
            </w:r>
            <w:r w:rsidR="00B6080E">
              <w:rPr>
                <w:noProof/>
                <w:webHidden/>
              </w:rPr>
              <w:tab/>
            </w:r>
            <w:r w:rsidR="00B6080E">
              <w:rPr>
                <w:noProof/>
                <w:webHidden/>
              </w:rPr>
              <w:fldChar w:fldCharType="begin"/>
            </w:r>
            <w:r w:rsidR="00B6080E">
              <w:rPr>
                <w:noProof/>
                <w:webHidden/>
              </w:rPr>
              <w:instrText xml:space="preserve"> PAGEREF _Toc468345408 \h </w:instrText>
            </w:r>
            <w:r w:rsidR="00B6080E">
              <w:rPr>
                <w:noProof/>
                <w:webHidden/>
              </w:rPr>
            </w:r>
            <w:r w:rsidR="00B6080E">
              <w:rPr>
                <w:noProof/>
                <w:webHidden/>
              </w:rPr>
              <w:fldChar w:fldCharType="separate"/>
            </w:r>
            <w:r w:rsidR="00B6080E">
              <w:rPr>
                <w:noProof/>
                <w:webHidden/>
              </w:rPr>
              <w:t>104</w:t>
            </w:r>
            <w:r w:rsidR="00B6080E">
              <w:rPr>
                <w:noProof/>
                <w:webHidden/>
              </w:rPr>
              <w:fldChar w:fldCharType="end"/>
            </w:r>
          </w:hyperlink>
        </w:p>
        <w:p w14:paraId="5F055584" w14:textId="2288FB71" w:rsidR="00B6080E" w:rsidRDefault="00323A51">
          <w:pPr>
            <w:pStyle w:val="TOC2"/>
            <w:rPr>
              <w:rFonts w:asciiTheme="minorHAnsi" w:eastAsiaTheme="minorEastAsia" w:hAnsiTheme="minorHAnsi" w:cstheme="minorBidi"/>
              <w:smallCaps w:val="0"/>
              <w:noProof/>
              <w:sz w:val="22"/>
              <w:szCs w:val="22"/>
              <w:lang w:val="en-US"/>
            </w:rPr>
          </w:pPr>
          <w:hyperlink w:anchor="_Toc468345409" w:history="1">
            <w:r w:rsidR="00B6080E" w:rsidRPr="005555ED">
              <w:rPr>
                <w:rStyle w:val="Hyperlink"/>
                <w:noProof/>
                <w14:scene3d>
                  <w14:camera w14:prst="orthographicFront"/>
                  <w14:lightRig w14:rig="threePt" w14:dir="t">
                    <w14:rot w14:lat="0" w14:lon="0" w14:rev="0"/>
                  </w14:lightRig>
                </w14:scene3d>
              </w:rPr>
              <w:t>11.7</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Europska banka za obnovu i razvoj (EBRD)</w:t>
            </w:r>
            <w:r w:rsidR="00B6080E">
              <w:rPr>
                <w:noProof/>
                <w:webHidden/>
              </w:rPr>
              <w:tab/>
            </w:r>
            <w:r w:rsidR="00B6080E">
              <w:rPr>
                <w:noProof/>
                <w:webHidden/>
              </w:rPr>
              <w:fldChar w:fldCharType="begin"/>
            </w:r>
            <w:r w:rsidR="00B6080E">
              <w:rPr>
                <w:noProof/>
                <w:webHidden/>
              </w:rPr>
              <w:instrText xml:space="preserve"> PAGEREF _Toc468345409 \h </w:instrText>
            </w:r>
            <w:r w:rsidR="00B6080E">
              <w:rPr>
                <w:noProof/>
                <w:webHidden/>
              </w:rPr>
            </w:r>
            <w:r w:rsidR="00B6080E">
              <w:rPr>
                <w:noProof/>
                <w:webHidden/>
              </w:rPr>
              <w:fldChar w:fldCharType="separate"/>
            </w:r>
            <w:r w:rsidR="00B6080E">
              <w:rPr>
                <w:noProof/>
                <w:webHidden/>
              </w:rPr>
              <w:t>105</w:t>
            </w:r>
            <w:r w:rsidR="00B6080E">
              <w:rPr>
                <w:noProof/>
                <w:webHidden/>
              </w:rPr>
              <w:fldChar w:fldCharType="end"/>
            </w:r>
          </w:hyperlink>
        </w:p>
        <w:p w14:paraId="6AAE99B8" w14:textId="0B0E96FB" w:rsidR="00B6080E" w:rsidRDefault="00323A51">
          <w:pPr>
            <w:pStyle w:val="TOC2"/>
            <w:rPr>
              <w:rFonts w:asciiTheme="minorHAnsi" w:eastAsiaTheme="minorEastAsia" w:hAnsiTheme="minorHAnsi" w:cstheme="minorBidi"/>
              <w:smallCaps w:val="0"/>
              <w:noProof/>
              <w:sz w:val="22"/>
              <w:szCs w:val="22"/>
              <w:lang w:val="en-US"/>
            </w:rPr>
          </w:pPr>
          <w:hyperlink w:anchor="_Toc468345410" w:history="1">
            <w:r w:rsidR="00B6080E" w:rsidRPr="005555ED">
              <w:rPr>
                <w:rStyle w:val="Hyperlink"/>
                <w:noProof/>
                <w14:scene3d>
                  <w14:camera w14:prst="orthographicFront"/>
                  <w14:lightRig w14:rig="threePt" w14:dir="t">
                    <w14:rot w14:lat="0" w14:lon="0" w14:rev="0"/>
                  </w14:lightRig>
                </w14:scene3d>
              </w:rPr>
              <w:t>11.8</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Europski fond za energetsku učinkovitost (EEEF)</w:t>
            </w:r>
            <w:r w:rsidR="00B6080E">
              <w:rPr>
                <w:noProof/>
                <w:webHidden/>
              </w:rPr>
              <w:tab/>
            </w:r>
            <w:r w:rsidR="00B6080E">
              <w:rPr>
                <w:noProof/>
                <w:webHidden/>
              </w:rPr>
              <w:fldChar w:fldCharType="begin"/>
            </w:r>
            <w:r w:rsidR="00B6080E">
              <w:rPr>
                <w:noProof/>
                <w:webHidden/>
              </w:rPr>
              <w:instrText xml:space="preserve"> PAGEREF _Toc468345410 \h </w:instrText>
            </w:r>
            <w:r w:rsidR="00B6080E">
              <w:rPr>
                <w:noProof/>
                <w:webHidden/>
              </w:rPr>
            </w:r>
            <w:r w:rsidR="00B6080E">
              <w:rPr>
                <w:noProof/>
                <w:webHidden/>
              </w:rPr>
              <w:fldChar w:fldCharType="separate"/>
            </w:r>
            <w:r w:rsidR="00B6080E">
              <w:rPr>
                <w:noProof/>
                <w:webHidden/>
              </w:rPr>
              <w:t>106</w:t>
            </w:r>
            <w:r w:rsidR="00B6080E">
              <w:rPr>
                <w:noProof/>
                <w:webHidden/>
              </w:rPr>
              <w:fldChar w:fldCharType="end"/>
            </w:r>
          </w:hyperlink>
        </w:p>
        <w:p w14:paraId="474C0FD8" w14:textId="2B15B129" w:rsidR="00B6080E" w:rsidRDefault="00323A51">
          <w:pPr>
            <w:pStyle w:val="TOC2"/>
            <w:rPr>
              <w:rFonts w:asciiTheme="minorHAnsi" w:eastAsiaTheme="minorEastAsia" w:hAnsiTheme="minorHAnsi" w:cstheme="minorBidi"/>
              <w:smallCaps w:val="0"/>
              <w:noProof/>
              <w:sz w:val="22"/>
              <w:szCs w:val="22"/>
              <w:lang w:val="en-US"/>
            </w:rPr>
          </w:pPr>
          <w:hyperlink w:anchor="_Toc468345411" w:history="1">
            <w:r w:rsidR="00B6080E" w:rsidRPr="005555ED">
              <w:rPr>
                <w:rStyle w:val="Hyperlink"/>
                <w:noProof/>
                <w14:scene3d>
                  <w14:camera w14:prst="orthographicFront"/>
                  <w14:lightRig w14:rig="threePt" w14:dir="t">
                    <w14:rot w14:lat="0" w14:lon="0" w14:rev="0"/>
                  </w14:lightRig>
                </w14:scene3d>
              </w:rPr>
              <w:t>11.9</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Program financijske podrške projektima obnovljive energije za Zapadni Balkan II (WeBSEFF II)</w:t>
            </w:r>
            <w:r w:rsidR="00B6080E">
              <w:rPr>
                <w:noProof/>
                <w:webHidden/>
              </w:rPr>
              <w:tab/>
            </w:r>
            <w:r w:rsidR="00B6080E">
              <w:rPr>
                <w:noProof/>
                <w:webHidden/>
              </w:rPr>
              <w:fldChar w:fldCharType="begin"/>
            </w:r>
            <w:r w:rsidR="00B6080E">
              <w:rPr>
                <w:noProof/>
                <w:webHidden/>
              </w:rPr>
              <w:instrText xml:space="preserve"> PAGEREF _Toc468345411 \h </w:instrText>
            </w:r>
            <w:r w:rsidR="00B6080E">
              <w:rPr>
                <w:noProof/>
                <w:webHidden/>
              </w:rPr>
            </w:r>
            <w:r w:rsidR="00B6080E">
              <w:rPr>
                <w:noProof/>
                <w:webHidden/>
              </w:rPr>
              <w:fldChar w:fldCharType="separate"/>
            </w:r>
            <w:r w:rsidR="00B6080E">
              <w:rPr>
                <w:noProof/>
                <w:webHidden/>
              </w:rPr>
              <w:t>106</w:t>
            </w:r>
            <w:r w:rsidR="00B6080E">
              <w:rPr>
                <w:noProof/>
                <w:webHidden/>
              </w:rPr>
              <w:fldChar w:fldCharType="end"/>
            </w:r>
          </w:hyperlink>
        </w:p>
        <w:p w14:paraId="4C08AFCE" w14:textId="4EE3288D" w:rsidR="00B6080E" w:rsidRDefault="00323A51">
          <w:pPr>
            <w:pStyle w:val="TOC2"/>
            <w:rPr>
              <w:rFonts w:asciiTheme="minorHAnsi" w:eastAsiaTheme="minorEastAsia" w:hAnsiTheme="minorHAnsi" w:cstheme="minorBidi"/>
              <w:smallCaps w:val="0"/>
              <w:noProof/>
              <w:sz w:val="22"/>
              <w:szCs w:val="22"/>
              <w:lang w:val="en-US"/>
            </w:rPr>
          </w:pPr>
          <w:hyperlink w:anchor="_Toc468345412" w:history="1">
            <w:r w:rsidR="00B6080E" w:rsidRPr="005555ED">
              <w:rPr>
                <w:rStyle w:val="Hyperlink"/>
                <w:noProof/>
                <w14:scene3d>
                  <w14:camera w14:prst="orthographicFront"/>
                  <w14:lightRig w14:rig="threePt" w14:dir="t">
                    <w14:rot w14:lat="0" w14:lon="0" w14:rev="0"/>
                  </w14:lightRig>
                </w14:scene3d>
              </w:rPr>
              <w:t>11.10</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Programi i posebni instrumenti potpore Europske unije</w:t>
            </w:r>
            <w:r w:rsidR="00B6080E">
              <w:rPr>
                <w:noProof/>
                <w:webHidden/>
              </w:rPr>
              <w:tab/>
            </w:r>
            <w:r w:rsidR="00B6080E">
              <w:rPr>
                <w:noProof/>
                <w:webHidden/>
              </w:rPr>
              <w:fldChar w:fldCharType="begin"/>
            </w:r>
            <w:r w:rsidR="00B6080E">
              <w:rPr>
                <w:noProof/>
                <w:webHidden/>
              </w:rPr>
              <w:instrText xml:space="preserve"> PAGEREF _Toc468345412 \h </w:instrText>
            </w:r>
            <w:r w:rsidR="00B6080E">
              <w:rPr>
                <w:noProof/>
                <w:webHidden/>
              </w:rPr>
            </w:r>
            <w:r w:rsidR="00B6080E">
              <w:rPr>
                <w:noProof/>
                <w:webHidden/>
              </w:rPr>
              <w:fldChar w:fldCharType="separate"/>
            </w:r>
            <w:r w:rsidR="00B6080E">
              <w:rPr>
                <w:noProof/>
                <w:webHidden/>
              </w:rPr>
              <w:t>107</w:t>
            </w:r>
            <w:r w:rsidR="00B6080E">
              <w:rPr>
                <w:noProof/>
                <w:webHidden/>
              </w:rPr>
              <w:fldChar w:fldCharType="end"/>
            </w:r>
          </w:hyperlink>
        </w:p>
        <w:p w14:paraId="044D3F9E" w14:textId="6AA5B34C" w:rsidR="00B6080E" w:rsidRDefault="00323A51">
          <w:pPr>
            <w:pStyle w:val="TOC3"/>
            <w:rPr>
              <w:rFonts w:asciiTheme="minorHAnsi" w:eastAsiaTheme="minorEastAsia" w:hAnsiTheme="minorHAnsi" w:cstheme="minorBidi"/>
              <w:bCs w:val="0"/>
              <w:i w:val="0"/>
              <w:iCs w:val="0"/>
              <w:sz w:val="22"/>
              <w:szCs w:val="22"/>
              <w:lang w:val="en-US"/>
            </w:rPr>
          </w:pPr>
          <w:hyperlink w:anchor="_Toc468345413" w:history="1">
            <w:r w:rsidR="00B6080E" w:rsidRPr="005555ED">
              <w:rPr>
                <w:rStyle w:val="Hyperlink"/>
                <w14:scene3d>
                  <w14:camera w14:prst="orthographicFront"/>
                  <w14:lightRig w14:rig="threePt" w14:dir="t">
                    <w14:rot w14:lat="0" w14:lon="0" w14:rev="0"/>
                  </w14:lightRig>
                </w14:scene3d>
              </w:rPr>
              <w:t>11.10.1</w:t>
            </w:r>
            <w:r w:rsidR="00B6080E">
              <w:rPr>
                <w:rFonts w:asciiTheme="minorHAnsi" w:eastAsiaTheme="minorEastAsia" w:hAnsiTheme="minorHAnsi" w:cstheme="minorBidi"/>
                <w:bCs w:val="0"/>
                <w:i w:val="0"/>
                <w:iCs w:val="0"/>
                <w:sz w:val="22"/>
                <w:szCs w:val="22"/>
                <w:lang w:val="en-US"/>
              </w:rPr>
              <w:tab/>
            </w:r>
            <w:r w:rsidR="00B6080E" w:rsidRPr="005555ED">
              <w:rPr>
                <w:rStyle w:val="Hyperlink"/>
              </w:rPr>
              <w:t>Obzor 2020</w:t>
            </w:r>
            <w:r w:rsidR="00B6080E">
              <w:rPr>
                <w:webHidden/>
              </w:rPr>
              <w:tab/>
            </w:r>
            <w:r w:rsidR="00B6080E">
              <w:rPr>
                <w:webHidden/>
              </w:rPr>
              <w:fldChar w:fldCharType="begin"/>
            </w:r>
            <w:r w:rsidR="00B6080E">
              <w:rPr>
                <w:webHidden/>
              </w:rPr>
              <w:instrText xml:space="preserve"> PAGEREF _Toc468345413 \h </w:instrText>
            </w:r>
            <w:r w:rsidR="00B6080E">
              <w:rPr>
                <w:webHidden/>
              </w:rPr>
            </w:r>
            <w:r w:rsidR="00B6080E">
              <w:rPr>
                <w:webHidden/>
              </w:rPr>
              <w:fldChar w:fldCharType="separate"/>
            </w:r>
            <w:r w:rsidR="00B6080E">
              <w:rPr>
                <w:webHidden/>
              </w:rPr>
              <w:t>107</w:t>
            </w:r>
            <w:r w:rsidR="00B6080E">
              <w:rPr>
                <w:webHidden/>
              </w:rPr>
              <w:fldChar w:fldCharType="end"/>
            </w:r>
          </w:hyperlink>
        </w:p>
        <w:p w14:paraId="228E3258" w14:textId="79D61190" w:rsidR="00B6080E" w:rsidRDefault="00323A51">
          <w:pPr>
            <w:pStyle w:val="TOC3"/>
            <w:rPr>
              <w:rFonts w:asciiTheme="minorHAnsi" w:eastAsiaTheme="minorEastAsia" w:hAnsiTheme="minorHAnsi" w:cstheme="minorBidi"/>
              <w:bCs w:val="0"/>
              <w:i w:val="0"/>
              <w:iCs w:val="0"/>
              <w:sz w:val="22"/>
              <w:szCs w:val="22"/>
              <w:lang w:val="en-US"/>
            </w:rPr>
          </w:pPr>
          <w:hyperlink w:anchor="_Toc468345414" w:history="1">
            <w:r w:rsidR="00B6080E" w:rsidRPr="005555ED">
              <w:rPr>
                <w:rStyle w:val="Hyperlink"/>
                <w14:scene3d>
                  <w14:camera w14:prst="orthographicFront"/>
                  <w14:lightRig w14:rig="threePt" w14:dir="t">
                    <w14:rot w14:lat="0" w14:lon="0" w14:rev="0"/>
                  </w14:lightRig>
                </w14:scene3d>
              </w:rPr>
              <w:t>11.10.2</w:t>
            </w:r>
            <w:r w:rsidR="00B6080E">
              <w:rPr>
                <w:rFonts w:asciiTheme="minorHAnsi" w:eastAsiaTheme="minorEastAsia" w:hAnsiTheme="minorHAnsi" w:cstheme="minorBidi"/>
                <w:bCs w:val="0"/>
                <w:i w:val="0"/>
                <w:iCs w:val="0"/>
                <w:sz w:val="22"/>
                <w:szCs w:val="22"/>
                <w:lang w:val="en-US"/>
              </w:rPr>
              <w:tab/>
            </w:r>
            <w:r w:rsidR="00B6080E" w:rsidRPr="005555ED">
              <w:rPr>
                <w:rStyle w:val="Hyperlink"/>
              </w:rPr>
              <w:t>Europski programi teritorijalne suradnje</w:t>
            </w:r>
            <w:r w:rsidR="00B6080E">
              <w:rPr>
                <w:webHidden/>
              </w:rPr>
              <w:tab/>
            </w:r>
            <w:r w:rsidR="00B6080E">
              <w:rPr>
                <w:webHidden/>
              </w:rPr>
              <w:fldChar w:fldCharType="begin"/>
            </w:r>
            <w:r w:rsidR="00B6080E">
              <w:rPr>
                <w:webHidden/>
              </w:rPr>
              <w:instrText xml:space="preserve"> PAGEREF _Toc468345414 \h </w:instrText>
            </w:r>
            <w:r w:rsidR="00B6080E">
              <w:rPr>
                <w:webHidden/>
              </w:rPr>
            </w:r>
            <w:r w:rsidR="00B6080E">
              <w:rPr>
                <w:webHidden/>
              </w:rPr>
              <w:fldChar w:fldCharType="separate"/>
            </w:r>
            <w:r w:rsidR="00B6080E">
              <w:rPr>
                <w:webHidden/>
              </w:rPr>
              <w:t>107</w:t>
            </w:r>
            <w:r w:rsidR="00B6080E">
              <w:rPr>
                <w:webHidden/>
              </w:rPr>
              <w:fldChar w:fldCharType="end"/>
            </w:r>
          </w:hyperlink>
        </w:p>
        <w:p w14:paraId="442E184F" w14:textId="3F3EDB23" w:rsidR="00B6080E" w:rsidRDefault="00323A51">
          <w:pPr>
            <w:pStyle w:val="TOC3"/>
            <w:rPr>
              <w:rFonts w:asciiTheme="minorHAnsi" w:eastAsiaTheme="minorEastAsia" w:hAnsiTheme="minorHAnsi" w:cstheme="minorBidi"/>
              <w:bCs w:val="0"/>
              <w:i w:val="0"/>
              <w:iCs w:val="0"/>
              <w:sz w:val="22"/>
              <w:szCs w:val="22"/>
              <w:lang w:val="en-US"/>
            </w:rPr>
          </w:pPr>
          <w:hyperlink w:anchor="_Toc468345415" w:history="1">
            <w:r w:rsidR="00B6080E" w:rsidRPr="005555ED">
              <w:rPr>
                <w:rStyle w:val="Hyperlink"/>
                <w14:scene3d>
                  <w14:camera w14:prst="orthographicFront"/>
                  <w14:lightRig w14:rig="threePt" w14:dir="t">
                    <w14:rot w14:lat="0" w14:lon="0" w14:rev="0"/>
                  </w14:lightRig>
                </w14:scene3d>
              </w:rPr>
              <w:t>11.10.3</w:t>
            </w:r>
            <w:r w:rsidR="00B6080E">
              <w:rPr>
                <w:rFonts w:asciiTheme="minorHAnsi" w:eastAsiaTheme="minorEastAsia" w:hAnsiTheme="minorHAnsi" w:cstheme="minorBidi"/>
                <w:bCs w:val="0"/>
                <w:i w:val="0"/>
                <w:iCs w:val="0"/>
                <w:sz w:val="22"/>
                <w:szCs w:val="22"/>
                <w:lang w:val="en-US"/>
              </w:rPr>
              <w:tab/>
            </w:r>
            <w:r w:rsidR="00B6080E" w:rsidRPr="005555ED">
              <w:rPr>
                <w:rStyle w:val="Hyperlink"/>
              </w:rPr>
              <w:t>European Local Energy Assistance (ELENA)</w:t>
            </w:r>
            <w:r w:rsidR="00B6080E">
              <w:rPr>
                <w:webHidden/>
              </w:rPr>
              <w:tab/>
            </w:r>
            <w:r w:rsidR="00B6080E">
              <w:rPr>
                <w:webHidden/>
              </w:rPr>
              <w:fldChar w:fldCharType="begin"/>
            </w:r>
            <w:r w:rsidR="00B6080E">
              <w:rPr>
                <w:webHidden/>
              </w:rPr>
              <w:instrText xml:space="preserve"> PAGEREF _Toc468345415 \h </w:instrText>
            </w:r>
            <w:r w:rsidR="00B6080E">
              <w:rPr>
                <w:webHidden/>
              </w:rPr>
            </w:r>
            <w:r w:rsidR="00B6080E">
              <w:rPr>
                <w:webHidden/>
              </w:rPr>
              <w:fldChar w:fldCharType="separate"/>
            </w:r>
            <w:r w:rsidR="00B6080E">
              <w:rPr>
                <w:webHidden/>
              </w:rPr>
              <w:t>108</w:t>
            </w:r>
            <w:r w:rsidR="00B6080E">
              <w:rPr>
                <w:webHidden/>
              </w:rPr>
              <w:fldChar w:fldCharType="end"/>
            </w:r>
          </w:hyperlink>
        </w:p>
        <w:p w14:paraId="37676D56" w14:textId="5C553BDF" w:rsidR="00B6080E" w:rsidRDefault="00323A51">
          <w:pPr>
            <w:pStyle w:val="TOC3"/>
            <w:rPr>
              <w:rFonts w:asciiTheme="minorHAnsi" w:eastAsiaTheme="minorEastAsia" w:hAnsiTheme="minorHAnsi" w:cstheme="minorBidi"/>
              <w:bCs w:val="0"/>
              <w:i w:val="0"/>
              <w:iCs w:val="0"/>
              <w:sz w:val="22"/>
              <w:szCs w:val="22"/>
              <w:lang w:val="en-US"/>
            </w:rPr>
          </w:pPr>
          <w:hyperlink w:anchor="_Toc468345416" w:history="1">
            <w:r w:rsidR="00B6080E" w:rsidRPr="005555ED">
              <w:rPr>
                <w:rStyle w:val="Hyperlink"/>
                <w14:scene3d>
                  <w14:camera w14:prst="orthographicFront"/>
                  <w14:lightRig w14:rig="threePt" w14:dir="t">
                    <w14:rot w14:lat="0" w14:lon="0" w14:rev="0"/>
                  </w14:lightRig>
                </w14:scene3d>
              </w:rPr>
              <w:t>11.10.4</w:t>
            </w:r>
            <w:r w:rsidR="00B6080E">
              <w:rPr>
                <w:rFonts w:asciiTheme="minorHAnsi" w:eastAsiaTheme="minorEastAsia" w:hAnsiTheme="minorHAnsi" w:cstheme="minorBidi"/>
                <w:bCs w:val="0"/>
                <w:i w:val="0"/>
                <w:iCs w:val="0"/>
                <w:sz w:val="22"/>
                <w:szCs w:val="22"/>
                <w:lang w:val="en-US"/>
              </w:rPr>
              <w:tab/>
            </w:r>
            <w:r w:rsidR="00B6080E" w:rsidRPr="005555ED">
              <w:rPr>
                <w:rStyle w:val="Hyperlink"/>
              </w:rPr>
              <w:t>Zajednička europska potpora održivom ulaganju u gradska područja (JESSICA)</w:t>
            </w:r>
            <w:r w:rsidR="00B6080E">
              <w:rPr>
                <w:webHidden/>
              </w:rPr>
              <w:tab/>
            </w:r>
            <w:r w:rsidR="00B6080E">
              <w:rPr>
                <w:webHidden/>
              </w:rPr>
              <w:fldChar w:fldCharType="begin"/>
            </w:r>
            <w:r w:rsidR="00B6080E">
              <w:rPr>
                <w:webHidden/>
              </w:rPr>
              <w:instrText xml:space="preserve"> PAGEREF _Toc468345416 \h </w:instrText>
            </w:r>
            <w:r w:rsidR="00B6080E">
              <w:rPr>
                <w:webHidden/>
              </w:rPr>
            </w:r>
            <w:r w:rsidR="00B6080E">
              <w:rPr>
                <w:webHidden/>
              </w:rPr>
              <w:fldChar w:fldCharType="separate"/>
            </w:r>
            <w:r w:rsidR="00B6080E">
              <w:rPr>
                <w:webHidden/>
              </w:rPr>
              <w:t>108</w:t>
            </w:r>
            <w:r w:rsidR="00B6080E">
              <w:rPr>
                <w:webHidden/>
              </w:rPr>
              <w:fldChar w:fldCharType="end"/>
            </w:r>
          </w:hyperlink>
        </w:p>
        <w:p w14:paraId="15DA3F88" w14:textId="2566F537" w:rsidR="00B6080E" w:rsidRDefault="00323A51">
          <w:pPr>
            <w:pStyle w:val="TOC3"/>
            <w:rPr>
              <w:rFonts w:asciiTheme="minorHAnsi" w:eastAsiaTheme="minorEastAsia" w:hAnsiTheme="minorHAnsi" w:cstheme="minorBidi"/>
              <w:bCs w:val="0"/>
              <w:i w:val="0"/>
              <w:iCs w:val="0"/>
              <w:sz w:val="22"/>
              <w:szCs w:val="22"/>
              <w:lang w:val="en-US"/>
            </w:rPr>
          </w:pPr>
          <w:hyperlink w:anchor="_Toc468345417" w:history="1">
            <w:r w:rsidR="00B6080E" w:rsidRPr="005555ED">
              <w:rPr>
                <w:rStyle w:val="Hyperlink"/>
                <w14:scene3d>
                  <w14:camera w14:prst="orthographicFront"/>
                  <w14:lightRig w14:rig="threePt" w14:dir="t">
                    <w14:rot w14:lat="0" w14:lon="0" w14:rev="0"/>
                  </w14:lightRig>
                </w14:scene3d>
              </w:rPr>
              <w:t>11.10.5</w:t>
            </w:r>
            <w:r w:rsidR="00B6080E">
              <w:rPr>
                <w:rFonts w:asciiTheme="minorHAnsi" w:eastAsiaTheme="minorEastAsia" w:hAnsiTheme="minorHAnsi" w:cstheme="minorBidi"/>
                <w:bCs w:val="0"/>
                <w:i w:val="0"/>
                <w:iCs w:val="0"/>
                <w:sz w:val="22"/>
                <w:szCs w:val="22"/>
                <w:lang w:val="en-US"/>
              </w:rPr>
              <w:tab/>
            </w:r>
            <w:r w:rsidR="00B6080E" w:rsidRPr="005555ED">
              <w:rPr>
                <w:rStyle w:val="Hyperlink"/>
              </w:rPr>
              <w:t>Zajednička pomoć za potporu projektima u europskim regijama (JASPERS)</w:t>
            </w:r>
            <w:r w:rsidR="00B6080E">
              <w:rPr>
                <w:webHidden/>
              </w:rPr>
              <w:tab/>
            </w:r>
            <w:r w:rsidR="00B6080E">
              <w:rPr>
                <w:webHidden/>
              </w:rPr>
              <w:fldChar w:fldCharType="begin"/>
            </w:r>
            <w:r w:rsidR="00B6080E">
              <w:rPr>
                <w:webHidden/>
              </w:rPr>
              <w:instrText xml:space="preserve"> PAGEREF _Toc468345417 \h </w:instrText>
            </w:r>
            <w:r w:rsidR="00B6080E">
              <w:rPr>
                <w:webHidden/>
              </w:rPr>
            </w:r>
            <w:r w:rsidR="00B6080E">
              <w:rPr>
                <w:webHidden/>
              </w:rPr>
              <w:fldChar w:fldCharType="separate"/>
            </w:r>
            <w:r w:rsidR="00B6080E">
              <w:rPr>
                <w:webHidden/>
              </w:rPr>
              <w:t>109</w:t>
            </w:r>
            <w:r w:rsidR="00B6080E">
              <w:rPr>
                <w:webHidden/>
              </w:rPr>
              <w:fldChar w:fldCharType="end"/>
            </w:r>
          </w:hyperlink>
        </w:p>
        <w:p w14:paraId="70C3FC3A" w14:textId="5F6578C1" w:rsidR="00B6080E" w:rsidRDefault="00323A51">
          <w:pPr>
            <w:pStyle w:val="TOC2"/>
            <w:rPr>
              <w:rFonts w:asciiTheme="minorHAnsi" w:eastAsiaTheme="minorEastAsia" w:hAnsiTheme="minorHAnsi" w:cstheme="minorBidi"/>
              <w:smallCaps w:val="0"/>
              <w:noProof/>
              <w:sz w:val="22"/>
              <w:szCs w:val="22"/>
              <w:lang w:val="en-US"/>
            </w:rPr>
          </w:pPr>
          <w:hyperlink w:anchor="_Toc468345418" w:history="1">
            <w:r w:rsidR="00B6080E" w:rsidRPr="005555ED">
              <w:rPr>
                <w:rStyle w:val="Hyperlink"/>
                <w:noProof/>
                <w14:scene3d>
                  <w14:camera w14:prst="orthographicFront"/>
                  <w14:lightRig w14:rig="threePt" w14:dir="t">
                    <w14:rot w14:lat="0" w14:lon="0" w14:rev="0"/>
                  </w14:lightRig>
                </w14:scene3d>
              </w:rPr>
              <w:t>11.11</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European Economic Area (EEA) and Norway Grants (hrv.  Darovnice članica Europske Ekonomske Zone i Norveške)</w:t>
            </w:r>
            <w:r w:rsidR="00B6080E">
              <w:rPr>
                <w:noProof/>
                <w:webHidden/>
              </w:rPr>
              <w:tab/>
            </w:r>
            <w:r w:rsidR="00B6080E">
              <w:rPr>
                <w:noProof/>
                <w:webHidden/>
              </w:rPr>
              <w:fldChar w:fldCharType="begin"/>
            </w:r>
            <w:r w:rsidR="00B6080E">
              <w:rPr>
                <w:noProof/>
                <w:webHidden/>
              </w:rPr>
              <w:instrText xml:space="preserve"> PAGEREF _Toc468345418 \h </w:instrText>
            </w:r>
            <w:r w:rsidR="00B6080E">
              <w:rPr>
                <w:noProof/>
                <w:webHidden/>
              </w:rPr>
            </w:r>
            <w:r w:rsidR="00B6080E">
              <w:rPr>
                <w:noProof/>
                <w:webHidden/>
              </w:rPr>
              <w:fldChar w:fldCharType="separate"/>
            </w:r>
            <w:r w:rsidR="00B6080E">
              <w:rPr>
                <w:noProof/>
                <w:webHidden/>
              </w:rPr>
              <w:t>109</w:t>
            </w:r>
            <w:r w:rsidR="00B6080E">
              <w:rPr>
                <w:noProof/>
                <w:webHidden/>
              </w:rPr>
              <w:fldChar w:fldCharType="end"/>
            </w:r>
          </w:hyperlink>
        </w:p>
        <w:p w14:paraId="29B02346" w14:textId="4CBEDAE2" w:rsidR="00B6080E" w:rsidRDefault="00323A51">
          <w:pPr>
            <w:pStyle w:val="TOC2"/>
            <w:rPr>
              <w:rFonts w:asciiTheme="minorHAnsi" w:eastAsiaTheme="minorEastAsia" w:hAnsiTheme="minorHAnsi" w:cstheme="minorBidi"/>
              <w:smallCaps w:val="0"/>
              <w:noProof/>
              <w:sz w:val="22"/>
              <w:szCs w:val="22"/>
              <w:lang w:val="en-US"/>
            </w:rPr>
          </w:pPr>
          <w:hyperlink w:anchor="_Toc468345419" w:history="1">
            <w:r w:rsidR="00B6080E" w:rsidRPr="005555ED">
              <w:rPr>
                <w:rStyle w:val="Hyperlink"/>
                <w:noProof/>
                <w14:scene3d>
                  <w14:camera w14:prst="orthographicFront"/>
                  <w14:lightRig w14:rig="threePt" w14:dir="t">
                    <w14:rot w14:lat="0" w14:lon="0" w14:rev="0"/>
                  </w14:lightRig>
                </w14:scene3d>
              </w:rPr>
              <w:t>11.12</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ESCO model</w:t>
            </w:r>
            <w:r w:rsidR="00B6080E">
              <w:rPr>
                <w:noProof/>
                <w:webHidden/>
              </w:rPr>
              <w:tab/>
            </w:r>
            <w:r w:rsidR="00B6080E">
              <w:rPr>
                <w:noProof/>
                <w:webHidden/>
              </w:rPr>
              <w:fldChar w:fldCharType="begin"/>
            </w:r>
            <w:r w:rsidR="00B6080E">
              <w:rPr>
                <w:noProof/>
                <w:webHidden/>
              </w:rPr>
              <w:instrText xml:space="preserve"> PAGEREF _Toc468345419 \h </w:instrText>
            </w:r>
            <w:r w:rsidR="00B6080E">
              <w:rPr>
                <w:noProof/>
                <w:webHidden/>
              </w:rPr>
            </w:r>
            <w:r w:rsidR="00B6080E">
              <w:rPr>
                <w:noProof/>
                <w:webHidden/>
              </w:rPr>
              <w:fldChar w:fldCharType="separate"/>
            </w:r>
            <w:r w:rsidR="00B6080E">
              <w:rPr>
                <w:noProof/>
                <w:webHidden/>
              </w:rPr>
              <w:t>110</w:t>
            </w:r>
            <w:r w:rsidR="00B6080E">
              <w:rPr>
                <w:noProof/>
                <w:webHidden/>
              </w:rPr>
              <w:fldChar w:fldCharType="end"/>
            </w:r>
          </w:hyperlink>
        </w:p>
        <w:p w14:paraId="654604FA" w14:textId="4D8B748E" w:rsidR="00B6080E" w:rsidRDefault="00323A51">
          <w:pPr>
            <w:pStyle w:val="TOC2"/>
            <w:rPr>
              <w:rFonts w:asciiTheme="minorHAnsi" w:eastAsiaTheme="minorEastAsia" w:hAnsiTheme="minorHAnsi" w:cstheme="minorBidi"/>
              <w:smallCaps w:val="0"/>
              <w:noProof/>
              <w:sz w:val="22"/>
              <w:szCs w:val="22"/>
              <w:lang w:val="en-US"/>
            </w:rPr>
          </w:pPr>
          <w:hyperlink w:anchor="_Toc468345420" w:history="1">
            <w:r w:rsidR="00B6080E" w:rsidRPr="005555ED">
              <w:rPr>
                <w:rStyle w:val="Hyperlink"/>
                <w:noProof/>
                <w14:scene3d>
                  <w14:camera w14:prst="orthographicFront"/>
                  <w14:lightRig w14:rig="threePt" w14:dir="t">
                    <w14:rot w14:lat="0" w14:lon="0" w14:rev="0"/>
                  </w14:lightRig>
                </w14:scene3d>
              </w:rPr>
              <w:t>11.13</w:t>
            </w:r>
            <w:r w:rsidR="00B6080E">
              <w:rPr>
                <w:rFonts w:asciiTheme="minorHAnsi" w:eastAsiaTheme="minorEastAsia" w:hAnsiTheme="minorHAnsi" w:cstheme="minorBidi"/>
                <w:smallCaps w:val="0"/>
                <w:noProof/>
                <w:sz w:val="22"/>
                <w:szCs w:val="22"/>
                <w:lang w:val="en-US"/>
              </w:rPr>
              <w:tab/>
            </w:r>
            <w:r w:rsidR="00B6080E" w:rsidRPr="005555ED">
              <w:rPr>
                <w:rStyle w:val="Hyperlink"/>
                <w:noProof/>
              </w:rPr>
              <w:t>Javno-privatno partnerstvo</w:t>
            </w:r>
            <w:r w:rsidR="00B6080E">
              <w:rPr>
                <w:noProof/>
                <w:webHidden/>
              </w:rPr>
              <w:tab/>
            </w:r>
            <w:r w:rsidR="00B6080E">
              <w:rPr>
                <w:noProof/>
                <w:webHidden/>
              </w:rPr>
              <w:fldChar w:fldCharType="begin"/>
            </w:r>
            <w:r w:rsidR="00B6080E">
              <w:rPr>
                <w:noProof/>
                <w:webHidden/>
              </w:rPr>
              <w:instrText xml:space="preserve"> PAGEREF _Toc468345420 \h </w:instrText>
            </w:r>
            <w:r w:rsidR="00B6080E">
              <w:rPr>
                <w:noProof/>
                <w:webHidden/>
              </w:rPr>
            </w:r>
            <w:r w:rsidR="00B6080E">
              <w:rPr>
                <w:noProof/>
                <w:webHidden/>
              </w:rPr>
              <w:fldChar w:fldCharType="separate"/>
            </w:r>
            <w:r w:rsidR="00B6080E">
              <w:rPr>
                <w:noProof/>
                <w:webHidden/>
              </w:rPr>
              <w:t>110</w:t>
            </w:r>
            <w:r w:rsidR="00B6080E">
              <w:rPr>
                <w:noProof/>
                <w:webHidden/>
              </w:rPr>
              <w:fldChar w:fldCharType="end"/>
            </w:r>
          </w:hyperlink>
        </w:p>
        <w:p w14:paraId="4A39CEC6" w14:textId="792824B6" w:rsidR="00B6080E" w:rsidRDefault="00323A51">
          <w:pPr>
            <w:pStyle w:val="TOC1"/>
            <w:rPr>
              <w:rFonts w:asciiTheme="minorHAnsi" w:eastAsiaTheme="minorEastAsia" w:hAnsiTheme="minorHAnsi" w:cstheme="minorBidi"/>
              <w:b w:val="0"/>
              <w:bCs w:val="0"/>
              <w:caps w:val="0"/>
              <w:szCs w:val="22"/>
              <w:lang w:val="en-US"/>
            </w:rPr>
          </w:pPr>
          <w:hyperlink w:anchor="_Toc468345421" w:history="1">
            <w:r w:rsidR="00B6080E" w:rsidRPr="005555ED">
              <w:rPr>
                <w:rStyle w:val="Hyperlink"/>
              </w:rPr>
              <w:t>12</w:t>
            </w:r>
            <w:r w:rsidR="00B6080E">
              <w:rPr>
                <w:rFonts w:asciiTheme="minorHAnsi" w:eastAsiaTheme="minorEastAsia" w:hAnsiTheme="minorHAnsi" w:cstheme="minorBidi"/>
                <w:b w:val="0"/>
                <w:bCs w:val="0"/>
                <w:caps w:val="0"/>
                <w:szCs w:val="22"/>
                <w:lang w:val="en-US"/>
              </w:rPr>
              <w:tab/>
            </w:r>
            <w:r w:rsidR="00B6080E" w:rsidRPr="005555ED">
              <w:rPr>
                <w:rStyle w:val="Hyperlink"/>
              </w:rPr>
              <w:t>ZAKONODAVNI OKVIR</w:t>
            </w:r>
            <w:r w:rsidR="00B6080E">
              <w:rPr>
                <w:webHidden/>
              </w:rPr>
              <w:tab/>
            </w:r>
            <w:r w:rsidR="00B6080E">
              <w:rPr>
                <w:webHidden/>
              </w:rPr>
              <w:fldChar w:fldCharType="begin"/>
            </w:r>
            <w:r w:rsidR="00B6080E">
              <w:rPr>
                <w:webHidden/>
              </w:rPr>
              <w:instrText xml:space="preserve"> PAGEREF _Toc468345421 \h </w:instrText>
            </w:r>
            <w:r w:rsidR="00B6080E">
              <w:rPr>
                <w:webHidden/>
              </w:rPr>
            </w:r>
            <w:r w:rsidR="00B6080E">
              <w:rPr>
                <w:webHidden/>
              </w:rPr>
              <w:fldChar w:fldCharType="separate"/>
            </w:r>
            <w:r w:rsidR="00B6080E">
              <w:rPr>
                <w:webHidden/>
              </w:rPr>
              <w:t>112</w:t>
            </w:r>
            <w:r w:rsidR="00B6080E">
              <w:rPr>
                <w:webHidden/>
              </w:rPr>
              <w:fldChar w:fldCharType="end"/>
            </w:r>
          </w:hyperlink>
        </w:p>
        <w:p w14:paraId="26BE679C" w14:textId="13E03508" w:rsidR="00B6080E" w:rsidRDefault="00323A51">
          <w:pPr>
            <w:pStyle w:val="TOC2"/>
            <w:rPr>
              <w:rFonts w:asciiTheme="minorHAnsi" w:eastAsiaTheme="minorEastAsia" w:hAnsiTheme="minorHAnsi" w:cstheme="minorBidi"/>
              <w:smallCaps w:val="0"/>
              <w:noProof/>
              <w:sz w:val="22"/>
              <w:szCs w:val="22"/>
              <w:lang w:val="en-US"/>
            </w:rPr>
          </w:pPr>
          <w:hyperlink w:anchor="_Toc468345422" w:history="1">
            <w:r w:rsidR="00B6080E" w:rsidRPr="005555ED">
              <w:rPr>
                <w:rStyle w:val="Hyperlink"/>
                <w:rFonts w:eastAsia="Calibri"/>
                <w:noProof/>
                <w14:scene3d>
                  <w14:camera w14:prst="orthographicFront"/>
                  <w14:lightRig w14:rig="threePt" w14:dir="t">
                    <w14:rot w14:lat="0" w14:lon="0" w14:rev="0"/>
                  </w14:lightRig>
                </w14:scene3d>
              </w:rPr>
              <w:t>12.1</w:t>
            </w:r>
            <w:r w:rsidR="00B6080E">
              <w:rPr>
                <w:rFonts w:asciiTheme="minorHAnsi" w:eastAsiaTheme="minorEastAsia" w:hAnsiTheme="minorHAnsi" w:cstheme="minorBidi"/>
                <w:smallCaps w:val="0"/>
                <w:noProof/>
                <w:sz w:val="22"/>
                <w:szCs w:val="22"/>
                <w:lang w:val="en-US"/>
              </w:rPr>
              <w:tab/>
            </w:r>
            <w:r w:rsidR="00B6080E" w:rsidRPr="005555ED">
              <w:rPr>
                <w:rStyle w:val="Hyperlink"/>
                <w:rFonts w:eastAsia="Calibri"/>
                <w:noProof/>
              </w:rPr>
              <w:t>Metodologija</w:t>
            </w:r>
            <w:r w:rsidR="00B6080E">
              <w:rPr>
                <w:noProof/>
                <w:webHidden/>
              </w:rPr>
              <w:tab/>
            </w:r>
            <w:r w:rsidR="00B6080E">
              <w:rPr>
                <w:noProof/>
                <w:webHidden/>
              </w:rPr>
              <w:fldChar w:fldCharType="begin"/>
            </w:r>
            <w:r w:rsidR="00B6080E">
              <w:rPr>
                <w:noProof/>
                <w:webHidden/>
              </w:rPr>
              <w:instrText xml:space="preserve"> PAGEREF _Toc468345422 \h </w:instrText>
            </w:r>
            <w:r w:rsidR="00B6080E">
              <w:rPr>
                <w:noProof/>
                <w:webHidden/>
              </w:rPr>
            </w:r>
            <w:r w:rsidR="00B6080E">
              <w:rPr>
                <w:noProof/>
                <w:webHidden/>
              </w:rPr>
              <w:fldChar w:fldCharType="separate"/>
            </w:r>
            <w:r w:rsidR="00B6080E">
              <w:rPr>
                <w:noProof/>
                <w:webHidden/>
              </w:rPr>
              <w:t>112</w:t>
            </w:r>
            <w:r w:rsidR="00B6080E">
              <w:rPr>
                <w:noProof/>
                <w:webHidden/>
              </w:rPr>
              <w:fldChar w:fldCharType="end"/>
            </w:r>
          </w:hyperlink>
        </w:p>
        <w:p w14:paraId="719991CD" w14:textId="1E918B74" w:rsidR="00B6080E" w:rsidRDefault="00323A51">
          <w:pPr>
            <w:pStyle w:val="TOC2"/>
            <w:rPr>
              <w:rFonts w:asciiTheme="minorHAnsi" w:eastAsiaTheme="minorEastAsia" w:hAnsiTheme="minorHAnsi" w:cstheme="minorBidi"/>
              <w:smallCaps w:val="0"/>
              <w:noProof/>
              <w:sz w:val="22"/>
              <w:szCs w:val="22"/>
              <w:lang w:val="en-US"/>
            </w:rPr>
          </w:pPr>
          <w:hyperlink w:anchor="_Toc468345423" w:history="1">
            <w:r w:rsidR="00B6080E" w:rsidRPr="005555ED">
              <w:rPr>
                <w:rStyle w:val="Hyperlink"/>
                <w:rFonts w:eastAsia="Calibri"/>
                <w:noProof/>
                <w14:scene3d>
                  <w14:camera w14:prst="orthographicFront"/>
                  <w14:lightRig w14:rig="threePt" w14:dir="t">
                    <w14:rot w14:lat="0" w14:lon="0" w14:rev="0"/>
                  </w14:lightRig>
                </w14:scene3d>
              </w:rPr>
              <w:t>12.2</w:t>
            </w:r>
            <w:r w:rsidR="00B6080E">
              <w:rPr>
                <w:rFonts w:asciiTheme="minorHAnsi" w:eastAsiaTheme="minorEastAsia" w:hAnsiTheme="minorHAnsi" w:cstheme="minorBidi"/>
                <w:smallCaps w:val="0"/>
                <w:noProof/>
                <w:sz w:val="22"/>
                <w:szCs w:val="22"/>
                <w:lang w:val="en-US"/>
              </w:rPr>
              <w:tab/>
            </w:r>
            <w:r w:rsidR="00B6080E" w:rsidRPr="005555ED">
              <w:rPr>
                <w:rStyle w:val="Hyperlink"/>
                <w:rFonts w:eastAsia="Calibri"/>
                <w:noProof/>
              </w:rPr>
              <w:t>Relevantna regulativa i dokumenti Europske unije</w:t>
            </w:r>
            <w:r w:rsidR="00B6080E">
              <w:rPr>
                <w:noProof/>
                <w:webHidden/>
              </w:rPr>
              <w:tab/>
            </w:r>
            <w:r w:rsidR="00B6080E">
              <w:rPr>
                <w:noProof/>
                <w:webHidden/>
              </w:rPr>
              <w:fldChar w:fldCharType="begin"/>
            </w:r>
            <w:r w:rsidR="00B6080E">
              <w:rPr>
                <w:noProof/>
                <w:webHidden/>
              </w:rPr>
              <w:instrText xml:space="preserve"> PAGEREF _Toc468345423 \h </w:instrText>
            </w:r>
            <w:r w:rsidR="00B6080E">
              <w:rPr>
                <w:noProof/>
                <w:webHidden/>
              </w:rPr>
            </w:r>
            <w:r w:rsidR="00B6080E">
              <w:rPr>
                <w:noProof/>
                <w:webHidden/>
              </w:rPr>
              <w:fldChar w:fldCharType="separate"/>
            </w:r>
            <w:r w:rsidR="00B6080E">
              <w:rPr>
                <w:noProof/>
                <w:webHidden/>
              </w:rPr>
              <w:t>112</w:t>
            </w:r>
            <w:r w:rsidR="00B6080E">
              <w:rPr>
                <w:noProof/>
                <w:webHidden/>
              </w:rPr>
              <w:fldChar w:fldCharType="end"/>
            </w:r>
          </w:hyperlink>
        </w:p>
        <w:p w14:paraId="2B7B6647" w14:textId="7E61FA6B" w:rsidR="00B6080E" w:rsidRDefault="00323A51">
          <w:pPr>
            <w:pStyle w:val="TOC2"/>
            <w:rPr>
              <w:rFonts w:asciiTheme="minorHAnsi" w:eastAsiaTheme="minorEastAsia" w:hAnsiTheme="minorHAnsi" w:cstheme="minorBidi"/>
              <w:smallCaps w:val="0"/>
              <w:noProof/>
              <w:sz w:val="22"/>
              <w:szCs w:val="22"/>
              <w:lang w:val="en-US"/>
            </w:rPr>
          </w:pPr>
          <w:hyperlink w:anchor="_Toc468345424" w:history="1">
            <w:r w:rsidR="00B6080E" w:rsidRPr="005555ED">
              <w:rPr>
                <w:rStyle w:val="Hyperlink"/>
                <w:rFonts w:eastAsia="Calibri"/>
                <w:noProof/>
                <w14:scene3d>
                  <w14:camera w14:prst="orthographicFront"/>
                  <w14:lightRig w14:rig="threePt" w14:dir="t">
                    <w14:rot w14:lat="0" w14:lon="0" w14:rev="0"/>
                  </w14:lightRig>
                </w14:scene3d>
              </w:rPr>
              <w:t>12.3</w:t>
            </w:r>
            <w:r w:rsidR="00B6080E">
              <w:rPr>
                <w:rFonts w:asciiTheme="minorHAnsi" w:eastAsiaTheme="minorEastAsia" w:hAnsiTheme="minorHAnsi" w:cstheme="minorBidi"/>
                <w:smallCaps w:val="0"/>
                <w:noProof/>
                <w:sz w:val="22"/>
                <w:szCs w:val="22"/>
                <w:lang w:val="en-US"/>
              </w:rPr>
              <w:tab/>
            </w:r>
            <w:r w:rsidR="00B6080E" w:rsidRPr="005555ED">
              <w:rPr>
                <w:rStyle w:val="Hyperlink"/>
                <w:rFonts w:eastAsia="Calibri"/>
                <w:noProof/>
              </w:rPr>
              <w:t>Zakonodavni okvir i regulativa Republike Hrvatske</w:t>
            </w:r>
            <w:r w:rsidR="00B6080E">
              <w:rPr>
                <w:noProof/>
                <w:webHidden/>
              </w:rPr>
              <w:tab/>
            </w:r>
            <w:r w:rsidR="00B6080E">
              <w:rPr>
                <w:noProof/>
                <w:webHidden/>
              </w:rPr>
              <w:fldChar w:fldCharType="begin"/>
            </w:r>
            <w:r w:rsidR="00B6080E">
              <w:rPr>
                <w:noProof/>
                <w:webHidden/>
              </w:rPr>
              <w:instrText xml:space="preserve"> PAGEREF _Toc468345424 \h </w:instrText>
            </w:r>
            <w:r w:rsidR="00B6080E">
              <w:rPr>
                <w:noProof/>
                <w:webHidden/>
              </w:rPr>
            </w:r>
            <w:r w:rsidR="00B6080E">
              <w:rPr>
                <w:noProof/>
                <w:webHidden/>
              </w:rPr>
              <w:fldChar w:fldCharType="separate"/>
            </w:r>
            <w:r w:rsidR="00B6080E">
              <w:rPr>
                <w:noProof/>
                <w:webHidden/>
              </w:rPr>
              <w:t>114</w:t>
            </w:r>
            <w:r w:rsidR="00B6080E">
              <w:rPr>
                <w:noProof/>
                <w:webHidden/>
              </w:rPr>
              <w:fldChar w:fldCharType="end"/>
            </w:r>
          </w:hyperlink>
        </w:p>
        <w:p w14:paraId="380F6E90" w14:textId="3471E088" w:rsidR="00B6080E" w:rsidRDefault="00323A51">
          <w:pPr>
            <w:pStyle w:val="TOC3"/>
            <w:rPr>
              <w:rFonts w:asciiTheme="minorHAnsi" w:eastAsiaTheme="minorEastAsia" w:hAnsiTheme="minorHAnsi" w:cstheme="minorBidi"/>
              <w:bCs w:val="0"/>
              <w:i w:val="0"/>
              <w:iCs w:val="0"/>
              <w:sz w:val="22"/>
              <w:szCs w:val="22"/>
              <w:lang w:val="en-US"/>
            </w:rPr>
          </w:pPr>
          <w:hyperlink w:anchor="_Toc468345425" w:history="1">
            <w:r w:rsidR="00B6080E" w:rsidRPr="005555ED">
              <w:rPr>
                <w:rStyle w:val="Hyperlink"/>
                <w:rFonts w:eastAsia="Calibri"/>
                <w14:scene3d>
                  <w14:camera w14:prst="orthographicFront"/>
                  <w14:lightRig w14:rig="threePt" w14:dir="t">
                    <w14:rot w14:lat="0" w14:lon="0" w14:rev="0"/>
                  </w14:lightRig>
                </w14:scene3d>
              </w:rPr>
              <w:t>12.3.1</w:t>
            </w:r>
            <w:r w:rsidR="00B6080E">
              <w:rPr>
                <w:rFonts w:asciiTheme="minorHAnsi" w:eastAsiaTheme="minorEastAsia" w:hAnsiTheme="minorHAnsi" w:cstheme="minorBidi"/>
                <w:bCs w:val="0"/>
                <w:i w:val="0"/>
                <w:iCs w:val="0"/>
                <w:sz w:val="22"/>
                <w:szCs w:val="22"/>
                <w:lang w:val="en-US"/>
              </w:rPr>
              <w:tab/>
            </w:r>
            <w:r w:rsidR="00B6080E" w:rsidRPr="005555ED">
              <w:rPr>
                <w:rStyle w:val="Hyperlink"/>
                <w:rFonts w:eastAsia="Calibri"/>
              </w:rPr>
              <w:t>Strategija energetskog razvitka Republike Hrvatske</w:t>
            </w:r>
            <w:r w:rsidR="00B6080E">
              <w:rPr>
                <w:webHidden/>
              </w:rPr>
              <w:tab/>
            </w:r>
            <w:r w:rsidR="00B6080E">
              <w:rPr>
                <w:webHidden/>
              </w:rPr>
              <w:fldChar w:fldCharType="begin"/>
            </w:r>
            <w:r w:rsidR="00B6080E">
              <w:rPr>
                <w:webHidden/>
              </w:rPr>
              <w:instrText xml:space="preserve"> PAGEREF _Toc468345425 \h </w:instrText>
            </w:r>
            <w:r w:rsidR="00B6080E">
              <w:rPr>
                <w:webHidden/>
              </w:rPr>
            </w:r>
            <w:r w:rsidR="00B6080E">
              <w:rPr>
                <w:webHidden/>
              </w:rPr>
              <w:fldChar w:fldCharType="separate"/>
            </w:r>
            <w:r w:rsidR="00B6080E">
              <w:rPr>
                <w:webHidden/>
              </w:rPr>
              <w:t>114</w:t>
            </w:r>
            <w:r w:rsidR="00B6080E">
              <w:rPr>
                <w:webHidden/>
              </w:rPr>
              <w:fldChar w:fldCharType="end"/>
            </w:r>
          </w:hyperlink>
        </w:p>
        <w:p w14:paraId="431149B4" w14:textId="7404552F" w:rsidR="00B6080E" w:rsidRDefault="00323A51">
          <w:pPr>
            <w:pStyle w:val="TOC3"/>
            <w:rPr>
              <w:rFonts w:asciiTheme="minorHAnsi" w:eastAsiaTheme="minorEastAsia" w:hAnsiTheme="minorHAnsi" w:cstheme="minorBidi"/>
              <w:bCs w:val="0"/>
              <w:i w:val="0"/>
              <w:iCs w:val="0"/>
              <w:sz w:val="22"/>
              <w:szCs w:val="22"/>
              <w:lang w:val="en-US"/>
            </w:rPr>
          </w:pPr>
          <w:hyperlink w:anchor="_Toc468345426" w:history="1">
            <w:r w:rsidR="00B6080E" w:rsidRPr="005555ED">
              <w:rPr>
                <w:rStyle w:val="Hyperlink"/>
                <w:rFonts w:eastAsia="Calibri"/>
                <w14:scene3d>
                  <w14:camera w14:prst="orthographicFront"/>
                  <w14:lightRig w14:rig="threePt" w14:dir="t">
                    <w14:rot w14:lat="0" w14:lon="0" w14:rev="0"/>
                  </w14:lightRig>
                </w14:scene3d>
              </w:rPr>
              <w:t>12.3.2</w:t>
            </w:r>
            <w:r w:rsidR="00B6080E">
              <w:rPr>
                <w:rFonts w:asciiTheme="minorHAnsi" w:eastAsiaTheme="minorEastAsia" w:hAnsiTheme="minorHAnsi" w:cstheme="minorBidi"/>
                <w:bCs w:val="0"/>
                <w:i w:val="0"/>
                <w:iCs w:val="0"/>
                <w:sz w:val="22"/>
                <w:szCs w:val="22"/>
                <w:lang w:val="en-US"/>
              </w:rPr>
              <w:tab/>
            </w:r>
            <w:r w:rsidR="00B6080E" w:rsidRPr="005555ED">
              <w:rPr>
                <w:rStyle w:val="Hyperlink"/>
                <w:rFonts w:eastAsia="Calibri"/>
              </w:rPr>
              <w:t>Energetski zakoni i podzakonska regulativa</w:t>
            </w:r>
            <w:r w:rsidR="00B6080E">
              <w:rPr>
                <w:webHidden/>
              </w:rPr>
              <w:tab/>
            </w:r>
            <w:r w:rsidR="00B6080E">
              <w:rPr>
                <w:webHidden/>
              </w:rPr>
              <w:fldChar w:fldCharType="begin"/>
            </w:r>
            <w:r w:rsidR="00B6080E">
              <w:rPr>
                <w:webHidden/>
              </w:rPr>
              <w:instrText xml:space="preserve"> PAGEREF _Toc468345426 \h </w:instrText>
            </w:r>
            <w:r w:rsidR="00B6080E">
              <w:rPr>
                <w:webHidden/>
              </w:rPr>
            </w:r>
            <w:r w:rsidR="00B6080E">
              <w:rPr>
                <w:webHidden/>
              </w:rPr>
              <w:fldChar w:fldCharType="separate"/>
            </w:r>
            <w:r w:rsidR="00B6080E">
              <w:rPr>
                <w:webHidden/>
              </w:rPr>
              <w:t>115</w:t>
            </w:r>
            <w:r w:rsidR="00B6080E">
              <w:rPr>
                <w:webHidden/>
              </w:rPr>
              <w:fldChar w:fldCharType="end"/>
            </w:r>
          </w:hyperlink>
        </w:p>
        <w:p w14:paraId="09454B7F" w14:textId="27A01E57" w:rsidR="00B6080E" w:rsidRDefault="00323A51">
          <w:pPr>
            <w:pStyle w:val="TOC2"/>
            <w:rPr>
              <w:rFonts w:asciiTheme="minorHAnsi" w:eastAsiaTheme="minorEastAsia" w:hAnsiTheme="minorHAnsi" w:cstheme="minorBidi"/>
              <w:smallCaps w:val="0"/>
              <w:noProof/>
              <w:sz w:val="22"/>
              <w:szCs w:val="22"/>
              <w:lang w:val="en-US"/>
            </w:rPr>
          </w:pPr>
          <w:hyperlink w:anchor="_Toc468345427" w:history="1">
            <w:r w:rsidR="00B6080E" w:rsidRPr="005555ED">
              <w:rPr>
                <w:rStyle w:val="Hyperlink"/>
                <w:rFonts w:eastAsia="Calibri"/>
                <w:noProof/>
                <w14:scene3d>
                  <w14:camera w14:prst="orthographicFront"/>
                  <w14:lightRig w14:rig="threePt" w14:dir="t">
                    <w14:rot w14:lat="0" w14:lon="0" w14:rev="0"/>
                  </w14:lightRig>
                </w14:scene3d>
              </w:rPr>
              <w:t>12.4</w:t>
            </w:r>
            <w:r w:rsidR="00B6080E">
              <w:rPr>
                <w:rFonts w:asciiTheme="minorHAnsi" w:eastAsiaTheme="minorEastAsia" w:hAnsiTheme="minorHAnsi" w:cstheme="minorBidi"/>
                <w:smallCaps w:val="0"/>
                <w:noProof/>
                <w:sz w:val="22"/>
                <w:szCs w:val="22"/>
                <w:lang w:val="en-US"/>
              </w:rPr>
              <w:tab/>
            </w:r>
            <w:r w:rsidR="00B6080E" w:rsidRPr="005555ED">
              <w:rPr>
                <w:rStyle w:val="Hyperlink"/>
                <w:rFonts w:eastAsia="Calibri"/>
                <w:noProof/>
              </w:rPr>
              <w:t>Strateški dokumenti Grada Zagreba</w:t>
            </w:r>
            <w:r w:rsidR="00B6080E">
              <w:rPr>
                <w:noProof/>
                <w:webHidden/>
              </w:rPr>
              <w:tab/>
            </w:r>
            <w:r w:rsidR="00B6080E">
              <w:rPr>
                <w:noProof/>
                <w:webHidden/>
              </w:rPr>
              <w:fldChar w:fldCharType="begin"/>
            </w:r>
            <w:r w:rsidR="00B6080E">
              <w:rPr>
                <w:noProof/>
                <w:webHidden/>
              </w:rPr>
              <w:instrText xml:space="preserve"> PAGEREF _Toc468345427 \h </w:instrText>
            </w:r>
            <w:r w:rsidR="00B6080E">
              <w:rPr>
                <w:noProof/>
                <w:webHidden/>
              </w:rPr>
            </w:r>
            <w:r w:rsidR="00B6080E">
              <w:rPr>
                <w:noProof/>
                <w:webHidden/>
              </w:rPr>
              <w:fldChar w:fldCharType="separate"/>
            </w:r>
            <w:r w:rsidR="00B6080E">
              <w:rPr>
                <w:noProof/>
                <w:webHidden/>
              </w:rPr>
              <w:t>118</w:t>
            </w:r>
            <w:r w:rsidR="00B6080E">
              <w:rPr>
                <w:noProof/>
                <w:webHidden/>
              </w:rPr>
              <w:fldChar w:fldCharType="end"/>
            </w:r>
          </w:hyperlink>
        </w:p>
        <w:p w14:paraId="426DF717" w14:textId="244AEADA" w:rsidR="00B6080E" w:rsidRDefault="00323A51">
          <w:pPr>
            <w:pStyle w:val="TOC1"/>
            <w:rPr>
              <w:rFonts w:asciiTheme="minorHAnsi" w:eastAsiaTheme="minorEastAsia" w:hAnsiTheme="minorHAnsi" w:cstheme="minorBidi"/>
              <w:b w:val="0"/>
              <w:bCs w:val="0"/>
              <w:caps w:val="0"/>
              <w:szCs w:val="22"/>
              <w:lang w:val="en-US"/>
            </w:rPr>
          </w:pPr>
          <w:hyperlink w:anchor="_Toc468345428" w:history="1">
            <w:r w:rsidR="00B6080E" w:rsidRPr="005555ED">
              <w:rPr>
                <w:rStyle w:val="Hyperlink"/>
              </w:rPr>
              <w:t>13</w:t>
            </w:r>
            <w:r w:rsidR="00B6080E">
              <w:rPr>
                <w:rFonts w:asciiTheme="minorHAnsi" w:eastAsiaTheme="minorEastAsia" w:hAnsiTheme="minorHAnsi" w:cstheme="minorBidi"/>
                <w:b w:val="0"/>
                <w:bCs w:val="0"/>
                <w:caps w:val="0"/>
                <w:szCs w:val="22"/>
                <w:lang w:val="en-US"/>
              </w:rPr>
              <w:tab/>
            </w:r>
            <w:r w:rsidR="00B6080E" w:rsidRPr="005555ED">
              <w:rPr>
                <w:rStyle w:val="Hyperlink"/>
              </w:rPr>
              <w:t>ZAKLJUČAK I PREPORUKE</w:t>
            </w:r>
            <w:r w:rsidR="00B6080E">
              <w:rPr>
                <w:webHidden/>
              </w:rPr>
              <w:tab/>
            </w:r>
            <w:r w:rsidR="00B6080E">
              <w:rPr>
                <w:webHidden/>
              </w:rPr>
              <w:fldChar w:fldCharType="begin"/>
            </w:r>
            <w:r w:rsidR="00B6080E">
              <w:rPr>
                <w:webHidden/>
              </w:rPr>
              <w:instrText xml:space="preserve"> PAGEREF _Toc468345428 \h </w:instrText>
            </w:r>
            <w:r w:rsidR="00B6080E">
              <w:rPr>
                <w:webHidden/>
              </w:rPr>
            </w:r>
            <w:r w:rsidR="00B6080E">
              <w:rPr>
                <w:webHidden/>
              </w:rPr>
              <w:fldChar w:fldCharType="separate"/>
            </w:r>
            <w:r w:rsidR="00B6080E">
              <w:rPr>
                <w:webHidden/>
              </w:rPr>
              <w:t>119</w:t>
            </w:r>
            <w:r w:rsidR="00B6080E">
              <w:rPr>
                <w:webHidden/>
              </w:rPr>
              <w:fldChar w:fldCharType="end"/>
            </w:r>
          </w:hyperlink>
        </w:p>
        <w:p w14:paraId="0FAD10CA" w14:textId="0279328C" w:rsidR="00B6080E" w:rsidRDefault="00323A51">
          <w:pPr>
            <w:pStyle w:val="TOC1"/>
            <w:rPr>
              <w:rFonts w:asciiTheme="minorHAnsi" w:eastAsiaTheme="minorEastAsia" w:hAnsiTheme="minorHAnsi" w:cstheme="minorBidi"/>
              <w:b w:val="0"/>
              <w:bCs w:val="0"/>
              <w:caps w:val="0"/>
              <w:szCs w:val="22"/>
              <w:lang w:val="en-US"/>
            </w:rPr>
          </w:pPr>
          <w:hyperlink w:anchor="_Toc468345429" w:history="1">
            <w:r w:rsidR="00B6080E" w:rsidRPr="005555ED">
              <w:rPr>
                <w:rStyle w:val="Hyperlink"/>
              </w:rPr>
              <w:t>14</w:t>
            </w:r>
            <w:r w:rsidR="00B6080E">
              <w:rPr>
                <w:rFonts w:asciiTheme="minorHAnsi" w:eastAsiaTheme="minorEastAsia" w:hAnsiTheme="minorHAnsi" w:cstheme="minorBidi"/>
                <w:b w:val="0"/>
                <w:bCs w:val="0"/>
                <w:caps w:val="0"/>
                <w:szCs w:val="22"/>
                <w:lang w:val="en-US"/>
              </w:rPr>
              <w:tab/>
            </w:r>
            <w:r w:rsidR="00B6080E" w:rsidRPr="005555ED">
              <w:rPr>
                <w:rStyle w:val="Hyperlink"/>
              </w:rPr>
              <w:t>PRILOZI</w:t>
            </w:r>
            <w:r w:rsidR="00B6080E">
              <w:rPr>
                <w:webHidden/>
              </w:rPr>
              <w:tab/>
            </w:r>
            <w:r w:rsidR="00B6080E">
              <w:rPr>
                <w:webHidden/>
              </w:rPr>
              <w:fldChar w:fldCharType="begin"/>
            </w:r>
            <w:r w:rsidR="00B6080E">
              <w:rPr>
                <w:webHidden/>
              </w:rPr>
              <w:instrText xml:space="preserve"> PAGEREF _Toc468345429 \h </w:instrText>
            </w:r>
            <w:r w:rsidR="00B6080E">
              <w:rPr>
                <w:webHidden/>
              </w:rPr>
            </w:r>
            <w:r w:rsidR="00B6080E">
              <w:rPr>
                <w:webHidden/>
              </w:rPr>
              <w:fldChar w:fldCharType="separate"/>
            </w:r>
            <w:r w:rsidR="00B6080E">
              <w:rPr>
                <w:webHidden/>
              </w:rPr>
              <w:t>121</w:t>
            </w:r>
            <w:r w:rsidR="00B6080E">
              <w:rPr>
                <w:webHidden/>
              </w:rPr>
              <w:fldChar w:fldCharType="end"/>
            </w:r>
          </w:hyperlink>
        </w:p>
        <w:p w14:paraId="7D69CA47" w14:textId="619552E2" w:rsidR="00B6080E" w:rsidRDefault="00323A51">
          <w:pPr>
            <w:pStyle w:val="TOC1"/>
            <w:rPr>
              <w:rFonts w:asciiTheme="minorHAnsi" w:eastAsiaTheme="minorEastAsia" w:hAnsiTheme="minorHAnsi" w:cstheme="minorBidi"/>
              <w:b w:val="0"/>
              <w:bCs w:val="0"/>
              <w:caps w:val="0"/>
              <w:szCs w:val="22"/>
              <w:lang w:val="en-US"/>
            </w:rPr>
          </w:pPr>
          <w:hyperlink w:anchor="_Toc468345430" w:history="1">
            <w:r w:rsidR="00B6080E" w:rsidRPr="005555ED">
              <w:rPr>
                <w:rStyle w:val="Hyperlink"/>
              </w:rPr>
              <w:t>15</w:t>
            </w:r>
            <w:r w:rsidR="00B6080E">
              <w:rPr>
                <w:rFonts w:asciiTheme="minorHAnsi" w:eastAsiaTheme="minorEastAsia" w:hAnsiTheme="minorHAnsi" w:cstheme="minorBidi"/>
                <w:b w:val="0"/>
                <w:bCs w:val="0"/>
                <w:caps w:val="0"/>
                <w:szCs w:val="22"/>
                <w:lang w:val="en-US"/>
              </w:rPr>
              <w:tab/>
            </w:r>
            <w:r w:rsidR="00B6080E" w:rsidRPr="005555ED">
              <w:rPr>
                <w:rStyle w:val="Hyperlink"/>
              </w:rPr>
              <w:t>IZVORI PODATAKA</w:t>
            </w:r>
            <w:r w:rsidR="00B6080E">
              <w:rPr>
                <w:webHidden/>
              </w:rPr>
              <w:tab/>
            </w:r>
            <w:r w:rsidR="00B6080E">
              <w:rPr>
                <w:webHidden/>
              </w:rPr>
              <w:fldChar w:fldCharType="begin"/>
            </w:r>
            <w:r w:rsidR="00B6080E">
              <w:rPr>
                <w:webHidden/>
              </w:rPr>
              <w:instrText xml:space="preserve"> PAGEREF _Toc468345430 \h </w:instrText>
            </w:r>
            <w:r w:rsidR="00B6080E">
              <w:rPr>
                <w:webHidden/>
              </w:rPr>
            </w:r>
            <w:r w:rsidR="00B6080E">
              <w:rPr>
                <w:webHidden/>
              </w:rPr>
              <w:fldChar w:fldCharType="separate"/>
            </w:r>
            <w:r w:rsidR="00B6080E">
              <w:rPr>
                <w:webHidden/>
              </w:rPr>
              <w:t>123</w:t>
            </w:r>
            <w:r w:rsidR="00B6080E">
              <w:rPr>
                <w:webHidden/>
              </w:rPr>
              <w:fldChar w:fldCharType="end"/>
            </w:r>
          </w:hyperlink>
        </w:p>
        <w:p w14:paraId="5BBBE5C6" w14:textId="1A6C1D17" w:rsidR="001E386F" w:rsidRPr="007C7920" w:rsidRDefault="00963146" w:rsidP="00E92750">
          <w:pPr>
            <w:spacing w:after="0" w:line="240" w:lineRule="auto"/>
            <w:jc w:val="both"/>
            <w:rPr>
              <w:sz w:val="20"/>
              <w:szCs w:val="20"/>
              <w:highlight w:val="yellow"/>
            </w:rPr>
          </w:pPr>
          <w:r>
            <w:rPr>
              <w:rFonts w:eastAsia="Times New Roman" w:cs="Arial"/>
              <w:b/>
              <w:bCs/>
              <w:caps/>
              <w:noProof/>
              <w:sz w:val="20"/>
              <w:szCs w:val="20"/>
              <w:highlight w:val="yellow"/>
            </w:rPr>
            <w:fldChar w:fldCharType="end"/>
          </w:r>
        </w:p>
      </w:sdtContent>
    </w:sdt>
    <w:p w14:paraId="5D866B0C" w14:textId="77777777" w:rsidR="00BE502E" w:rsidRDefault="00BE502E">
      <w:pPr>
        <w:rPr>
          <w:b/>
          <w:sz w:val="28"/>
          <w:szCs w:val="28"/>
        </w:rPr>
      </w:pPr>
      <w:r>
        <w:rPr>
          <w:b/>
          <w:sz w:val="28"/>
          <w:szCs w:val="28"/>
        </w:rPr>
        <w:br w:type="page"/>
      </w:r>
    </w:p>
    <w:p w14:paraId="37F92B23" w14:textId="77777777" w:rsidR="008C22AA" w:rsidRDefault="007C7920" w:rsidP="00E92750">
      <w:pPr>
        <w:spacing w:line="240" w:lineRule="auto"/>
        <w:jc w:val="both"/>
        <w:rPr>
          <w:noProof/>
        </w:rPr>
      </w:pPr>
      <w:r w:rsidRPr="00D84DFD">
        <w:rPr>
          <w:b/>
          <w:sz w:val="28"/>
          <w:szCs w:val="28"/>
        </w:rPr>
        <w:lastRenderedPageBreak/>
        <w:t>POPIS SLIKA</w:t>
      </w:r>
      <w:r w:rsidR="00DF40AB" w:rsidRPr="00D84DFD">
        <w:rPr>
          <w:b/>
          <w:sz w:val="28"/>
          <w:szCs w:val="28"/>
        </w:rPr>
        <w:fldChar w:fldCharType="begin"/>
      </w:r>
      <w:r w:rsidR="00DF40AB" w:rsidRPr="00D84DFD">
        <w:rPr>
          <w:b/>
          <w:sz w:val="28"/>
          <w:szCs w:val="28"/>
        </w:rPr>
        <w:instrText xml:space="preserve"> TOC \h \z \c "Slika" </w:instrText>
      </w:r>
      <w:r w:rsidR="00DF40AB" w:rsidRPr="00D84DFD">
        <w:rPr>
          <w:b/>
          <w:sz w:val="28"/>
          <w:szCs w:val="28"/>
        </w:rPr>
        <w:fldChar w:fldCharType="separate"/>
      </w:r>
    </w:p>
    <w:p w14:paraId="6CF8B42E"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05" w:history="1">
        <w:r w:rsidR="008C22AA" w:rsidRPr="00E316D7">
          <w:rPr>
            <w:rStyle w:val="Hyperlink"/>
            <w:b/>
            <w:noProof/>
          </w:rPr>
          <w:t xml:space="preserve">Slika 4.1 </w:t>
        </w:r>
        <w:r w:rsidR="008C22AA" w:rsidRPr="00E316D7">
          <w:rPr>
            <w:rStyle w:val="Hyperlink"/>
            <w:noProof/>
          </w:rPr>
          <w:t>Specifična potrošnja električne energije za ne-toplinske namjene kategorije obrazovne ustanove u vlasništvu Grada Zagreba u 2015. godini</w:t>
        </w:r>
        <w:r w:rsidR="008C22AA">
          <w:rPr>
            <w:noProof/>
            <w:webHidden/>
          </w:rPr>
          <w:tab/>
        </w:r>
        <w:r w:rsidR="008C22AA">
          <w:rPr>
            <w:noProof/>
            <w:webHidden/>
          </w:rPr>
          <w:fldChar w:fldCharType="begin"/>
        </w:r>
        <w:r w:rsidR="008C22AA">
          <w:rPr>
            <w:noProof/>
            <w:webHidden/>
          </w:rPr>
          <w:instrText xml:space="preserve"> PAGEREF _Toc468277405 \h </w:instrText>
        </w:r>
        <w:r w:rsidR="008C22AA">
          <w:rPr>
            <w:noProof/>
            <w:webHidden/>
          </w:rPr>
        </w:r>
        <w:r w:rsidR="008C22AA">
          <w:rPr>
            <w:noProof/>
            <w:webHidden/>
          </w:rPr>
          <w:fldChar w:fldCharType="separate"/>
        </w:r>
        <w:r w:rsidR="008C22AA">
          <w:rPr>
            <w:noProof/>
            <w:webHidden/>
          </w:rPr>
          <w:t>11</w:t>
        </w:r>
        <w:r w:rsidR="008C22AA">
          <w:rPr>
            <w:noProof/>
            <w:webHidden/>
          </w:rPr>
          <w:fldChar w:fldCharType="end"/>
        </w:r>
      </w:hyperlink>
    </w:p>
    <w:p w14:paraId="1C253A14"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06" w:history="1">
        <w:r w:rsidR="008C22AA" w:rsidRPr="00E316D7">
          <w:rPr>
            <w:rStyle w:val="Hyperlink"/>
            <w:b/>
            <w:noProof/>
          </w:rPr>
          <w:t>Slika 4.2</w:t>
        </w:r>
        <w:r w:rsidR="008C22AA" w:rsidRPr="00E316D7">
          <w:rPr>
            <w:rStyle w:val="Hyperlink"/>
            <w:rFonts w:eastAsia="Calibri"/>
            <w:b/>
            <w:noProof/>
          </w:rPr>
          <w:t xml:space="preserve"> </w:t>
        </w:r>
        <w:r w:rsidR="008C22AA" w:rsidRPr="00E316D7">
          <w:rPr>
            <w:rStyle w:val="Hyperlink"/>
            <w:rFonts w:eastAsia="Calibri"/>
            <w:noProof/>
          </w:rPr>
          <w:t>Struktura potrošnje toplinske energije obrazovnih ustanova u vlasništvu Grada Zagreba u 2015. godini</w:t>
        </w:r>
        <w:r w:rsidR="008C22AA">
          <w:rPr>
            <w:noProof/>
            <w:webHidden/>
          </w:rPr>
          <w:tab/>
        </w:r>
        <w:r w:rsidR="008C22AA">
          <w:rPr>
            <w:noProof/>
            <w:webHidden/>
          </w:rPr>
          <w:fldChar w:fldCharType="begin"/>
        </w:r>
        <w:r w:rsidR="008C22AA">
          <w:rPr>
            <w:noProof/>
            <w:webHidden/>
          </w:rPr>
          <w:instrText xml:space="preserve"> PAGEREF _Toc468277406 \h </w:instrText>
        </w:r>
        <w:r w:rsidR="008C22AA">
          <w:rPr>
            <w:noProof/>
            <w:webHidden/>
          </w:rPr>
        </w:r>
        <w:r w:rsidR="008C22AA">
          <w:rPr>
            <w:noProof/>
            <w:webHidden/>
          </w:rPr>
          <w:fldChar w:fldCharType="separate"/>
        </w:r>
        <w:r w:rsidR="008C22AA">
          <w:rPr>
            <w:noProof/>
            <w:webHidden/>
          </w:rPr>
          <w:t>12</w:t>
        </w:r>
        <w:r w:rsidR="008C22AA">
          <w:rPr>
            <w:noProof/>
            <w:webHidden/>
          </w:rPr>
          <w:fldChar w:fldCharType="end"/>
        </w:r>
      </w:hyperlink>
    </w:p>
    <w:p w14:paraId="5B31E45C"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07" w:history="1">
        <w:r w:rsidR="008C22AA" w:rsidRPr="00E316D7">
          <w:rPr>
            <w:rStyle w:val="Hyperlink"/>
            <w:b/>
            <w:noProof/>
          </w:rPr>
          <w:t xml:space="preserve">Slika 4.3 </w:t>
        </w:r>
        <w:r w:rsidR="008C22AA" w:rsidRPr="00E316D7">
          <w:rPr>
            <w:rStyle w:val="Hyperlink"/>
            <w:noProof/>
          </w:rPr>
          <w:t>Specifična korisna energija za grijanje obrazovnih ustanova u vlasništvu Grada Zagreba u 2015. godini</w:t>
        </w:r>
        <w:r w:rsidR="008C22AA">
          <w:rPr>
            <w:noProof/>
            <w:webHidden/>
          </w:rPr>
          <w:tab/>
        </w:r>
        <w:r w:rsidR="008C22AA">
          <w:rPr>
            <w:noProof/>
            <w:webHidden/>
          </w:rPr>
          <w:fldChar w:fldCharType="begin"/>
        </w:r>
        <w:r w:rsidR="008C22AA">
          <w:rPr>
            <w:noProof/>
            <w:webHidden/>
          </w:rPr>
          <w:instrText xml:space="preserve"> PAGEREF _Toc468277407 \h </w:instrText>
        </w:r>
        <w:r w:rsidR="008C22AA">
          <w:rPr>
            <w:noProof/>
            <w:webHidden/>
          </w:rPr>
        </w:r>
        <w:r w:rsidR="008C22AA">
          <w:rPr>
            <w:noProof/>
            <w:webHidden/>
          </w:rPr>
          <w:fldChar w:fldCharType="separate"/>
        </w:r>
        <w:r w:rsidR="008C22AA">
          <w:rPr>
            <w:noProof/>
            <w:webHidden/>
          </w:rPr>
          <w:t>13</w:t>
        </w:r>
        <w:r w:rsidR="008C22AA">
          <w:rPr>
            <w:noProof/>
            <w:webHidden/>
          </w:rPr>
          <w:fldChar w:fldCharType="end"/>
        </w:r>
      </w:hyperlink>
    </w:p>
    <w:p w14:paraId="2412881F"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08" w:history="1">
        <w:r w:rsidR="008C22AA" w:rsidRPr="00E316D7">
          <w:rPr>
            <w:rStyle w:val="Hyperlink"/>
            <w:b/>
            <w:noProof/>
          </w:rPr>
          <w:t xml:space="preserve">Slika 4.4 </w:t>
        </w:r>
        <w:r w:rsidR="008C22AA" w:rsidRPr="00E316D7">
          <w:rPr>
            <w:rStyle w:val="Hyperlink"/>
            <w:noProof/>
          </w:rPr>
          <w:t>Specifična korisna energija za grijanje prema energentu obrazovnih ustanova u vlasništvu Grada Zagreba u 2015. godini</w:t>
        </w:r>
        <w:r w:rsidR="008C22AA">
          <w:rPr>
            <w:noProof/>
            <w:webHidden/>
          </w:rPr>
          <w:tab/>
        </w:r>
        <w:r w:rsidR="008C22AA">
          <w:rPr>
            <w:noProof/>
            <w:webHidden/>
          </w:rPr>
          <w:fldChar w:fldCharType="begin"/>
        </w:r>
        <w:r w:rsidR="008C22AA">
          <w:rPr>
            <w:noProof/>
            <w:webHidden/>
          </w:rPr>
          <w:instrText xml:space="preserve"> PAGEREF _Toc468277408 \h </w:instrText>
        </w:r>
        <w:r w:rsidR="008C22AA">
          <w:rPr>
            <w:noProof/>
            <w:webHidden/>
          </w:rPr>
        </w:r>
        <w:r w:rsidR="008C22AA">
          <w:rPr>
            <w:noProof/>
            <w:webHidden/>
          </w:rPr>
          <w:fldChar w:fldCharType="separate"/>
        </w:r>
        <w:r w:rsidR="008C22AA">
          <w:rPr>
            <w:noProof/>
            <w:webHidden/>
          </w:rPr>
          <w:t>13</w:t>
        </w:r>
        <w:r w:rsidR="008C22AA">
          <w:rPr>
            <w:noProof/>
            <w:webHidden/>
          </w:rPr>
          <w:fldChar w:fldCharType="end"/>
        </w:r>
      </w:hyperlink>
    </w:p>
    <w:p w14:paraId="75FCD9E9"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09" w:history="1">
        <w:r w:rsidR="008C22AA" w:rsidRPr="00E316D7">
          <w:rPr>
            <w:rStyle w:val="Hyperlink"/>
            <w:b/>
            <w:noProof/>
          </w:rPr>
          <w:t xml:space="preserve">Slika 4.5 </w:t>
        </w:r>
        <w:r w:rsidR="008C22AA" w:rsidRPr="00E316D7">
          <w:rPr>
            <w:rStyle w:val="Hyperlink"/>
            <w:noProof/>
          </w:rPr>
          <w:t>Specifična potrošnja električne energije za ne-toplinske namjene objekata zdravstva i socijalne zaštite u vlasništvu Grada Zagreba u 2015. godini</w:t>
        </w:r>
        <w:r w:rsidR="008C22AA">
          <w:rPr>
            <w:noProof/>
            <w:webHidden/>
          </w:rPr>
          <w:tab/>
        </w:r>
        <w:r w:rsidR="008C22AA">
          <w:rPr>
            <w:noProof/>
            <w:webHidden/>
          </w:rPr>
          <w:fldChar w:fldCharType="begin"/>
        </w:r>
        <w:r w:rsidR="008C22AA">
          <w:rPr>
            <w:noProof/>
            <w:webHidden/>
          </w:rPr>
          <w:instrText xml:space="preserve"> PAGEREF _Toc468277409 \h </w:instrText>
        </w:r>
        <w:r w:rsidR="008C22AA">
          <w:rPr>
            <w:noProof/>
            <w:webHidden/>
          </w:rPr>
        </w:r>
        <w:r w:rsidR="008C22AA">
          <w:rPr>
            <w:noProof/>
            <w:webHidden/>
          </w:rPr>
          <w:fldChar w:fldCharType="separate"/>
        </w:r>
        <w:r w:rsidR="008C22AA">
          <w:rPr>
            <w:noProof/>
            <w:webHidden/>
          </w:rPr>
          <w:t>14</w:t>
        </w:r>
        <w:r w:rsidR="008C22AA">
          <w:rPr>
            <w:noProof/>
            <w:webHidden/>
          </w:rPr>
          <w:fldChar w:fldCharType="end"/>
        </w:r>
      </w:hyperlink>
    </w:p>
    <w:p w14:paraId="0040B8E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10" w:history="1">
        <w:r w:rsidR="008C22AA" w:rsidRPr="00E316D7">
          <w:rPr>
            <w:rStyle w:val="Hyperlink"/>
            <w:b/>
            <w:noProof/>
          </w:rPr>
          <w:t>Slika 4.6</w:t>
        </w:r>
        <w:r w:rsidR="008C22AA" w:rsidRPr="00E316D7">
          <w:rPr>
            <w:rStyle w:val="Hyperlink"/>
            <w:rFonts w:eastAsia="Calibri"/>
            <w:b/>
            <w:noProof/>
          </w:rPr>
          <w:t xml:space="preserve"> </w:t>
        </w:r>
        <w:r w:rsidR="008C22AA" w:rsidRPr="00E316D7">
          <w:rPr>
            <w:rStyle w:val="Hyperlink"/>
            <w:rFonts w:eastAsia="Calibri"/>
            <w:noProof/>
          </w:rPr>
          <w:t>Struktura potrošnje toplinske energije objekata zdravstva i socijalne zaštite u vlasništvu Grada Zagreba u 2015. godini</w:t>
        </w:r>
        <w:r w:rsidR="008C22AA">
          <w:rPr>
            <w:noProof/>
            <w:webHidden/>
          </w:rPr>
          <w:tab/>
        </w:r>
        <w:r w:rsidR="008C22AA">
          <w:rPr>
            <w:noProof/>
            <w:webHidden/>
          </w:rPr>
          <w:fldChar w:fldCharType="begin"/>
        </w:r>
        <w:r w:rsidR="008C22AA">
          <w:rPr>
            <w:noProof/>
            <w:webHidden/>
          </w:rPr>
          <w:instrText xml:space="preserve"> PAGEREF _Toc468277410 \h </w:instrText>
        </w:r>
        <w:r w:rsidR="008C22AA">
          <w:rPr>
            <w:noProof/>
            <w:webHidden/>
          </w:rPr>
        </w:r>
        <w:r w:rsidR="008C22AA">
          <w:rPr>
            <w:noProof/>
            <w:webHidden/>
          </w:rPr>
          <w:fldChar w:fldCharType="separate"/>
        </w:r>
        <w:r w:rsidR="008C22AA">
          <w:rPr>
            <w:noProof/>
            <w:webHidden/>
          </w:rPr>
          <w:t>15</w:t>
        </w:r>
        <w:r w:rsidR="008C22AA">
          <w:rPr>
            <w:noProof/>
            <w:webHidden/>
          </w:rPr>
          <w:fldChar w:fldCharType="end"/>
        </w:r>
      </w:hyperlink>
    </w:p>
    <w:p w14:paraId="4E0165AE"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11" w:history="1">
        <w:r w:rsidR="008C22AA" w:rsidRPr="00E316D7">
          <w:rPr>
            <w:rStyle w:val="Hyperlink"/>
            <w:b/>
            <w:noProof/>
          </w:rPr>
          <w:t xml:space="preserve">Slika 4.7 </w:t>
        </w:r>
        <w:r w:rsidR="008C22AA" w:rsidRPr="00E316D7">
          <w:rPr>
            <w:rStyle w:val="Hyperlink"/>
            <w:noProof/>
          </w:rPr>
          <w:t>Specifična korisna energija za grijanje objekata zdravstva i socijalne zaštite u vlasništvu Grada Zagreba u 2015. godini</w:t>
        </w:r>
        <w:r w:rsidR="008C22AA">
          <w:rPr>
            <w:noProof/>
            <w:webHidden/>
          </w:rPr>
          <w:tab/>
        </w:r>
        <w:r w:rsidR="008C22AA">
          <w:rPr>
            <w:noProof/>
            <w:webHidden/>
          </w:rPr>
          <w:fldChar w:fldCharType="begin"/>
        </w:r>
        <w:r w:rsidR="008C22AA">
          <w:rPr>
            <w:noProof/>
            <w:webHidden/>
          </w:rPr>
          <w:instrText xml:space="preserve"> PAGEREF _Toc468277411 \h </w:instrText>
        </w:r>
        <w:r w:rsidR="008C22AA">
          <w:rPr>
            <w:noProof/>
            <w:webHidden/>
          </w:rPr>
        </w:r>
        <w:r w:rsidR="008C22AA">
          <w:rPr>
            <w:noProof/>
            <w:webHidden/>
          </w:rPr>
          <w:fldChar w:fldCharType="separate"/>
        </w:r>
        <w:r w:rsidR="008C22AA">
          <w:rPr>
            <w:noProof/>
            <w:webHidden/>
          </w:rPr>
          <w:t>16</w:t>
        </w:r>
        <w:r w:rsidR="008C22AA">
          <w:rPr>
            <w:noProof/>
            <w:webHidden/>
          </w:rPr>
          <w:fldChar w:fldCharType="end"/>
        </w:r>
      </w:hyperlink>
    </w:p>
    <w:p w14:paraId="26A6AB2A"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12" w:history="1">
        <w:r w:rsidR="008C22AA" w:rsidRPr="00E316D7">
          <w:rPr>
            <w:rStyle w:val="Hyperlink"/>
            <w:b/>
            <w:noProof/>
          </w:rPr>
          <w:t xml:space="preserve">Slika 4.8 </w:t>
        </w:r>
        <w:r w:rsidR="008C22AA" w:rsidRPr="00E316D7">
          <w:rPr>
            <w:rStyle w:val="Hyperlink"/>
            <w:noProof/>
          </w:rPr>
          <w:t>Specifična korisna energija za grijanje prema energentu objekata zdravstva i socijalne zaštite u vlasništvu Grada Zagreba u 2015. godini</w:t>
        </w:r>
        <w:r w:rsidR="008C22AA">
          <w:rPr>
            <w:noProof/>
            <w:webHidden/>
          </w:rPr>
          <w:tab/>
        </w:r>
        <w:r w:rsidR="008C22AA">
          <w:rPr>
            <w:noProof/>
            <w:webHidden/>
          </w:rPr>
          <w:fldChar w:fldCharType="begin"/>
        </w:r>
        <w:r w:rsidR="008C22AA">
          <w:rPr>
            <w:noProof/>
            <w:webHidden/>
          </w:rPr>
          <w:instrText xml:space="preserve"> PAGEREF _Toc468277412 \h </w:instrText>
        </w:r>
        <w:r w:rsidR="008C22AA">
          <w:rPr>
            <w:noProof/>
            <w:webHidden/>
          </w:rPr>
        </w:r>
        <w:r w:rsidR="008C22AA">
          <w:rPr>
            <w:noProof/>
            <w:webHidden/>
          </w:rPr>
          <w:fldChar w:fldCharType="separate"/>
        </w:r>
        <w:r w:rsidR="008C22AA">
          <w:rPr>
            <w:noProof/>
            <w:webHidden/>
          </w:rPr>
          <w:t>16</w:t>
        </w:r>
        <w:r w:rsidR="008C22AA">
          <w:rPr>
            <w:noProof/>
            <w:webHidden/>
          </w:rPr>
          <w:fldChar w:fldCharType="end"/>
        </w:r>
      </w:hyperlink>
    </w:p>
    <w:p w14:paraId="63014226"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13" w:history="1">
        <w:r w:rsidR="008C22AA" w:rsidRPr="00E316D7">
          <w:rPr>
            <w:rStyle w:val="Hyperlink"/>
            <w:b/>
            <w:noProof/>
          </w:rPr>
          <w:t xml:space="preserve">Slika 4.9 </w:t>
        </w:r>
        <w:r w:rsidR="008C22AA" w:rsidRPr="00E316D7">
          <w:rPr>
            <w:rStyle w:val="Hyperlink"/>
            <w:noProof/>
          </w:rPr>
          <w:t>Specifična potrošnja električne energije za ne-toplinske namjene kategorije kulturne ustanove u vlasništvu Grada Zagreba u 2015. godini</w:t>
        </w:r>
        <w:r w:rsidR="008C22AA">
          <w:rPr>
            <w:noProof/>
            <w:webHidden/>
          </w:rPr>
          <w:tab/>
        </w:r>
        <w:r w:rsidR="008C22AA">
          <w:rPr>
            <w:noProof/>
            <w:webHidden/>
          </w:rPr>
          <w:fldChar w:fldCharType="begin"/>
        </w:r>
        <w:r w:rsidR="008C22AA">
          <w:rPr>
            <w:noProof/>
            <w:webHidden/>
          </w:rPr>
          <w:instrText xml:space="preserve"> PAGEREF _Toc468277413 \h </w:instrText>
        </w:r>
        <w:r w:rsidR="008C22AA">
          <w:rPr>
            <w:noProof/>
            <w:webHidden/>
          </w:rPr>
        </w:r>
        <w:r w:rsidR="008C22AA">
          <w:rPr>
            <w:noProof/>
            <w:webHidden/>
          </w:rPr>
          <w:fldChar w:fldCharType="separate"/>
        </w:r>
        <w:r w:rsidR="008C22AA">
          <w:rPr>
            <w:noProof/>
            <w:webHidden/>
          </w:rPr>
          <w:t>17</w:t>
        </w:r>
        <w:r w:rsidR="008C22AA">
          <w:rPr>
            <w:noProof/>
            <w:webHidden/>
          </w:rPr>
          <w:fldChar w:fldCharType="end"/>
        </w:r>
      </w:hyperlink>
    </w:p>
    <w:p w14:paraId="4253881E"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14" w:history="1">
        <w:r w:rsidR="008C22AA" w:rsidRPr="00E316D7">
          <w:rPr>
            <w:rStyle w:val="Hyperlink"/>
            <w:b/>
            <w:noProof/>
          </w:rPr>
          <w:t>Slika 4.10</w:t>
        </w:r>
        <w:r w:rsidR="008C22AA" w:rsidRPr="00E316D7">
          <w:rPr>
            <w:rStyle w:val="Hyperlink"/>
            <w:rFonts w:eastAsia="Calibri"/>
            <w:b/>
            <w:noProof/>
          </w:rPr>
          <w:t xml:space="preserve"> </w:t>
        </w:r>
        <w:r w:rsidR="008C22AA" w:rsidRPr="00E316D7">
          <w:rPr>
            <w:rStyle w:val="Hyperlink"/>
            <w:rFonts w:eastAsia="Calibri"/>
            <w:noProof/>
          </w:rPr>
          <w:t>Struktura potrošnje toplinske energije kategorije kulturnih ustanova Grada Zagreba u 2015. godini</w:t>
        </w:r>
        <w:r w:rsidR="008C22AA">
          <w:rPr>
            <w:noProof/>
            <w:webHidden/>
          </w:rPr>
          <w:tab/>
        </w:r>
        <w:r w:rsidR="008C22AA">
          <w:rPr>
            <w:noProof/>
            <w:webHidden/>
          </w:rPr>
          <w:fldChar w:fldCharType="begin"/>
        </w:r>
        <w:r w:rsidR="008C22AA">
          <w:rPr>
            <w:noProof/>
            <w:webHidden/>
          </w:rPr>
          <w:instrText xml:space="preserve"> PAGEREF _Toc468277414 \h </w:instrText>
        </w:r>
        <w:r w:rsidR="008C22AA">
          <w:rPr>
            <w:noProof/>
            <w:webHidden/>
          </w:rPr>
        </w:r>
        <w:r w:rsidR="008C22AA">
          <w:rPr>
            <w:noProof/>
            <w:webHidden/>
          </w:rPr>
          <w:fldChar w:fldCharType="separate"/>
        </w:r>
        <w:r w:rsidR="008C22AA">
          <w:rPr>
            <w:noProof/>
            <w:webHidden/>
          </w:rPr>
          <w:t>18</w:t>
        </w:r>
        <w:r w:rsidR="008C22AA">
          <w:rPr>
            <w:noProof/>
            <w:webHidden/>
          </w:rPr>
          <w:fldChar w:fldCharType="end"/>
        </w:r>
      </w:hyperlink>
    </w:p>
    <w:p w14:paraId="1999B859"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15" w:history="1">
        <w:r w:rsidR="008C22AA" w:rsidRPr="00E316D7">
          <w:rPr>
            <w:rStyle w:val="Hyperlink"/>
            <w:b/>
            <w:noProof/>
          </w:rPr>
          <w:t xml:space="preserve">Slika 4.11 </w:t>
        </w:r>
        <w:r w:rsidR="008C22AA" w:rsidRPr="00E316D7">
          <w:rPr>
            <w:rStyle w:val="Hyperlink"/>
            <w:noProof/>
          </w:rPr>
          <w:t>Specifična korisna energija za grijanje prema energentu kategorije kulturnih ustanova Grada Zagreba u 2015. godini</w:t>
        </w:r>
        <w:r w:rsidR="008C22AA">
          <w:rPr>
            <w:noProof/>
            <w:webHidden/>
          </w:rPr>
          <w:tab/>
        </w:r>
        <w:r w:rsidR="008C22AA">
          <w:rPr>
            <w:noProof/>
            <w:webHidden/>
          </w:rPr>
          <w:fldChar w:fldCharType="begin"/>
        </w:r>
        <w:r w:rsidR="008C22AA">
          <w:rPr>
            <w:noProof/>
            <w:webHidden/>
          </w:rPr>
          <w:instrText xml:space="preserve"> PAGEREF _Toc468277415 \h </w:instrText>
        </w:r>
        <w:r w:rsidR="008C22AA">
          <w:rPr>
            <w:noProof/>
            <w:webHidden/>
          </w:rPr>
        </w:r>
        <w:r w:rsidR="008C22AA">
          <w:rPr>
            <w:noProof/>
            <w:webHidden/>
          </w:rPr>
          <w:fldChar w:fldCharType="separate"/>
        </w:r>
        <w:r w:rsidR="008C22AA">
          <w:rPr>
            <w:noProof/>
            <w:webHidden/>
          </w:rPr>
          <w:t>19</w:t>
        </w:r>
        <w:r w:rsidR="008C22AA">
          <w:rPr>
            <w:noProof/>
            <w:webHidden/>
          </w:rPr>
          <w:fldChar w:fldCharType="end"/>
        </w:r>
      </w:hyperlink>
    </w:p>
    <w:p w14:paraId="3941F2D1"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16" w:history="1">
        <w:r w:rsidR="008C22AA" w:rsidRPr="00E316D7">
          <w:rPr>
            <w:rStyle w:val="Hyperlink"/>
            <w:b/>
            <w:noProof/>
          </w:rPr>
          <w:t>Slika 4.12</w:t>
        </w:r>
        <w:r w:rsidR="008C22AA" w:rsidRPr="00E316D7">
          <w:rPr>
            <w:rStyle w:val="Hyperlink"/>
            <w:rFonts w:eastAsia="Calibri"/>
            <w:b/>
            <w:noProof/>
          </w:rPr>
          <w:t xml:space="preserve"> </w:t>
        </w:r>
        <w:r w:rsidR="008C22AA" w:rsidRPr="00E316D7">
          <w:rPr>
            <w:rStyle w:val="Hyperlink"/>
            <w:rFonts w:eastAsia="Calibri"/>
            <w:noProof/>
          </w:rPr>
          <w:t>Struktura grijane površine prema energentu kategorije zgrada gradske uprave i mjesne samouprave Grada Zagreba u 2015. godini</w:t>
        </w:r>
        <w:r w:rsidR="008C22AA">
          <w:rPr>
            <w:noProof/>
            <w:webHidden/>
          </w:rPr>
          <w:tab/>
        </w:r>
        <w:r w:rsidR="008C22AA">
          <w:rPr>
            <w:noProof/>
            <w:webHidden/>
          </w:rPr>
          <w:fldChar w:fldCharType="begin"/>
        </w:r>
        <w:r w:rsidR="008C22AA">
          <w:rPr>
            <w:noProof/>
            <w:webHidden/>
          </w:rPr>
          <w:instrText xml:space="preserve"> PAGEREF _Toc468277416 \h </w:instrText>
        </w:r>
        <w:r w:rsidR="008C22AA">
          <w:rPr>
            <w:noProof/>
            <w:webHidden/>
          </w:rPr>
        </w:r>
        <w:r w:rsidR="008C22AA">
          <w:rPr>
            <w:noProof/>
            <w:webHidden/>
          </w:rPr>
          <w:fldChar w:fldCharType="separate"/>
        </w:r>
        <w:r w:rsidR="008C22AA">
          <w:rPr>
            <w:noProof/>
            <w:webHidden/>
          </w:rPr>
          <w:t>21</w:t>
        </w:r>
        <w:r w:rsidR="008C22AA">
          <w:rPr>
            <w:noProof/>
            <w:webHidden/>
          </w:rPr>
          <w:fldChar w:fldCharType="end"/>
        </w:r>
      </w:hyperlink>
    </w:p>
    <w:p w14:paraId="320D1684"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17" w:history="1">
        <w:r w:rsidR="008C22AA" w:rsidRPr="00E316D7">
          <w:rPr>
            <w:rStyle w:val="Hyperlink"/>
            <w:b/>
            <w:noProof/>
          </w:rPr>
          <w:t>Slika 4.13</w:t>
        </w:r>
        <w:r w:rsidR="008C22AA" w:rsidRPr="00E316D7">
          <w:rPr>
            <w:rStyle w:val="Hyperlink"/>
            <w:rFonts w:eastAsia="Calibri"/>
            <w:b/>
            <w:noProof/>
          </w:rPr>
          <w:t xml:space="preserve"> </w:t>
        </w:r>
        <w:r w:rsidR="008C22AA" w:rsidRPr="00E316D7">
          <w:rPr>
            <w:rStyle w:val="Hyperlink"/>
            <w:rFonts w:eastAsia="Calibri"/>
            <w:noProof/>
          </w:rPr>
          <w:t>Struktura potrošnje toplinske energije sportskih objekata Grada Zagreba u 2015. godini</w:t>
        </w:r>
        <w:r w:rsidR="008C22AA">
          <w:rPr>
            <w:noProof/>
            <w:webHidden/>
          </w:rPr>
          <w:tab/>
        </w:r>
        <w:r w:rsidR="008C22AA">
          <w:rPr>
            <w:noProof/>
            <w:webHidden/>
          </w:rPr>
          <w:fldChar w:fldCharType="begin"/>
        </w:r>
        <w:r w:rsidR="008C22AA">
          <w:rPr>
            <w:noProof/>
            <w:webHidden/>
          </w:rPr>
          <w:instrText xml:space="preserve"> PAGEREF _Toc468277417 \h </w:instrText>
        </w:r>
        <w:r w:rsidR="008C22AA">
          <w:rPr>
            <w:noProof/>
            <w:webHidden/>
          </w:rPr>
        </w:r>
        <w:r w:rsidR="008C22AA">
          <w:rPr>
            <w:noProof/>
            <w:webHidden/>
          </w:rPr>
          <w:fldChar w:fldCharType="separate"/>
        </w:r>
        <w:r w:rsidR="008C22AA">
          <w:rPr>
            <w:noProof/>
            <w:webHidden/>
          </w:rPr>
          <w:t>22</w:t>
        </w:r>
        <w:r w:rsidR="008C22AA">
          <w:rPr>
            <w:noProof/>
            <w:webHidden/>
          </w:rPr>
          <w:fldChar w:fldCharType="end"/>
        </w:r>
      </w:hyperlink>
    </w:p>
    <w:p w14:paraId="3B259095"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18" w:history="1">
        <w:r w:rsidR="008C22AA" w:rsidRPr="00E316D7">
          <w:rPr>
            <w:rStyle w:val="Hyperlink"/>
            <w:b/>
            <w:noProof/>
          </w:rPr>
          <w:t xml:space="preserve">Slika 4.14 </w:t>
        </w:r>
        <w:r w:rsidR="008C22AA" w:rsidRPr="00E316D7">
          <w:rPr>
            <w:rStyle w:val="Hyperlink"/>
            <w:noProof/>
          </w:rPr>
          <w:t>Struktura potrošnje toplinske energije kategorije ostali objekti u vlasništvu Grada Zagreba u 2015.godini</w:t>
        </w:r>
        <w:r w:rsidR="008C22AA">
          <w:rPr>
            <w:noProof/>
            <w:webHidden/>
          </w:rPr>
          <w:tab/>
        </w:r>
        <w:r w:rsidR="008C22AA">
          <w:rPr>
            <w:noProof/>
            <w:webHidden/>
          </w:rPr>
          <w:fldChar w:fldCharType="begin"/>
        </w:r>
        <w:r w:rsidR="008C22AA">
          <w:rPr>
            <w:noProof/>
            <w:webHidden/>
          </w:rPr>
          <w:instrText xml:space="preserve"> PAGEREF _Toc468277418 \h </w:instrText>
        </w:r>
        <w:r w:rsidR="008C22AA">
          <w:rPr>
            <w:noProof/>
            <w:webHidden/>
          </w:rPr>
        </w:r>
        <w:r w:rsidR="008C22AA">
          <w:rPr>
            <w:noProof/>
            <w:webHidden/>
          </w:rPr>
          <w:fldChar w:fldCharType="separate"/>
        </w:r>
        <w:r w:rsidR="008C22AA">
          <w:rPr>
            <w:noProof/>
            <w:webHidden/>
          </w:rPr>
          <w:t>23</w:t>
        </w:r>
        <w:r w:rsidR="008C22AA">
          <w:rPr>
            <w:noProof/>
            <w:webHidden/>
          </w:rPr>
          <w:fldChar w:fldCharType="end"/>
        </w:r>
      </w:hyperlink>
    </w:p>
    <w:p w14:paraId="2B287AAC"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19" w:history="1">
        <w:r w:rsidR="008C22AA" w:rsidRPr="00E316D7">
          <w:rPr>
            <w:rStyle w:val="Hyperlink"/>
            <w:b/>
            <w:noProof/>
          </w:rPr>
          <w:t xml:space="preserve">Slika 4.15 </w:t>
        </w:r>
        <w:r w:rsidR="008C22AA" w:rsidRPr="00E316D7">
          <w:rPr>
            <w:rStyle w:val="Hyperlink"/>
            <w:noProof/>
          </w:rPr>
          <w:t>Potrošnja električne energije za ne-toplinske namjene u zgradama u vlasništvu Grada Zagreba u 2015. godini prema podkategorijama</w:t>
        </w:r>
        <w:r w:rsidR="008C22AA">
          <w:rPr>
            <w:noProof/>
            <w:webHidden/>
          </w:rPr>
          <w:tab/>
        </w:r>
        <w:r w:rsidR="008C22AA">
          <w:rPr>
            <w:noProof/>
            <w:webHidden/>
          </w:rPr>
          <w:fldChar w:fldCharType="begin"/>
        </w:r>
        <w:r w:rsidR="008C22AA">
          <w:rPr>
            <w:noProof/>
            <w:webHidden/>
          </w:rPr>
          <w:instrText xml:space="preserve"> PAGEREF _Toc468277419 \h </w:instrText>
        </w:r>
        <w:r w:rsidR="008C22AA">
          <w:rPr>
            <w:noProof/>
            <w:webHidden/>
          </w:rPr>
        </w:r>
        <w:r w:rsidR="008C22AA">
          <w:rPr>
            <w:noProof/>
            <w:webHidden/>
          </w:rPr>
          <w:fldChar w:fldCharType="separate"/>
        </w:r>
        <w:r w:rsidR="008C22AA">
          <w:rPr>
            <w:noProof/>
            <w:webHidden/>
          </w:rPr>
          <w:t>25</w:t>
        </w:r>
        <w:r w:rsidR="008C22AA">
          <w:rPr>
            <w:noProof/>
            <w:webHidden/>
          </w:rPr>
          <w:fldChar w:fldCharType="end"/>
        </w:r>
      </w:hyperlink>
    </w:p>
    <w:p w14:paraId="4AF6EA75"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20" w:history="1">
        <w:r w:rsidR="008C22AA" w:rsidRPr="00E316D7">
          <w:rPr>
            <w:rStyle w:val="Hyperlink"/>
            <w:b/>
            <w:noProof/>
          </w:rPr>
          <w:t xml:space="preserve">Slika 4.16 </w:t>
        </w:r>
        <w:r w:rsidR="008C22AA" w:rsidRPr="00E316D7">
          <w:rPr>
            <w:rStyle w:val="Hyperlink"/>
            <w:noProof/>
          </w:rPr>
          <w:t>Struktura potrošnje toplinske energije u zgradama u vlasništvu Grada Zagreba u 2015. godini prema podkategorijama</w:t>
        </w:r>
        <w:r w:rsidR="008C22AA">
          <w:rPr>
            <w:noProof/>
            <w:webHidden/>
          </w:rPr>
          <w:tab/>
        </w:r>
        <w:r w:rsidR="008C22AA">
          <w:rPr>
            <w:noProof/>
            <w:webHidden/>
          </w:rPr>
          <w:fldChar w:fldCharType="begin"/>
        </w:r>
        <w:r w:rsidR="008C22AA">
          <w:rPr>
            <w:noProof/>
            <w:webHidden/>
          </w:rPr>
          <w:instrText xml:space="preserve"> PAGEREF _Toc468277420 \h </w:instrText>
        </w:r>
        <w:r w:rsidR="008C22AA">
          <w:rPr>
            <w:noProof/>
            <w:webHidden/>
          </w:rPr>
        </w:r>
        <w:r w:rsidR="008C22AA">
          <w:rPr>
            <w:noProof/>
            <w:webHidden/>
          </w:rPr>
          <w:fldChar w:fldCharType="separate"/>
        </w:r>
        <w:r w:rsidR="008C22AA">
          <w:rPr>
            <w:noProof/>
            <w:webHidden/>
          </w:rPr>
          <w:t>26</w:t>
        </w:r>
        <w:r w:rsidR="008C22AA">
          <w:rPr>
            <w:noProof/>
            <w:webHidden/>
          </w:rPr>
          <w:fldChar w:fldCharType="end"/>
        </w:r>
      </w:hyperlink>
    </w:p>
    <w:p w14:paraId="7D8D5966"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21" w:history="1">
        <w:r w:rsidR="008C22AA" w:rsidRPr="00E316D7">
          <w:rPr>
            <w:rStyle w:val="Hyperlink"/>
            <w:b/>
            <w:noProof/>
          </w:rPr>
          <w:t xml:space="preserve">Slika 4.17 </w:t>
        </w:r>
        <w:r w:rsidR="008C22AA" w:rsidRPr="00E316D7">
          <w:rPr>
            <w:rStyle w:val="Hyperlink"/>
            <w:bCs/>
            <w:noProof/>
          </w:rPr>
          <w:t>Zastupljenost pojedinog energenta za grijanje prostora u 2015. godini prema broju objekata</w:t>
        </w:r>
        <w:r w:rsidR="008C22AA">
          <w:rPr>
            <w:noProof/>
            <w:webHidden/>
          </w:rPr>
          <w:tab/>
        </w:r>
        <w:r w:rsidR="008C22AA">
          <w:rPr>
            <w:noProof/>
            <w:webHidden/>
          </w:rPr>
          <w:fldChar w:fldCharType="begin"/>
        </w:r>
        <w:r w:rsidR="008C22AA">
          <w:rPr>
            <w:noProof/>
            <w:webHidden/>
          </w:rPr>
          <w:instrText xml:space="preserve"> PAGEREF _Toc468277421 \h </w:instrText>
        </w:r>
        <w:r w:rsidR="008C22AA">
          <w:rPr>
            <w:noProof/>
            <w:webHidden/>
          </w:rPr>
        </w:r>
        <w:r w:rsidR="008C22AA">
          <w:rPr>
            <w:noProof/>
            <w:webHidden/>
          </w:rPr>
          <w:fldChar w:fldCharType="separate"/>
        </w:r>
        <w:r w:rsidR="008C22AA">
          <w:rPr>
            <w:noProof/>
            <w:webHidden/>
          </w:rPr>
          <w:t>27</w:t>
        </w:r>
        <w:r w:rsidR="008C22AA">
          <w:rPr>
            <w:noProof/>
            <w:webHidden/>
          </w:rPr>
          <w:fldChar w:fldCharType="end"/>
        </w:r>
      </w:hyperlink>
    </w:p>
    <w:p w14:paraId="32ABA886"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22" w:history="1">
        <w:r w:rsidR="008C22AA" w:rsidRPr="00E316D7">
          <w:rPr>
            <w:rStyle w:val="Hyperlink"/>
            <w:b/>
            <w:noProof/>
          </w:rPr>
          <w:t xml:space="preserve">Slika 4.18 </w:t>
        </w:r>
        <w:r w:rsidR="008C22AA" w:rsidRPr="00E316D7">
          <w:rPr>
            <w:rStyle w:val="Hyperlink"/>
            <w:bCs/>
            <w:noProof/>
          </w:rPr>
          <w:t>Zastupljenost pojedinog energenta za grijanje prostora u 2015. godini prema grijanoj površini</w:t>
        </w:r>
        <w:r w:rsidR="008C22AA">
          <w:rPr>
            <w:noProof/>
            <w:webHidden/>
          </w:rPr>
          <w:tab/>
        </w:r>
        <w:r w:rsidR="008C22AA">
          <w:rPr>
            <w:noProof/>
            <w:webHidden/>
          </w:rPr>
          <w:fldChar w:fldCharType="begin"/>
        </w:r>
        <w:r w:rsidR="008C22AA">
          <w:rPr>
            <w:noProof/>
            <w:webHidden/>
          </w:rPr>
          <w:instrText xml:space="preserve"> PAGEREF _Toc468277422 \h </w:instrText>
        </w:r>
        <w:r w:rsidR="008C22AA">
          <w:rPr>
            <w:noProof/>
            <w:webHidden/>
          </w:rPr>
        </w:r>
        <w:r w:rsidR="008C22AA">
          <w:rPr>
            <w:noProof/>
            <w:webHidden/>
          </w:rPr>
          <w:fldChar w:fldCharType="separate"/>
        </w:r>
        <w:r w:rsidR="008C22AA">
          <w:rPr>
            <w:noProof/>
            <w:webHidden/>
          </w:rPr>
          <w:t>28</w:t>
        </w:r>
        <w:r w:rsidR="008C22AA">
          <w:rPr>
            <w:noProof/>
            <w:webHidden/>
          </w:rPr>
          <w:fldChar w:fldCharType="end"/>
        </w:r>
      </w:hyperlink>
    </w:p>
    <w:p w14:paraId="7E6CE9ED"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23" w:history="1">
        <w:r w:rsidR="008C22AA" w:rsidRPr="00E316D7">
          <w:rPr>
            <w:rStyle w:val="Hyperlink"/>
            <w:b/>
            <w:noProof/>
          </w:rPr>
          <w:t xml:space="preserve">Slika 4.19 </w:t>
        </w:r>
        <w:r w:rsidR="008C22AA" w:rsidRPr="00E316D7">
          <w:rPr>
            <w:rStyle w:val="Hyperlink"/>
            <w:noProof/>
          </w:rPr>
          <w:t>Usporedba specifične korisne energije za grijanje prema podkategorijama zgrada u vlasništvu Grada Zagreba u 2015. godini</w:t>
        </w:r>
        <w:r w:rsidR="008C22AA">
          <w:rPr>
            <w:noProof/>
            <w:webHidden/>
          </w:rPr>
          <w:tab/>
        </w:r>
        <w:r w:rsidR="008C22AA">
          <w:rPr>
            <w:noProof/>
            <w:webHidden/>
          </w:rPr>
          <w:fldChar w:fldCharType="begin"/>
        </w:r>
        <w:r w:rsidR="008C22AA">
          <w:rPr>
            <w:noProof/>
            <w:webHidden/>
          </w:rPr>
          <w:instrText xml:space="preserve"> PAGEREF _Toc468277423 \h </w:instrText>
        </w:r>
        <w:r w:rsidR="008C22AA">
          <w:rPr>
            <w:noProof/>
            <w:webHidden/>
          </w:rPr>
        </w:r>
        <w:r w:rsidR="008C22AA">
          <w:rPr>
            <w:noProof/>
            <w:webHidden/>
          </w:rPr>
          <w:fldChar w:fldCharType="separate"/>
        </w:r>
        <w:r w:rsidR="008C22AA">
          <w:rPr>
            <w:noProof/>
            <w:webHidden/>
          </w:rPr>
          <w:t>29</w:t>
        </w:r>
        <w:r w:rsidR="008C22AA">
          <w:rPr>
            <w:noProof/>
            <w:webHidden/>
          </w:rPr>
          <w:fldChar w:fldCharType="end"/>
        </w:r>
      </w:hyperlink>
    </w:p>
    <w:p w14:paraId="335733B7"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24" w:history="1">
        <w:r w:rsidR="008C22AA" w:rsidRPr="00E316D7">
          <w:rPr>
            <w:rStyle w:val="Hyperlink"/>
            <w:b/>
            <w:noProof/>
          </w:rPr>
          <w:t xml:space="preserve">Slika 4.20 </w:t>
        </w:r>
        <w:r w:rsidR="008C22AA" w:rsidRPr="00E316D7">
          <w:rPr>
            <w:rStyle w:val="Hyperlink"/>
            <w:noProof/>
          </w:rPr>
          <w:t>Usporedba specifične korisne energije za grijanje prema energentu u podkategorijama zgrada u vlasništvu Grada Zagreba u 2015. godini</w:t>
        </w:r>
        <w:r w:rsidR="008C22AA">
          <w:rPr>
            <w:noProof/>
            <w:webHidden/>
          </w:rPr>
          <w:tab/>
        </w:r>
        <w:r w:rsidR="008C22AA">
          <w:rPr>
            <w:noProof/>
            <w:webHidden/>
          </w:rPr>
          <w:fldChar w:fldCharType="begin"/>
        </w:r>
        <w:r w:rsidR="008C22AA">
          <w:rPr>
            <w:noProof/>
            <w:webHidden/>
          </w:rPr>
          <w:instrText xml:space="preserve"> PAGEREF _Toc468277424 \h </w:instrText>
        </w:r>
        <w:r w:rsidR="008C22AA">
          <w:rPr>
            <w:noProof/>
            <w:webHidden/>
          </w:rPr>
        </w:r>
        <w:r w:rsidR="008C22AA">
          <w:rPr>
            <w:noProof/>
            <w:webHidden/>
          </w:rPr>
          <w:fldChar w:fldCharType="separate"/>
        </w:r>
        <w:r w:rsidR="008C22AA">
          <w:rPr>
            <w:noProof/>
            <w:webHidden/>
          </w:rPr>
          <w:t>30</w:t>
        </w:r>
        <w:r w:rsidR="008C22AA">
          <w:rPr>
            <w:noProof/>
            <w:webHidden/>
          </w:rPr>
          <w:fldChar w:fldCharType="end"/>
        </w:r>
      </w:hyperlink>
    </w:p>
    <w:p w14:paraId="3367CED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25" w:history="1">
        <w:r w:rsidR="008C22AA" w:rsidRPr="00E316D7">
          <w:rPr>
            <w:rStyle w:val="Hyperlink"/>
            <w:b/>
            <w:noProof/>
          </w:rPr>
          <w:t>Slika 4.21</w:t>
        </w:r>
        <w:r w:rsidR="008C22AA" w:rsidRPr="00E316D7">
          <w:rPr>
            <w:rStyle w:val="Hyperlink"/>
            <w:noProof/>
          </w:rPr>
          <w:t xml:space="preserve"> Specifična potrošnja električne energije podružnica, trgovačkih društava i ustanove u vlasništvu Holdinga u 2015. godini</w:t>
        </w:r>
        <w:r w:rsidR="008C22AA">
          <w:rPr>
            <w:noProof/>
            <w:webHidden/>
          </w:rPr>
          <w:tab/>
        </w:r>
        <w:r w:rsidR="008C22AA">
          <w:rPr>
            <w:noProof/>
            <w:webHidden/>
          </w:rPr>
          <w:fldChar w:fldCharType="begin"/>
        </w:r>
        <w:r w:rsidR="008C22AA">
          <w:rPr>
            <w:noProof/>
            <w:webHidden/>
          </w:rPr>
          <w:instrText xml:space="preserve"> PAGEREF _Toc468277425 \h </w:instrText>
        </w:r>
        <w:r w:rsidR="008C22AA">
          <w:rPr>
            <w:noProof/>
            <w:webHidden/>
          </w:rPr>
        </w:r>
        <w:r w:rsidR="008C22AA">
          <w:rPr>
            <w:noProof/>
            <w:webHidden/>
          </w:rPr>
          <w:fldChar w:fldCharType="separate"/>
        </w:r>
        <w:r w:rsidR="008C22AA">
          <w:rPr>
            <w:noProof/>
            <w:webHidden/>
          </w:rPr>
          <w:t>32</w:t>
        </w:r>
        <w:r w:rsidR="008C22AA">
          <w:rPr>
            <w:noProof/>
            <w:webHidden/>
          </w:rPr>
          <w:fldChar w:fldCharType="end"/>
        </w:r>
      </w:hyperlink>
    </w:p>
    <w:p w14:paraId="307611E0"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26" w:history="1">
        <w:r w:rsidR="008C22AA" w:rsidRPr="00E316D7">
          <w:rPr>
            <w:rStyle w:val="Hyperlink"/>
            <w:b/>
            <w:noProof/>
          </w:rPr>
          <w:t>Slika 4.22</w:t>
        </w:r>
        <w:r w:rsidR="008C22AA" w:rsidRPr="00E316D7">
          <w:rPr>
            <w:rStyle w:val="Hyperlink"/>
            <w:noProof/>
          </w:rPr>
          <w:t xml:space="preserve"> Specifična korisna energija za grijanje podružnica, trgovačkih društava i ustanove u vlasništvu Holdinga u 2015. godini</w:t>
        </w:r>
        <w:r w:rsidR="008C22AA">
          <w:rPr>
            <w:noProof/>
            <w:webHidden/>
          </w:rPr>
          <w:tab/>
        </w:r>
        <w:r w:rsidR="008C22AA">
          <w:rPr>
            <w:noProof/>
            <w:webHidden/>
          </w:rPr>
          <w:fldChar w:fldCharType="begin"/>
        </w:r>
        <w:r w:rsidR="008C22AA">
          <w:rPr>
            <w:noProof/>
            <w:webHidden/>
          </w:rPr>
          <w:instrText xml:space="preserve"> PAGEREF _Toc468277426 \h </w:instrText>
        </w:r>
        <w:r w:rsidR="008C22AA">
          <w:rPr>
            <w:noProof/>
            <w:webHidden/>
          </w:rPr>
        </w:r>
        <w:r w:rsidR="008C22AA">
          <w:rPr>
            <w:noProof/>
            <w:webHidden/>
          </w:rPr>
          <w:fldChar w:fldCharType="separate"/>
        </w:r>
        <w:r w:rsidR="008C22AA">
          <w:rPr>
            <w:noProof/>
            <w:webHidden/>
          </w:rPr>
          <w:t>33</w:t>
        </w:r>
        <w:r w:rsidR="008C22AA">
          <w:rPr>
            <w:noProof/>
            <w:webHidden/>
          </w:rPr>
          <w:fldChar w:fldCharType="end"/>
        </w:r>
      </w:hyperlink>
    </w:p>
    <w:p w14:paraId="3C98921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27" w:history="1">
        <w:r w:rsidR="008C22AA" w:rsidRPr="00E316D7">
          <w:rPr>
            <w:rStyle w:val="Hyperlink"/>
            <w:b/>
            <w:noProof/>
          </w:rPr>
          <w:t>Slika 4.23</w:t>
        </w:r>
        <w:r w:rsidR="008C22AA" w:rsidRPr="00E316D7">
          <w:rPr>
            <w:rStyle w:val="Hyperlink"/>
            <w:noProof/>
          </w:rPr>
          <w:t xml:space="preserve"> Udio pojedinih energenta u ukupnoj potrošnji energije u stambenom podsektoru Grada Zagreba u 2015. godini</w:t>
        </w:r>
        <w:r w:rsidR="008C22AA">
          <w:rPr>
            <w:noProof/>
            <w:webHidden/>
          </w:rPr>
          <w:tab/>
        </w:r>
        <w:r w:rsidR="008C22AA">
          <w:rPr>
            <w:noProof/>
            <w:webHidden/>
          </w:rPr>
          <w:fldChar w:fldCharType="begin"/>
        </w:r>
        <w:r w:rsidR="008C22AA">
          <w:rPr>
            <w:noProof/>
            <w:webHidden/>
          </w:rPr>
          <w:instrText xml:space="preserve"> PAGEREF _Toc468277427 \h </w:instrText>
        </w:r>
        <w:r w:rsidR="008C22AA">
          <w:rPr>
            <w:noProof/>
            <w:webHidden/>
          </w:rPr>
        </w:r>
        <w:r w:rsidR="008C22AA">
          <w:rPr>
            <w:noProof/>
            <w:webHidden/>
          </w:rPr>
          <w:fldChar w:fldCharType="separate"/>
        </w:r>
        <w:r w:rsidR="008C22AA">
          <w:rPr>
            <w:noProof/>
            <w:webHidden/>
          </w:rPr>
          <w:t>37</w:t>
        </w:r>
        <w:r w:rsidR="008C22AA">
          <w:rPr>
            <w:noProof/>
            <w:webHidden/>
          </w:rPr>
          <w:fldChar w:fldCharType="end"/>
        </w:r>
      </w:hyperlink>
    </w:p>
    <w:p w14:paraId="4428924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28" w:history="1">
        <w:r w:rsidR="008C22AA" w:rsidRPr="00E316D7">
          <w:rPr>
            <w:rStyle w:val="Hyperlink"/>
            <w:b/>
            <w:noProof/>
          </w:rPr>
          <w:t xml:space="preserve">Slika 4.24 </w:t>
        </w:r>
        <w:r w:rsidR="008C22AA" w:rsidRPr="00E316D7">
          <w:rPr>
            <w:rStyle w:val="Hyperlink"/>
            <w:noProof/>
          </w:rPr>
          <w:t>Prikaz trenda potrošnje električne energije stambenog podsektora u vremenskom periodu od 2009. do 2015. godine</w:t>
        </w:r>
        <w:r w:rsidR="008C22AA">
          <w:rPr>
            <w:noProof/>
            <w:webHidden/>
          </w:rPr>
          <w:tab/>
        </w:r>
        <w:r w:rsidR="008C22AA">
          <w:rPr>
            <w:noProof/>
            <w:webHidden/>
          </w:rPr>
          <w:fldChar w:fldCharType="begin"/>
        </w:r>
        <w:r w:rsidR="008C22AA">
          <w:rPr>
            <w:noProof/>
            <w:webHidden/>
          </w:rPr>
          <w:instrText xml:space="preserve"> PAGEREF _Toc468277428 \h </w:instrText>
        </w:r>
        <w:r w:rsidR="008C22AA">
          <w:rPr>
            <w:noProof/>
            <w:webHidden/>
          </w:rPr>
        </w:r>
        <w:r w:rsidR="008C22AA">
          <w:rPr>
            <w:noProof/>
            <w:webHidden/>
          </w:rPr>
          <w:fldChar w:fldCharType="separate"/>
        </w:r>
        <w:r w:rsidR="008C22AA">
          <w:rPr>
            <w:noProof/>
            <w:webHidden/>
          </w:rPr>
          <w:t>37</w:t>
        </w:r>
        <w:r w:rsidR="008C22AA">
          <w:rPr>
            <w:noProof/>
            <w:webHidden/>
          </w:rPr>
          <w:fldChar w:fldCharType="end"/>
        </w:r>
      </w:hyperlink>
    </w:p>
    <w:p w14:paraId="637FC005"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29" w:history="1">
        <w:r w:rsidR="008C22AA" w:rsidRPr="00E316D7">
          <w:rPr>
            <w:rStyle w:val="Hyperlink"/>
            <w:b/>
            <w:noProof/>
          </w:rPr>
          <w:t xml:space="preserve">Slika 4.25 </w:t>
        </w:r>
        <w:r w:rsidR="008C22AA" w:rsidRPr="00E316D7">
          <w:rPr>
            <w:rStyle w:val="Hyperlink"/>
            <w:noProof/>
          </w:rPr>
          <w:t>Prikaz trenda potrošnje prirodnog plina stambenog podsektora u vremenskom periodu od 2009. do 2015. godine</w:t>
        </w:r>
        <w:r w:rsidR="008C22AA">
          <w:rPr>
            <w:noProof/>
            <w:webHidden/>
          </w:rPr>
          <w:tab/>
        </w:r>
        <w:r w:rsidR="008C22AA">
          <w:rPr>
            <w:noProof/>
            <w:webHidden/>
          </w:rPr>
          <w:fldChar w:fldCharType="begin"/>
        </w:r>
        <w:r w:rsidR="008C22AA">
          <w:rPr>
            <w:noProof/>
            <w:webHidden/>
          </w:rPr>
          <w:instrText xml:space="preserve"> PAGEREF _Toc468277429 \h </w:instrText>
        </w:r>
        <w:r w:rsidR="008C22AA">
          <w:rPr>
            <w:noProof/>
            <w:webHidden/>
          </w:rPr>
        </w:r>
        <w:r w:rsidR="008C22AA">
          <w:rPr>
            <w:noProof/>
            <w:webHidden/>
          </w:rPr>
          <w:fldChar w:fldCharType="separate"/>
        </w:r>
        <w:r w:rsidR="008C22AA">
          <w:rPr>
            <w:noProof/>
            <w:webHidden/>
          </w:rPr>
          <w:t>38</w:t>
        </w:r>
        <w:r w:rsidR="008C22AA">
          <w:rPr>
            <w:noProof/>
            <w:webHidden/>
          </w:rPr>
          <w:fldChar w:fldCharType="end"/>
        </w:r>
      </w:hyperlink>
    </w:p>
    <w:p w14:paraId="36F67C0C"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30" w:history="1">
        <w:r w:rsidR="008C22AA" w:rsidRPr="00E316D7">
          <w:rPr>
            <w:rStyle w:val="Hyperlink"/>
            <w:b/>
            <w:noProof/>
          </w:rPr>
          <w:t xml:space="preserve">Slika 4.26 </w:t>
        </w:r>
        <w:r w:rsidR="008C22AA" w:rsidRPr="00E316D7">
          <w:rPr>
            <w:rStyle w:val="Hyperlink"/>
            <w:noProof/>
          </w:rPr>
          <w:t>Grijana površina preko toplane u stambenom podsektoru Grada Zagreba u vremenskom periodu od 2008. do 2015. godine</w:t>
        </w:r>
        <w:r w:rsidR="008C22AA">
          <w:rPr>
            <w:noProof/>
            <w:webHidden/>
          </w:rPr>
          <w:tab/>
        </w:r>
        <w:r w:rsidR="008C22AA">
          <w:rPr>
            <w:noProof/>
            <w:webHidden/>
          </w:rPr>
          <w:fldChar w:fldCharType="begin"/>
        </w:r>
        <w:r w:rsidR="008C22AA">
          <w:rPr>
            <w:noProof/>
            <w:webHidden/>
          </w:rPr>
          <w:instrText xml:space="preserve"> PAGEREF _Toc468277430 \h </w:instrText>
        </w:r>
        <w:r w:rsidR="008C22AA">
          <w:rPr>
            <w:noProof/>
            <w:webHidden/>
          </w:rPr>
        </w:r>
        <w:r w:rsidR="008C22AA">
          <w:rPr>
            <w:noProof/>
            <w:webHidden/>
          </w:rPr>
          <w:fldChar w:fldCharType="separate"/>
        </w:r>
        <w:r w:rsidR="008C22AA">
          <w:rPr>
            <w:noProof/>
            <w:webHidden/>
          </w:rPr>
          <w:t>38</w:t>
        </w:r>
        <w:r w:rsidR="008C22AA">
          <w:rPr>
            <w:noProof/>
            <w:webHidden/>
          </w:rPr>
          <w:fldChar w:fldCharType="end"/>
        </w:r>
      </w:hyperlink>
    </w:p>
    <w:p w14:paraId="2901B858"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31" w:history="1">
        <w:r w:rsidR="008C22AA" w:rsidRPr="00E316D7">
          <w:rPr>
            <w:rStyle w:val="Hyperlink"/>
            <w:b/>
            <w:noProof/>
          </w:rPr>
          <w:t>Slika 4.27</w:t>
        </w:r>
        <w:r w:rsidR="008C22AA" w:rsidRPr="00E316D7">
          <w:rPr>
            <w:rStyle w:val="Hyperlink"/>
            <w:noProof/>
          </w:rPr>
          <w:t xml:space="preserve"> Udio pojedinih energenta u ukupnoj potrošnji energije u komercijalnom i uslužnom podsektoru Grada Zagreba u 2015.</w:t>
        </w:r>
        <w:r w:rsidR="008C22AA">
          <w:rPr>
            <w:noProof/>
            <w:webHidden/>
          </w:rPr>
          <w:tab/>
        </w:r>
        <w:r w:rsidR="008C22AA">
          <w:rPr>
            <w:noProof/>
            <w:webHidden/>
          </w:rPr>
          <w:fldChar w:fldCharType="begin"/>
        </w:r>
        <w:r w:rsidR="008C22AA">
          <w:rPr>
            <w:noProof/>
            <w:webHidden/>
          </w:rPr>
          <w:instrText xml:space="preserve"> PAGEREF _Toc468277431 \h </w:instrText>
        </w:r>
        <w:r w:rsidR="008C22AA">
          <w:rPr>
            <w:noProof/>
            <w:webHidden/>
          </w:rPr>
        </w:r>
        <w:r w:rsidR="008C22AA">
          <w:rPr>
            <w:noProof/>
            <w:webHidden/>
          </w:rPr>
          <w:fldChar w:fldCharType="separate"/>
        </w:r>
        <w:r w:rsidR="008C22AA">
          <w:rPr>
            <w:noProof/>
            <w:webHidden/>
          </w:rPr>
          <w:t>40</w:t>
        </w:r>
        <w:r w:rsidR="008C22AA">
          <w:rPr>
            <w:noProof/>
            <w:webHidden/>
          </w:rPr>
          <w:fldChar w:fldCharType="end"/>
        </w:r>
      </w:hyperlink>
    </w:p>
    <w:p w14:paraId="4209D598"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32" w:history="1">
        <w:r w:rsidR="008C22AA" w:rsidRPr="00E316D7">
          <w:rPr>
            <w:rStyle w:val="Hyperlink"/>
            <w:b/>
            <w:noProof/>
          </w:rPr>
          <w:t xml:space="preserve">Slika 4.28 </w:t>
        </w:r>
        <w:r w:rsidR="008C22AA" w:rsidRPr="00E316D7">
          <w:rPr>
            <w:rStyle w:val="Hyperlink"/>
            <w:noProof/>
          </w:rPr>
          <w:t>Površina sektora zgradarstva Grada Zagreba obuhvaćena energetskom analizom</w:t>
        </w:r>
        <w:r w:rsidR="008C22AA">
          <w:rPr>
            <w:noProof/>
            <w:webHidden/>
          </w:rPr>
          <w:tab/>
        </w:r>
        <w:r w:rsidR="008C22AA">
          <w:rPr>
            <w:noProof/>
            <w:webHidden/>
          </w:rPr>
          <w:fldChar w:fldCharType="begin"/>
        </w:r>
        <w:r w:rsidR="008C22AA">
          <w:rPr>
            <w:noProof/>
            <w:webHidden/>
          </w:rPr>
          <w:instrText xml:space="preserve"> PAGEREF _Toc468277432 \h </w:instrText>
        </w:r>
        <w:r w:rsidR="008C22AA">
          <w:rPr>
            <w:noProof/>
            <w:webHidden/>
          </w:rPr>
        </w:r>
        <w:r w:rsidR="008C22AA">
          <w:rPr>
            <w:noProof/>
            <w:webHidden/>
          </w:rPr>
          <w:fldChar w:fldCharType="separate"/>
        </w:r>
        <w:r w:rsidR="008C22AA">
          <w:rPr>
            <w:noProof/>
            <w:webHidden/>
          </w:rPr>
          <w:t>41</w:t>
        </w:r>
        <w:r w:rsidR="008C22AA">
          <w:rPr>
            <w:noProof/>
            <w:webHidden/>
          </w:rPr>
          <w:fldChar w:fldCharType="end"/>
        </w:r>
      </w:hyperlink>
    </w:p>
    <w:p w14:paraId="0E5408F4"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33" w:history="1">
        <w:r w:rsidR="008C22AA" w:rsidRPr="00E316D7">
          <w:rPr>
            <w:rStyle w:val="Hyperlink"/>
            <w:b/>
            <w:noProof/>
          </w:rPr>
          <w:t xml:space="preserve">Slika 4.29 </w:t>
        </w:r>
        <w:r w:rsidR="008C22AA" w:rsidRPr="00E316D7">
          <w:rPr>
            <w:rStyle w:val="Hyperlink"/>
            <w:noProof/>
          </w:rPr>
          <w:t>Struktura potrošnje energije sektora zgradarstvo po podsektorima u 2015. godini</w:t>
        </w:r>
        <w:r w:rsidR="008C22AA">
          <w:rPr>
            <w:noProof/>
            <w:webHidden/>
          </w:rPr>
          <w:tab/>
        </w:r>
        <w:r w:rsidR="008C22AA">
          <w:rPr>
            <w:noProof/>
            <w:webHidden/>
          </w:rPr>
          <w:fldChar w:fldCharType="begin"/>
        </w:r>
        <w:r w:rsidR="008C22AA">
          <w:rPr>
            <w:noProof/>
            <w:webHidden/>
          </w:rPr>
          <w:instrText xml:space="preserve"> PAGEREF _Toc468277433 \h </w:instrText>
        </w:r>
        <w:r w:rsidR="008C22AA">
          <w:rPr>
            <w:noProof/>
            <w:webHidden/>
          </w:rPr>
        </w:r>
        <w:r w:rsidR="008C22AA">
          <w:rPr>
            <w:noProof/>
            <w:webHidden/>
          </w:rPr>
          <w:fldChar w:fldCharType="separate"/>
        </w:r>
        <w:r w:rsidR="008C22AA">
          <w:rPr>
            <w:noProof/>
            <w:webHidden/>
          </w:rPr>
          <w:t>42</w:t>
        </w:r>
        <w:r w:rsidR="008C22AA">
          <w:rPr>
            <w:noProof/>
            <w:webHidden/>
          </w:rPr>
          <w:fldChar w:fldCharType="end"/>
        </w:r>
      </w:hyperlink>
    </w:p>
    <w:p w14:paraId="48E83F39"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34" w:history="1">
        <w:r w:rsidR="008C22AA" w:rsidRPr="00E316D7">
          <w:rPr>
            <w:rStyle w:val="Hyperlink"/>
            <w:b/>
            <w:noProof/>
          </w:rPr>
          <w:t xml:space="preserve">Slika 4.30 </w:t>
        </w:r>
        <w:r w:rsidR="008C22AA" w:rsidRPr="00E316D7">
          <w:rPr>
            <w:rStyle w:val="Hyperlink"/>
            <w:noProof/>
          </w:rPr>
          <w:t>Struktura potrošnje električne energije sektora zgradarstvo po podsektorima u 2015. godini</w:t>
        </w:r>
        <w:r w:rsidR="008C22AA">
          <w:rPr>
            <w:noProof/>
            <w:webHidden/>
          </w:rPr>
          <w:tab/>
        </w:r>
        <w:r w:rsidR="008C22AA">
          <w:rPr>
            <w:noProof/>
            <w:webHidden/>
          </w:rPr>
          <w:fldChar w:fldCharType="begin"/>
        </w:r>
        <w:r w:rsidR="008C22AA">
          <w:rPr>
            <w:noProof/>
            <w:webHidden/>
          </w:rPr>
          <w:instrText xml:space="preserve"> PAGEREF _Toc468277434 \h </w:instrText>
        </w:r>
        <w:r w:rsidR="008C22AA">
          <w:rPr>
            <w:noProof/>
            <w:webHidden/>
          </w:rPr>
        </w:r>
        <w:r w:rsidR="008C22AA">
          <w:rPr>
            <w:noProof/>
            <w:webHidden/>
          </w:rPr>
          <w:fldChar w:fldCharType="separate"/>
        </w:r>
        <w:r w:rsidR="008C22AA">
          <w:rPr>
            <w:noProof/>
            <w:webHidden/>
          </w:rPr>
          <w:t>42</w:t>
        </w:r>
        <w:r w:rsidR="008C22AA">
          <w:rPr>
            <w:noProof/>
            <w:webHidden/>
          </w:rPr>
          <w:fldChar w:fldCharType="end"/>
        </w:r>
      </w:hyperlink>
    </w:p>
    <w:p w14:paraId="10CE4B98"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35" w:history="1">
        <w:r w:rsidR="008C22AA" w:rsidRPr="00E316D7">
          <w:rPr>
            <w:rStyle w:val="Hyperlink"/>
            <w:b/>
            <w:noProof/>
          </w:rPr>
          <w:t xml:space="preserve">Slika 4.31 </w:t>
        </w:r>
        <w:r w:rsidR="008C22AA" w:rsidRPr="00E316D7">
          <w:rPr>
            <w:rStyle w:val="Hyperlink"/>
            <w:noProof/>
          </w:rPr>
          <w:t>Struktura potrošnje toplinske energije sektora zgradarstvo po podsektorima u 2015. godini</w:t>
        </w:r>
        <w:r w:rsidR="008C22AA">
          <w:rPr>
            <w:noProof/>
            <w:webHidden/>
          </w:rPr>
          <w:tab/>
        </w:r>
        <w:r w:rsidR="008C22AA">
          <w:rPr>
            <w:noProof/>
            <w:webHidden/>
          </w:rPr>
          <w:fldChar w:fldCharType="begin"/>
        </w:r>
        <w:r w:rsidR="008C22AA">
          <w:rPr>
            <w:noProof/>
            <w:webHidden/>
          </w:rPr>
          <w:instrText xml:space="preserve"> PAGEREF _Toc468277435 \h </w:instrText>
        </w:r>
        <w:r w:rsidR="008C22AA">
          <w:rPr>
            <w:noProof/>
            <w:webHidden/>
          </w:rPr>
        </w:r>
        <w:r w:rsidR="008C22AA">
          <w:rPr>
            <w:noProof/>
            <w:webHidden/>
          </w:rPr>
          <w:fldChar w:fldCharType="separate"/>
        </w:r>
        <w:r w:rsidR="008C22AA">
          <w:rPr>
            <w:noProof/>
            <w:webHidden/>
          </w:rPr>
          <w:t>43</w:t>
        </w:r>
        <w:r w:rsidR="008C22AA">
          <w:rPr>
            <w:noProof/>
            <w:webHidden/>
          </w:rPr>
          <w:fldChar w:fldCharType="end"/>
        </w:r>
      </w:hyperlink>
    </w:p>
    <w:p w14:paraId="5536D08C"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36" w:history="1">
        <w:r w:rsidR="008C22AA" w:rsidRPr="00E316D7">
          <w:rPr>
            <w:rStyle w:val="Hyperlink"/>
            <w:b/>
            <w:noProof/>
          </w:rPr>
          <w:t xml:space="preserve">Slika 4.32 </w:t>
        </w:r>
        <w:r w:rsidR="008C22AA" w:rsidRPr="00E316D7">
          <w:rPr>
            <w:rStyle w:val="Hyperlink"/>
            <w:noProof/>
          </w:rPr>
          <w:t>Struktura potrošnje energije sektora zgradarstvo po energentima u 2015. godini</w:t>
        </w:r>
        <w:r w:rsidR="008C22AA">
          <w:rPr>
            <w:noProof/>
            <w:webHidden/>
          </w:rPr>
          <w:tab/>
        </w:r>
        <w:r w:rsidR="008C22AA">
          <w:rPr>
            <w:noProof/>
            <w:webHidden/>
          </w:rPr>
          <w:fldChar w:fldCharType="begin"/>
        </w:r>
        <w:r w:rsidR="008C22AA">
          <w:rPr>
            <w:noProof/>
            <w:webHidden/>
          </w:rPr>
          <w:instrText xml:space="preserve"> PAGEREF _Toc468277436 \h </w:instrText>
        </w:r>
        <w:r w:rsidR="008C22AA">
          <w:rPr>
            <w:noProof/>
            <w:webHidden/>
          </w:rPr>
        </w:r>
        <w:r w:rsidR="008C22AA">
          <w:rPr>
            <w:noProof/>
            <w:webHidden/>
          </w:rPr>
          <w:fldChar w:fldCharType="separate"/>
        </w:r>
        <w:r w:rsidR="008C22AA">
          <w:rPr>
            <w:noProof/>
            <w:webHidden/>
          </w:rPr>
          <w:t>43</w:t>
        </w:r>
        <w:r w:rsidR="008C22AA">
          <w:rPr>
            <w:noProof/>
            <w:webHidden/>
          </w:rPr>
          <w:fldChar w:fldCharType="end"/>
        </w:r>
      </w:hyperlink>
    </w:p>
    <w:p w14:paraId="32EB6BE5"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37" w:history="1">
        <w:r w:rsidR="008C22AA" w:rsidRPr="00E316D7">
          <w:rPr>
            <w:rStyle w:val="Hyperlink"/>
            <w:rFonts w:eastAsia="Calibri"/>
            <w:b/>
            <w:bCs/>
            <w:noProof/>
          </w:rPr>
          <w:t xml:space="preserve">Slika 5.1 </w:t>
        </w:r>
        <w:r w:rsidR="008C22AA" w:rsidRPr="00E316D7">
          <w:rPr>
            <w:rStyle w:val="Hyperlink"/>
            <w:rFonts w:eastAsia="Calibri"/>
            <w:bCs/>
            <w:noProof/>
          </w:rPr>
          <w:t>Struktura voznog parka podsektora vozni park u vlasništvu i korištenju Grada Zagreba prema namjeni vozila</w:t>
        </w:r>
        <w:r w:rsidR="008C22AA">
          <w:rPr>
            <w:noProof/>
            <w:webHidden/>
          </w:rPr>
          <w:tab/>
        </w:r>
        <w:r w:rsidR="008C22AA">
          <w:rPr>
            <w:noProof/>
            <w:webHidden/>
          </w:rPr>
          <w:fldChar w:fldCharType="begin"/>
        </w:r>
        <w:r w:rsidR="008C22AA">
          <w:rPr>
            <w:noProof/>
            <w:webHidden/>
          </w:rPr>
          <w:instrText xml:space="preserve"> PAGEREF _Toc468277437 \h </w:instrText>
        </w:r>
        <w:r w:rsidR="008C22AA">
          <w:rPr>
            <w:noProof/>
            <w:webHidden/>
          </w:rPr>
        </w:r>
        <w:r w:rsidR="008C22AA">
          <w:rPr>
            <w:noProof/>
            <w:webHidden/>
          </w:rPr>
          <w:fldChar w:fldCharType="separate"/>
        </w:r>
        <w:r w:rsidR="008C22AA">
          <w:rPr>
            <w:noProof/>
            <w:webHidden/>
          </w:rPr>
          <w:t>44</w:t>
        </w:r>
        <w:r w:rsidR="008C22AA">
          <w:rPr>
            <w:noProof/>
            <w:webHidden/>
          </w:rPr>
          <w:fldChar w:fldCharType="end"/>
        </w:r>
      </w:hyperlink>
    </w:p>
    <w:p w14:paraId="0C96EC4A"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38" w:history="1">
        <w:r w:rsidR="008C22AA" w:rsidRPr="00E316D7">
          <w:rPr>
            <w:rStyle w:val="Hyperlink"/>
            <w:rFonts w:eastAsia="Calibri"/>
            <w:b/>
            <w:bCs/>
            <w:noProof/>
          </w:rPr>
          <w:t xml:space="preserve">Slika 5.2 </w:t>
        </w:r>
        <w:r w:rsidR="008C22AA" w:rsidRPr="00E316D7">
          <w:rPr>
            <w:rStyle w:val="Hyperlink"/>
            <w:rFonts w:eastAsia="Calibri"/>
            <w:bCs/>
            <w:noProof/>
          </w:rPr>
          <w:t>Struktura potrošnje pogonskog goriva voznog parka u vlasništvu i korištenju Grada Zagreba</w:t>
        </w:r>
        <w:r w:rsidR="008C22AA">
          <w:rPr>
            <w:noProof/>
            <w:webHidden/>
          </w:rPr>
          <w:tab/>
        </w:r>
        <w:r w:rsidR="008C22AA">
          <w:rPr>
            <w:noProof/>
            <w:webHidden/>
          </w:rPr>
          <w:fldChar w:fldCharType="begin"/>
        </w:r>
        <w:r w:rsidR="008C22AA">
          <w:rPr>
            <w:noProof/>
            <w:webHidden/>
          </w:rPr>
          <w:instrText xml:space="preserve"> PAGEREF _Toc468277438 \h </w:instrText>
        </w:r>
        <w:r w:rsidR="008C22AA">
          <w:rPr>
            <w:noProof/>
            <w:webHidden/>
          </w:rPr>
        </w:r>
        <w:r w:rsidR="008C22AA">
          <w:rPr>
            <w:noProof/>
            <w:webHidden/>
          </w:rPr>
          <w:fldChar w:fldCharType="separate"/>
        </w:r>
        <w:r w:rsidR="008C22AA">
          <w:rPr>
            <w:noProof/>
            <w:webHidden/>
          </w:rPr>
          <w:t>45</w:t>
        </w:r>
        <w:r w:rsidR="008C22AA">
          <w:rPr>
            <w:noProof/>
            <w:webHidden/>
          </w:rPr>
          <w:fldChar w:fldCharType="end"/>
        </w:r>
      </w:hyperlink>
    </w:p>
    <w:p w14:paraId="14F379EC"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39" w:history="1">
        <w:r w:rsidR="008C22AA" w:rsidRPr="00E316D7">
          <w:rPr>
            <w:rStyle w:val="Hyperlink"/>
            <w:rFonts w:eastAsia="Calibri"/>
            <w:b/>
            <w:bCs/>
            <w:noProof/>
          </w:rPr>
          <w:t>Slika 5.3</w:t>
        </w:r>
        <w:r w:rsidR="008C22AA" w:rsidRPr="00E316D7">
          <w:rPr>
            <w:rStyle w:val="Hyperlink"/>
            <w:noProof/>
          </w:rPr>
          <w:t xml:space="preserve"> Udio prevezenih putnika tramvajem, autobusom i ostalim javnim prijevozom u ukupnom broju prevezenih putnika u organizaciji ZET-a</w:t>
        </w:r>
        <w:r w:rsidR="008C22AA">
          <w:rPr>
            <w:noProof/>
            <w:webHidden/>
          </w:rPr>
          <w:tab/>
        </w:r>
        <w:r w:rsidR="008C22AA">
          <w:rPr>
            <w:noProof/>
            <w:webHidden/>
          </w:rPr>
          <w:fldChar w:fldCharType="begin"/>
        </w:r>
        <w:r w:rsidR="008C22AA">
          <w:rPr>
            <w:noProof/>
            <w:webHidden/>
          </w:rPr>
          <w:instrText xml:space="preserve"> PAGEREF _Toc468277439 \h </w:instrText>
        </w:r>
        <w:r w:rsidR="008C22AA">
          <w:rPr>
            <w:noProof/>
            <w:webHidden/>
          </w:rPr>
        </w:r>
        <w:r w:rsidR="008C22AA">
          <w:rPr>
            <w:noProof/>
            <w:webHidden/>
          </w:rPr>
          <w:fldChar w:fldCharType="separate"/>
        </w:r>
        <w:r w:rsidR="008C22AA">
          <w:rPr>
            <w:noProof/>
            <w:webHidden/>
          </w:rPr>
          <w:t>47</w:t>
        </w:r>
        <w:r w:rsidR="008C22AA">
          <w:rPr>
            <w:noProof/>
            <w:webHidden/>
          </w:rPr>
          <w:fldChar w:fldCharType="end"/>
        </w:r>
      </w:hyperlink>
    </w:p>
    <w:p w14:paraId="5B991E8F"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40" w:history="1">
        <w:r w:rsidR="008C22AA" w:rsidRPr="00E316D7">
          <w:rPr>
            <w:rStyle w:val="Hyperlink"/>
            <w:rFonts w:eastAsia="Calibri"/>
            <w:b/>
            <w:bCs/>
            <w:noProof/>
          </w:rPr>
          <w:t xml:space="preserve">Slika 5.4 </w:t>
        </w:r>
        <w:r w:rsidR="008C22AA" w:rsidRPr="00E316D7">
          <w:rPr>
            <w:rStyle w:val="Hyperlink"/>
            <w:rFonts w:eastAsia="Calibri"/>
            <w:bCs/>
            <w:noProof/>
          </w:rPr>
          <w:t>Udio</w:t>
        </w:r>
        <w:r w:rsidR="008C22AA" w:rsidRPr="00E316D7">
          <w:rPr>
            <w:rStyle w:val="Hyperlink"/>
            <w:rFonts w:eastAsia="Calibri"/>
            <w:b/>
            <w:bCs/>
            <w:noProof/>
          </w:rPr>
          <w:t xml:space="preserve"> </w:t>
        </w:r>
        <w:r w:rsidR="008C22AA" w:rsidRPr="00E316D7">
          <w:rPr>
            <w:rStyle w:val="Hyperlink"/>
            <w:rFonts w:eastAsia="Calibri"/>
            <w:bCs/>
            <w:noProof/>
          </w:rPr>
          <w:t>potrošnje energije u javnom prijevozu putnika tramvajem, autobusom i ostalim javnim prijevozom u organizaciji ZET-a</w:t>
        </w:r>
        <w:r w:rsidR="008C22AA">
          <w:rPr>
            <w:noProof/>
            <w:webHidden/>
          </w:rPr>
          <w:tab/>
        </w:r>
        <w:r w:rsidR="008C22AA">
          <w:rPr>
            <w:noProof/>
            <w:webHidden/>
          </w:rPr>
          <w:fldChar w:fldCharType="begin"/>
        </w:r>
        <w:r w:rsidR="008C22AA">
          <w:rPr>
            <w:noProof/>
            <w:webHidden/>
          </w:rPr>
          <w:instrText xml:space="preserve"> PAGEREF _Toc468277440 \h </w:instrText>
        </w:r>
        <w:r w:rsidR="008C22AA">
          <w:rPr>
            <w:noProof/>
            <w:webHidden/>
          </w:rPr>
        </w:r>
        <w:r w:rsidR="008C22AA">
          <w:rPr>
            <w:noProof/>
            <w:webHidden/>
          </w:rPr>
          <w:fldChar w:fldCharType="separate"/>
        </w:r>
        <w:r w:rsidR="008C22AA">
          <w:rPr>
            <w:noProof/>
            <w:webHidden/>
          </w:rPr>
          <w:t>47</w:t>
        </w:r>
        <w:r w:rsidR="008C22AA">
          <w:rPr>
            <w:noProof/>
            <w:webHidden/>
          </w:rPr>
          <w:fldChar w:fldCharType="end"/>
        </w:r>
      </w:hyperlink>
    </w:p>
    <w:p w14:paraId="1C364D43"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41" w:history="1">
        <w:r w:rsidR="008C22AA" w:rsidRPr="00E316D7">
          <w:rPr>
            <w:rStyle w:val="Hyperlink"/>
            <w:rFonts w:eastAsia="Calibri"/>
            <w:b/>
            <w:bCs/>
            <w:noProof/>
          </w:rPr>
          <w:t xml:space="preserve">Slika 5.5 </w:t>
        </w:r>
        <w:r w:rsidR="008C22AA" w:rsidRPr="00E316D7">
          <w:rPr>
            <w:rStyle w:val="Hyperlink"/>
            <w:rFonts w:eastAsia="Calibri"/>
            <w:bCs/>
            <w:noProof/>
          </w:rPr>
          <w:t>Potrošnja energije prema vrsti pogonskog goriva u javnom prijevozu</w:t>
        </w:r>
        <w:r w:rsidR="008C22AA" w:rsidRPr="00E316D7">
          <w:rPr>
            <w:rStyle w:val="Hyperlink"/>
            <w:rFonts w:eastAsia="Calibri"/>
            <w:b/>
            <w:bCs/>
            <w:noProof/>
          </w:rPr>
          <w:t xml:space="preserve"> </w:t>
        </w:r>
        <w:r w:rsidR="008C22AA" w:rsidRPr="00E316D7">
          <w:rPr>
            <w:rStyle w:val="Hyperlink"/>
            <w:rFonts w:eastAsia="Calibri"/>
            <w:bCs/>
            <w:noProof/>
          </w:rPr>
          <w:t>putnika autobusom, tramvajem i ostalim javnim prijevozom u organizaciji ZET-a</w:t>
        </w:r>
        <w:r w:rsidR="008C22AA">
          <w:rPr>
            <w:noProof/>
            <w:webHidden/>
          </w:rPr>
          <w:tab/>
        </w:r>
        <w:r w:rsidR="008C22AA">
          <w:rPr>
            <w:noProof/>
            <w:webHidden/>
          </w:rPr>
          <w:fldChar w:fldCharType="begin"/>
        </w:r>
        <w:r w:rsidR="008C22AA">
          <w:rPr>
            <w:noProof/>
            <w:webHidden/>
          </w:rPr>
          <w:instrText xml:space="preserve"> PAGEREF _Toc468277441 \h </w:instrText>
        </w:r>
        <w:r w:rsidR="008C22AA">
          <w:rPr>
            <w:noProof/>
            <w:webHidden/>
          </w:rPr>
        </w:r>
        <w:r w:rsidR="008C22AA">
          <w:rPr>
            <w:noProof/>
            <w:webHidden/>
          </w:rPr>
          <w:fldChar w:fldCharType="separate"/>
        </w:r>
        <w:r w:rsidR="008C22AA">
          <w:rPr>
            <w:noProof/>
            <w:webHidden/>
          </w:rPr>
          <w:t>48</w:t>
        </w:r>
        <w:r w:rsidR="008C22AA">
          <w:rPr>
            <w:noProof/>
            <w:webHidden/>
          </w:rPr>
          <w:fldChar w:fldCharType="end"/>
        </w:r>
      </w:hyperlink>
    </w:p>
    <w:p w14:paraId="6A3EB9BC"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42" w:history="1">
        <w:r w:rsidR="008C22AA" w:rsidRPr="00E316D7">
          <w:rPr>
            <w:rStyle w:val="Hyperlink"/>
            <w:b/>
            <w:noProof/>
          </w:rPr>
          <w:t>Slika 5.6</w:t>
        </w:r>
        <w:r w:rsidR="008C22AA" w:rsidRPr="00E316D7">
          <w:rPr>
            <w:rStyle w:val="Hyperlink"/>
            <w:noProof/>
          </w:rPr>
          <w:t xml:space="preserve"> Broj prevezenih putnika u tisućama u tramvajskom prijevozu u vremenskom periodu od 2009. do 2015. godine</w:t>
        </w:r>
        <w:r w:rsidR="008C22AA">
          <w:rPr>
            <w:noProof/>
            <w:webHidden/>
          </w:rPr>
          <w:tab/>
        </w:r>
        <w:r w:rsidR="008C22AA">
          <w:rPr>
            <w:noProof/>
            <w:webHidden/>
          </w:rPr>
          <w:fldChar w:fldCharType="begin"/>
        </w:r>
        <w:r w:rsidR="008C22AA">
          <w:rPr>
            <w:noProof/>
            <w:webHidden/>
          </w:rPr>
          <w:instrText xml:space="preserve"> PAGEREF _Toc468277442 \h </w:instrText>
        </w:r>
        <w:r w:rsidR="008C22AA">
          <w:rPr>
            <w:noProof/>
            <w:webHidden/>
          </w:rPr>
        </w:r>
        <w:r w:rsidR="008C22AA">
          <w:rPr>
            <w:noProof/>
            <w:webHidden/>
          </w:rPr>
          <w:fldChar w:fldCharType="separate"/>
        </w:r>
        <w:r w:rsidR="008C22AA">
          <w:rPr>
            <w:noProof/>
            <w:webHidden/>
          </w:rPr>
          <w:t>49</w:t>
        </w:r>
        <w:r w:rsidR="008C22AA">
          <w:rPr>
            <w:noProof/>
            <w:webHidden/>
          </w:rPr>
          <w:fldChar w:fldCharType="end"/>
        </w:r>
      </w:hyperlink>
    </w:p>
    <w:p w14:paraId="03685C8F"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43" w:history="1">
        <w:r w:rsidR="008C22AA" w:rsidRPr="00E316D7">
          <w:rPr>
            <w:rStyle w:val="Hyperlink"/>
            <w:b/>
            <w:noProof/>
          </w:rPr>
          <w:t>Slika 5.7</w:t>
        </w:r>
        <w:r w:rsidR="008C22AA" w:rsidRPr="00E316D7">
          <w:rPr>
            <w:rStyle w:val="Hyperlink"/>
            <w:noProof/>
          </w:rPr>
          <w:t xml:space="preserve"> Prijeđeni kilometri u tisućama u tramvajskom prijevozu u vremenskom periodu od 2009. do 2015. godine</w:t>
        </w:r>
        <w:r w:rsidR="008C22AA">
          <w:rPr>
            <w:noProof/>
            <w:webHidden/>
          </w:rPr>
          <w:tab/>
        </w:r>
        <w:r w:rsidR="008C22AA">
          <w:rPr>
            <w:noProof/>
            <w:webHidden/>
          </w:rPr>
          <w:fldChar w:fldCharType="begin"/>
        </w:r>
        <w:r w:rsidR="008C22AA">
          <w:rPr>
            <w:noProof/>
            <w:webHidden/>
          </w:rPr>
          <w:instrText xml:space="preserve"> PAGEREF _Toc468277443 \h </w:instrText>
        </w:r>
        <w:r w:rsidR="008C22AA">
          <w:rPr>
            <w:noProof/>
            <w:webHidden/>
          </w:rPr>
        </w:r>
        <w:r w:rsidR="008C22AA">
          <w:rPr>
            <w:noProof/>
            <w:webHidden/>
          </w:rPr>
          <w:fldChar w:fldCharType="separate"/>
        </w:r>
        <w:r w:rsidR="008C22AA">
          <w:rPr>
            <w:noProof/>
            <w:webHidden/>
          </w:rPr>
          <w:t>50</w:t>
        </w:r>
        <w:r w:rsidR="008C22AA">
          <w:rPr>
            <w:noProof/>
            <w:webHidden/>
          </w:rPr>
          <w:fldChar w:fldCharType="end"/>
        </w:r>
      </w:hyperlink>
    </w:p>
    <w:p w14:paraId="55B385B5"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44" w:history="1">
        <w:r w:rsidR="008C22AA" w:rsidRPr="00E316D7">
          <w:rPr>
            <w:rStyle w:val="Hyperlink"/>
            <w:b/>
            <w:noProof/>
          </w:rPr>
          <w:t>Slika 5.8</w:t>
        </w:r>
        <w:r w:rsidR="008C22AA" w:rsidRPr="00E316D7">
          <w:rPr>
            <w:rStyle w:val="Hyperlink"/>
            <w:noProof/>
          </w:rPr>
          <w:t xml:space="preserve"> Broj prevezenih putnika u tramvajskom prijevozu po kilometru u vremenskom periodu od 2009. do 2015. godine</w:t>
        </w:r>
        <w:r w:rsidR="008C22AA">
          <w:rPr>
            <w:noProof/>
            <w:webHidden/>
          </w:rPr>
          <w:tab/>
        </w:r>
        <w:r w:rsidR="008C22AA">
          <w:rPr>
            <w:noProof/>
            <w:webHidden/>
          </w:rPr>
          <w:fldChar w:fldCharType="begin"/>
        </w:r>
        <w:r w:rsidR="008C22AA">
          <w:rPr>
            <w:noProof/>
            <w:webHidden/>
          </w:rPr>
          <w:instrText xml:space="preserve"> PAGEREF _Toc468277444 \h </w:instrText>
        </w:r>
        <w:r w:rsidR="008C22AA">
          <w:rPr>
            <w:noProof/>
            <w:webHidden/>
          </w:rPr>
        </w:r>
        <w:r w:rsidR="008C22AA">
          <w:rPr>
            <w:noProof/>
            <w:webHidden/>
          </w:rPr>
          <w:fldChar w:fldCharType="separate"/>
        </w:r>
        <w:r w:rsidR="008C22AA">
          <w:rPr>
            <w:noProof/>
            <w:webHidden/>
          </w:rPr>
          <w:t>50</w:t>
        </w:r>
        <w:r w:rsidR="008C22AA">
          <w:rPr>
            <w:noProof/>
            <w:webHidden/>
          </w:rPr>
          <w:fldChar w:fldCharType="end"/>
        </w:r>
      </w:hyperlink>
    </w:p>
    <w:p w14:paraId="631D4D97"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45" w:history="1">
        <w:r w:rsidR="008C22AA" w:rsidRPr="00E316D7">
          <w:rPr>
            <w:rStyle w:val="Hyperlink"/>
            <w:b/>
            <w:noProof/>
          </w:rPr>
          <w:t>Slika 5.9</w:t>
        </w:r>
        <w:r w:rsidR="008C22AA" w:rsidRPr="00E316D7">
          <w:rPr>
            <w:rStyle w:val="Hyperlink"/>
            <w:rFonts w:ascii="Century Gothic" w:eastAsia="Calibri" w:hAnsi="Century Gothic"/>
            <w:noProof/>
            <w:lang w:eastAsia="hr-HR"/>
          </w:rPr>
          <w:t xml:space="preserve"> </w:t>
        </w:r>
        <w:r w:rsidR="008C22AA" w:rsidRPr="00E316D7">
          <w:rPr>
            <w:rStyle w:val="Hyperlink"/>
            <w:noProof/>
          </w:rPr>
          <w:t>Kretanje broja raspoloživih mjesta u tramvajskom prijevozu u vremenskom periodu od 2009. do 2015. godine</w:t>
        </w:r>
        <w:r w:rsidR="008C22AA">
          <w:rPr>
            <w:noProof/>
            <w:webHidden/>
          </w:rPr>
          <w:tab/>
        </w:r>
        <w:r w:rsidR="008C22AA">
          <w:rPr>
            <w:noProof/>
            <w:webHidden/>
          </w:rPr>
          <w:fldChar w:fldCharType="begin"/>
        </w:r>
        <w:r w:rsidR="008C22AA">
          <w:rPr>
            <w:noProof/>
            <w:webHidden/>
          </w:rPr>
          <w:instrText xml:space="preserve"> PAGEREF _Toc468277445 \h </w:instrText>
        </w:r>
        <w:r w:rsidR="008C22AA">
          <w:rPr>
            <w:noProof/>
            <w:webHidden/>
          </w:rPr>
        </w:r>
        <w:r w:rsidR="008C22AA">
          <w:rPr>
            <w:noProof/>
            <w:webHidden/>
          </w:rPr>
          <w:fldChar w:fldCharType="separate"/>
        </w:r>
        <w:r w:rsidR="008C22AA">
          <w:rPr>
            <w:noProof/>
            <w:webHidden/>
          </w:rPr>
          <w:t>51</w:t>
        </w:r>
        <w:r w:rsidR="008C22AA">
          <w:rPr>
            <w:noProof/>
            <w:webHidden/>
          </w:rPr>
          <w:fldChar w:fldCharType="end"/>
        </w:r>
      </w:hyperlink>
    </w:p>
    <w:p w14:paraId="763675B7"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46" w:history="1">
        <w:r w:rsidR="008C22AA" w:rsidRPr="00E316D7">
          <w:rPr>
            <w:rStyle w:val="Hyperlink"/>
            <w:b/>
            <w:noProof/>
          </w:rPr>
          <w:t xml:space="preserve">Slika 5.10 </w:t>
        </w:r>
        <w:r w:rsidR="008C22AA" w:rsidRPr="00E316D7">
          <w:rPr>
            <w:rStyle w:val="Hyperlink"/>
            <w:noProof/>
          </w:rPr>
          <w:t>Broj prevezenih putnika u tisućama u autobusnom prijevozu u vremenskom periodu od 2009. do 2015. godine</w:t>
        </w:r>
        <w:r w:rsidR="008C22AA">
          <w:rPr>
            <w:noProof/>
            <w:webHidden/>
          </w:rPr>
          <w:tab/>
        </w:r>
        <w:r w:rsidR="008C22AA">
          <w:rPr>
            <w:noProof/>
            <w:webHidden/>
          </w:rPr>
          <w:fldChar w:fldCharType="begin"/>
        </w:r>
        <w:r w:rsidR="008C22AA">
          <w:rPr>
            <w:noProof/>
            <w:webHidden/>
          </w:rPr>
          <w:instrText xml:space="preserve"> PAGEREF _Toc468277446 \h </w:instrText>
        </w:r>
        <w:r w:rsidR="008C22AA">
          <w:rPr>
            <w:noProof/>
            <w:webHidden/>
          </w:rPr>
        </w:r>
        <w:r w:rsidR="008C22AA">
          <w:rPr>
            <w:noProof/>
            <w:webHidden/>
          </w:rPr>
          <w:fldChar w:fldCharType="separate"/>
        </w:r>
        <w:r w:rsidR="008C22AA">
          <w:rPr>
            <w:noProof/>
            <w:webHidden/>
          </w:rPr>
          <w:t>52</w:t>
        </w:r>
        <w:r w:rsidR="008C22AA">
          <w:rPr>
            <w:noProof/>
            <w:webHidden/>
          </w:rPr>
          <w:fldChar w:fldCharType="end"/>
        </w:r>
      </w:hyperlink>
    </w:p>
    <w:p w14:paraId="224EE1D9"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47" w:history="1">
        <w:r w:rsidR="008C22AA" w:rsidRPr="00E316D7">
          <w:rPr>
            <w:rStyle w:val="Hyperlink"/>
            <w:b/>
            <w:iCs/>
            <w:noProof/>
          </w:rPr>
          <w:t xml:space="preserve">Slika 5.11 </w:t>
        </w:r>
        <w:r w:rsidR="008C22AA" w:rsidRPr="00E316D7">
          <w:rPr>
            <w:rStyle w:val="Hyperlink"/>
            <w:iCs/>
            <w:noProof/>
          </w:rPr>
          <w:t>Prijeđeni kilometri u tisućama u autobusnom prijevozu u razdoblju od 2009. do 2015. godine</w:t>
        </w:r>
        <w:r w:rsidR="008C22AA">
          <w:rPr>
            <w:noProof/>
            <w:webHidden/>
          </w:rPr>
          <w:tab/>
        </w:r>
        <w:r w:rsidR="008C22AA">
          <w:rPr>
            <w:noProof/>
            <w:webHidden/>
          </w:rPr>
          <w:fldChar w:fldCharType="begin"/>
        </w:r>
        <w:r w:rsidR="008C22AA">
          <w:rPr>
            <w:noProof/>
            <w:webHidden/>
          </w:rPr>
          <w:instrText xml:space="preserve"> PAGEREF _Toc468277447 \h </w:instrText>
        </w:r>
        <w:r w:rsidR="008C22AA">
          <w:rPr>
            <w:noProof/>
            <w:webHidden/>
          </w:rPr>
        </w:r>
        <w:r w:rsidR="008C22AA">
          <w:rPr>
            <w:noProof/>
            <w:webHidden/>
          </w:rPr>
          <w:fldChar w:fldCharType="separate"/>
        </w:r>
        <w:r w:rsidR="008C22AA">
          <w:rPr>
            <w:noProof/>
            <w:webHidden/>
          </w:rPr>
          <w:t>52</w:t>
        </w:r>
        <w:r w:rsidR="008C22AA">
          <w:rPr>
            <w:noProof/>
            <w:webHidden/>
          </w:rPr>
          <w:fldChar w:fldCharType="end"/>
        </w:r>
      </w:hyperlink>
    </w:p>
    <w:p w14:paraId="473AF8C1"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48" w:history="1">
        <w:r w:rsidR="008C22AA" w:rsidRPr="00E316D7">
          <w:rPr>
            <w:rStyle w:val="Hyperlink"/>
            <w:b/>
            <w:iCs/>
            <w:noProof/>
          </w:rPr>
          <w:t xml:space="preserve">Slika 5.12 </w:t>
        </w:r>
        <w:r w:rsidR="008C22AA" w:rsidRPr="00E316D7">
          <w:rPr>
            <w:rStyle w:val="Hyperlink"/>
            <w:iCs/>
            <w:noProof/>
          </w:rPr>
          <w:t>Broj prevezenih putnika u autobusnom prijevozu po kilometru u vremenskom periodu od 2009. do 2015. godine</w:t>
        </w:r>
        <w:r w:rsidR="008C22AA">
          <w:rPr>
            <w:noProof/>
            <w:webHidden/>
          </w:rPr>
          <w:tab/>
        </w:r>
        <w:r w:rsidR="008C22AA">
          <w:rPr>
            <w:noProof/>
            <w:webHidden/>
          </w:rPr>
          <w:fldChar w:fldCharType="begin"/>
        </w:r>
        <w:r w:rsidR="008C22AA">
          <w:rPr>
            <w:noProof/>
            <w:webHidden/>
          </w:rPr>
          <w:instrText xml:space="preserve"> PAGEREF _Toc468277448 \h </w:instrText>
        </w:r>
        <w:r w:rsidR="008C22AA">
          <w:rPr>
            <w:noProof/>
            <w:webHidden/>
          </w:rPr>
        </w:r>
        <w:r w:rsidR="008C22AA">
          <w:rPr>
            <w:noProof/>
            <w:webHidden/>
          </w:rPr>
          <w:fldChar w:fldCharType="separate"/>
        </w:r>
        <w:r w:rsidR="008C22AA">
          <w:rPr>
            <w:noProof/>
            <w:webHidden/>
          </w:rPr>
          <w:t>53</w:t>
        </w:r>
        <w:r w:rsidR="008C22AA">
          <w:rPr>
            <w:noProof/>
            <w:webHidden/>
          </w:rPr>
          <w:fldChar w:fldCharType="end"/>
        </w:r>
      </w:hyperlink>
    </w:p>
    <w:p w14:paraId="3C65E36C"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49" w:history="1">
        <w:r w:rsidR="008C22AA" w:rsidRPr="00E316D7">
          <w:rPr>
            <w:rStyle w:val="Hyperlink"/>
            <w:b/>
            <w:noProof/>
          </w:rPr>
          <w:t xml:space="preserve">Slika 5.13 </w:t>
        </w:r>
        <w:r w:rsidR="008C22AA" w:rsidRPr="00E316D7">
          <w:rPr>
            <w:rStyle w:val="Hyperlink"/>
            <w:noProof/>
          </w:rPr>
          <w:t>Broj raspoloživih mjesta u autobusnom prijevozu u vremenskom periodu od 2009. do 2015. godine</w:t>
        </w:r>
        <w:r w:rsidR="008C22AA">
          <w:rPr>
            <w:noProof/>
            <w:webHidden/>
          </w:rPr>
          <w:tab/>
        </w:r>
        <w:r w:rsidR="008C22AA">
          <w:rPr>
            <w:noProof/>
            <w:webHidden/>
          </w:rPr>
          <w:fldChar w:fldCharType="begin"/>
        </w:r>
        <w:r w:rsidR="008C22AA">
          <w:rPr>
            <w:noProof/>
            <w:webHidden/>
          </w:rPr>
          <w:instrText xml:space="preserve"> PAGEREF _Toc468277449 \h </w:instrText>
        </w:r>
        <w:r w:rsidR="008C22AA">
          <w:rPr>
            <w:noProof/>
            <w:webHidden/>
          </w:rPr>
        </w:r>
        <w:r w:rsidR="008C22AA">
          <w:rPr>
            <w:noProof/>
            <w:webHidden/>
          </w:rPr>
          <w:fldChar w:fldCharType="separate"/>
        </w:r>
        <w:r w:rsidR="008C22AA">
          <w:rPr>
            <w:noProof/>
            <w:webHidden/>
          </w:rPr>
          <w:t>53</w:t>
        </w:r>
        <w:r w:rsidR="008C22AA">
          <w:rPr>
            <w:noProof/>
            <w:webHidden/>
          </w:rPr>
          <w:fldChar w:fldCharType="end"/>
        </w:r>
      </w:hyperlink>
    </w:p>
    <w:p w14:paraId="2BD281E0"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50" w:history="1">
        <w:r w:rsidR="008C22AA" w:rsidRPr="00E316D7">
          <w:rPr>
            <w:rStyle w:val="Hyperlink"/>
            <w:b/>
            <w:iCs/>
            <w:noProof/>
          </w:rPr>
          <w:t xml:space="preserve">Slika 5.14 </w:t>
        </w:r>
        <w:r w:rsidR="008C22AA" w:rsidRPr="00E316D7">
          <w:rPr>
            <w:rStyle w:val="Hyperlink"/>
            <w:iCs/>
            <w:noProof/>
          </w:rPr>
          <w:t>Broj prevezenih putnika u školskom prijevozu u vremenskom periodu od 2009. do 2015. godine</w:t>
        </w:r>
        <w:r w:rsidR="008C22AA">
          <w:rPr>
            <w:noProof/>
            <w:webHidden/>
          </w:rPr>
          <w:tab/>
        </w:r>
        <w:r w:rsidR="008C22AA">
          <w:rPr>
            <w:noProof/>
            <w:webHidden/>
          </w:rPr>
          <w:fldChar w:fldCharType="begin"/>
        </w:r>
        <w:r w:rsidR="008C22AA">
          <w:rPr>
            <w:noProof/>
            <w:webHidden/>
          </w:rPr>
          <w:instrText xml:space="preserve"> PAGEREF _Toc468277450 \h </w:instrText>
        </w:r>
        <w:r w:rsidR="008C22AA">
          <w:rPr>
            <w:noProof/>
            <w:webHidden/>
          </w:rPr>
        </w:r>
        <w:r w:rsidR="008C22AA">
          <w:rPr>
            <w:noProof/>
            <w:webHidden/>
          </w:rPr>
          <w:fldChar w:fldCharType="separate"/>
        </w:r>
        <w:r w:rsidR="008C22AA">
          <w:rPr>
            <w:noProof/>
            <w:webHidden/>
          </w:rPr>
          <w:t>54</w:t>
        </w:r>
        <w:r w:rsidR="008C22AA">
          <w:rPr>
            <w:noProof/>
            <w:webHidden/>
          </w:rPr>
          <w:fldChar w:fldCharType="end"/>
        </w:r>
      </w:hyperlink>
    </w:p>
    <w:p w14:paraId="45CD2778"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51" w:history="1">
        <w:r w:rsidR="008C22AA" w:rsidRPr="00E316D7">
          <w:rPr>
            <w:rStyle w:val="Hyperlink"/>
            <w:b/>
            <w:iCs/>
            <w:noProof/>
          </w:rPr>
          <w:t xml:space="preserve">Slika 5.15 </w:t>
        </w:r>
        <w:r w:rsidR="008C22AA" w:rsidRPr="00E316D7">
          <w:rPr>
            <w:rStyle w:val="Hyperlink"/>
            <w:iCs/>
            <w:noProof/>
          </w:rPr>
          <w:t>Broj prevezenih putnika uspinjačom u vremenskom periodu od 2009. do 2015. godine</w:t>
        </w:r>
        <w:r w:rsidR="008C22AA">
          <w:rPr>
            <w:noProof/>
            <w:webHidden/>
          </w:rPr>
          <w:tab/>
        </w:r>
        <w:r w:rsidR="008C22AA">
          <w:rPr>
            <w:noProof/>
            <w:webHidden/>
          </w:rPr>
          <w:fldChar w:fldCharType="begin"/>
        </w:r>
        <w:r w:rsidR="008C22AA">
          <w:rPr>
            <w:noProof/>
            <w:webHidden/>
          </w:rPr>
          <w:instrText xml:space="preserve"> PAGEREF _Toc468277451 \h </w:instrText>
        </w:r>
        <w:r w:rsidR="008C22AA">
          <w:rPr>
            <w:noProof/>
            <w:webHidden/>
          </w:rPr>
        </w:r>
        <w:r w:rsidR="008C22AA">
          <w:rPr>
            <w:noProof/>
            <w:webHidden/>
          </w:rPr>
          <w:fldChar w:fldCharType="separate"/>
        </w:r>
        <w:r w:rsidR="008C22AA">
          <w:rPr>
            <w:noProof/>
            <w:webHidden/>
          </w:rPr>
          <w:t>55</w:t>
        </w:r>
        <w:r w:rsidR="008C22AA">
          <w:rPr>
            <w:noProof/>
            <w:webHidden/>
          </w:rPr>
          <w:fldChar w:fldCharType="end"/>
        </w:r>
      </w:hyperlink>
    </w:p>
    <w:p w14:paraId="6A70102A"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52" w:history="1">
        <w:r w:rsidR="008C22AA" w:rsidRPr="00E316D7">
          <w:rPr>
            <w:rStyle w:val="Hyperlink"/>
            <w:b/>
            <w:iCs/>
            <w:noProof/>
          </w:rPr>
          <w:t xml:space="preserve">Slika 5.16 </w:t>
        </w:r>
        <w:r w:rsidR="008C22AA" w:rsidRPr="00E316D7">
          <w:rPr>
            <w:rStyle w:val="Hyperlink"/>
            <w:iCs/>
            <w:noProof/>
          </w:rPr>
          <w:t>Broj prevezenih putnika u turističkom javnom prijevozu u vremenskom periodu od 2010. do 2015. godine</w:t>
        </w:r>
        <w:r w:rsidR="008C22AA">
          <w:rPr>
            <w:noProof/>
            <w:webHidden/>
          </w:rPr>
          <w:tab/>
        </w:r>
        <w:r w:rsidR="008C22AA">
          <w:rPr>
            <w:noProof/>
            <w:webHidden/>
          </w:rPr>
          <w:fldChar w:fldCharType="begin"/>
        </w:r>
        <w:r w:rsidR="008C22AA">
          <w:rPr>
            <w:noProof/>
            <w:webHidden/>
          </w:rPr>
          <w:instrText xml:space="preserve"> PAGEREF _Toc468277452 \h </w:instrText>
        </w:r>
        <w:r w:rsidR="008C22AA">
          <w:rPr>
            <w:noProof/>
            <w:webHidden/>
          </w:rPr>
        </w:r>
        <w:r w:rsidR="008C22AA">
          <w:rPr>
            <w:noProof/>
            <w:webHidden/>
          </w:rPr>
          <w:fldChar w:fldCharType="separate"/>
        </w:r>
        <w:r w:rsidR="008C22AA">
          <w:rPr>
            <w:noProof/>
            <w:webHidden/>
          </w:rPr>
          <w:t>55</w:t>
        </w:r>
        <w:r w:rsidR="008C22AA">
          <w:rPr>
            <w:noProof/>
            <w:webHidden/>
          </w:rPr>
          <w:fldChar w:fldCharType="end"/>
        </w:r>
      </w:hyperlink>
    </w:p>
    <w:p w14:paraId="682918D6"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53" w:history="1">
        <w:r w:rsidR="008C22AA" w:rsidRPr="00E316D7">
          <w:rPr>
            <w:rStyle w:val="Hyperlink"/>
            <w:rFonts w:eastAsia="Calibri"/>
            <w:b/>
            <w:bCs/>
            <w:noProof/>
          </w:rPr>
          <w:t xml:space="preserve">Slika 5.17 </w:t>
        </w:r>
        <w:r w:rsidR="008C22AA" w:rsidRPr="00E316D7">
          <w:rPr>
            <w:rStyle w:val="Hyperlink"/>
            <w:rFonts w:eastAsia="Calibri"/>
            <w:bCs/>
            <w:noProof/>
          </w:rPr>
          <w:t>Struktura registriranih osobnih i komercijalnih vozila prema vrsti vozila u Gradu Zagrebu u 2015. godini</w:t>
        </w:r>
        <w:r w:rsidR="008C22AA">
          <w:rPr>
            <w:noProof/>
            <w:webHidden/>
          </w:rPr>
          <w:tab/>
        </w:r>
        <w:r w:rsidR="008C22AA">
          <w:rPr>
            <w:noProof/>
            <w:webHidden/>
          </w:rPr>
          <w:fldChar w:fldCharType="begin"/>
        </w:r>
        <w:r w:rsidR="008C22AA">
          <w:rPr>
            <w:noProof/>
            <w:webHidden/>
          </w:rPr>
          <w:instrText xml:space="preserve"> PAGEREF _Toc468277453 \h </w:instrText>
        </w:r>
        <w:r w:rsidR="008C22AA">
          <w:rPr>
            <w:noProof/>
            <w:webHidden/>
          </w:rPr>
        </w:r>
        <w:r w:rsidR="008C22AA">
          <w:rPr>
            <w:noProof/>
            <w:webHidden/>
          </w:rPr>
          <w:fldChar w:fldCharType="separate"/>
        </w:r>
        <w:r w:rsidR="008C22AA">
          <w:rPr>
            <w:noProof/>
            <w:webHidden/>
          </w:rPr>
          <w:t>57</w:t>
        </w:r>
        <w:r w:rsidR="008C22AA">
          <w:rPr>
            <w:noProof/>
            <w:webHidden/>
          </w:rPr>
          <w:fldChar w:fldCharType="end"/>
        </w:r>
      </w:hyperlink>
    </w:p>
    <w:p w14:paraId="0BAAB41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54" w:history="1">
        <w:r w:rsidR="008C22AA" w:rsidRPr="00E316D7">
          <w:rPr>
            <w:rStyle w:val="Hyperlink"/>
            <w:rFonts w:eastAsia="Calibri"/>
            <w:b/>
            <w:bCs/>
            <w:noProof/>
          </w:rPr>
          <w:t xml:space="preserve">Slika 5.18 </w:t>
        </w:r>
        <w:r w:rsidR="008C22AA" w:rsidRPr="00E316D7">
          <w:rPr>
            <w:rStyle w:val="Hyperlink"/>
            <w:rFonts w:eastAsia="Calibri"/>
            <w:bCs/>
            <w:noProof/>
          </w:rPr>
          <w:t>Struktura registriranih osobnih i komercijalnih vozila prema vrsti pogonskog goriva u Gradu Zagrebu u 2015. godini</w:t>
        </w:r>
        <w:r w:rsidR="008C22AA">
          <w:rPr>
            <w:noProof/>
            <w:webHidden/>
          </w:rPr>
          <w:tab/>
        </w:r>
        <w:r w:rsidR="008C22AA">
          <w:rPr>
            <w:noProof/>
            <w:webHidden/>
          </w:rPr>
          <w:fldChar w:fldCharType="begin"/>
        </w:r>
        <w:r w:rsidR="008C22AA">
          <w:rPr>
            <w:noProof/>
            <w:webHidden/>
          </w:rPr>
          <w:instrText xml:space="preserve"> PAGEREF _Toc468277454 \h </w:instrText>
        </w:r>
        <w:r w:rsidR="008C22AA">
          <w:rPr>
            <w:noProof/>
            <w:webHidden/>
          </w:rPr>
        </w:r>
        <w:r w:rsidR="008C22AA">
          <w:rPr>
            <w:noProof/>
            <w:webHidden/>
          </w:rPr>
          <w:fldChar w:fldCharType="separate"/>
        </w:r>
        <w:r w:rsidR="008C22AA">
          <w:rPr>
            <w:noProof/>
            <w:webHidden/>
          </w:rPr>
          <w:t>58</w:t>
        </w:r>
        <w:r w:rsidR="008C22AA">
          <w:rPr>
            <w:noProof/>
            <w:webHidden/>
          </w:rPr>
          <w:fldChar w:fldCharType="end"/>
        </w:r>
      </w:hyperlink>
    </w:p>
    <w:p w14:paraId="2ECAC05A"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55" w:history="1">
        <w:r w:rsidR="008C22AA" w:rsidRPr="00E316D7">
          <w:rPr>
            <w:rStyle w:val="Hyperlink"/>
            <w:rFonts w:eastAsia="Calibri"/>
            <w:b/>
            <w:bCs/>
            <w:noProof/>
          </w:rPr>
          <w:t xml:space="preserve">Slika 5.19 </w:t>
        </w:r>
        <w:r w:rsidR="008C22AA" w:rsidRPr="00E316D7">
          <w:rPr>
            <w:rStyle w:val="Hyperlink"/>
            <w:rFonts w:eastAsia="Calibri"/>
            <w:bCs/>
            <w:noProof/>
          </w:rPr>
          <w:t>Struktura registriranih osobnih i komercijalnih vozila prema vlasništvu u Gradu Zagrebu u 2015. godini</w:t>
        </w:r>
        <w:r w:rsidR="008C22AA">
          <w:rPr>
            <w:noProof/>
            <w:webHidden/>
          </w:rPr>
          <w:tab/>
        </w:r>
        <w:r w:rsidR="008C22AA">
          <w:rPr>
            <w:noProof/>
            <w:webHidden/>
          </w:rPr>
          <w:fldChar w:fldCharType="begin"/>
        </w:r>
        <w:r w:rsidR="008C22AA">
          <w:rPr>
            <w:noProof/>
            <w:webHidden/>
          </w:rPr>
          <w:instrText xml:space="preserve"> PAGEREF _Toc468277455 \h </w:instrText>
        </w:r>
        <w:r w:rsidR="008C22AA">
          <w:rPr>
            <w:noProof/>
            <w:webHidden/>
          </w:rPr>
        </w:r>
        <w:r w:rsidR="008C22AA">
          <w:rPr>
            <w:noProof/>
            <w:webHidden/>
          </w:rPr>
          <w:fldChar w:fldCharType="separate"/>
        </w:r>
        <w:r w:rsidR="008C22AA">
          <w:rPr>
            <w:noProof/>
            <w:webHidden/>
          </w:rPr>
          <w:t>58</w:t>
        </w:r>
        <w:r w:rsidR="008C22AA">
          <w:rPr>
            <w:noProof/>
            <w:webHidden/>
          </w:rPr>
          <w:fldChar w:fldCharType="end"/>
        </w:r>
      </w:hyperlink>
    </w:p>
    <w:p w14:paraId="3341FDCF"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56" w:history="1">
        <w:r w:rsidR="008C22AA" w:rsidRPr="00E316D7">
          <w:rPr>
            <w:rStyle w:val="Hyperlink"/>
            <w:rFonts w:eastAsia="Calibri"/>
            <w:b/>
            <w:bCs/>
            <w:noProof/>
          </w:rPr>
          <w:t xml:space="preserve">Slika 5.20 </w:t>
        </w:r>
        <w:r w:rsidR="008C22AA" w:rsidRPr="00E316D7">
          <w:rPr>
            <w:rStyle w:val="Hyperlink"/>
            <w:rFonts w:eastAsia="Calibri"/>
            <w:bCs/>
            <w:noProof/>
          </w:rPr>
          <w:t>Broj registriranih osobnih i komercijalnih vozila u Gradu Zagrebu u vremenskom periodu od 2008. do 2015. godine</w:t>
        </w:r>
        <w:r w:rsidR="008C22AA">
          <w:rPr>
            <w:noProof/>
            <w:webHidden/>
          </w:rPr>
          <w:tab/>
        </w:r>
        <w:r w:rsidR="008C22AA">
          <w:rPr>
            <w:noProof/>
            <w:webHidden/>
          </w:rPr>
          <w:fldChar w:fldCharType="begin"/>
        </w:r>
        <w:r w:rsidR="008C22AA">
          <w:rPr>
            <w:noProof/>
            <w:webHidden/>
          </w:rPr>
          <w:instrText xml:space="preserve"> PAGEREF _Toc468277456 \h </w:instrText>
        </w:r>
        <w:r w:rsidR="008C22AA">
          <w:rPr>
            <w:noProof/>
            <w:webHidden/>
          </w:rPr>
        </w:r>
        <w:r w:rsidR="008C22AA">
          <w:rPr>
            <w:noProof/>
            <w:webHidden/>
          </w:rPr>
          <w:fldChar w:fldCharType="separate"/>
        </w:r>
        <w:r w:rsidR="008C22AA">
          <w:rPr>
            <w:noProof/>
            <w:webHidden/>
          </w:rPr>
          <w:t>59</w:t>
        </w:r>
        <w:r w:rsidR="008C22AA">
          <w:rPr>
            <w:noProof/>
            <w:webHidden/>
          </w:rPr>
          <w:fldChar w:fldCharType="end"/>
        </w:r>
      </w:hyperlink>
    </w:p>
    <w:p w14:paraId="05B2C21F"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57" w:history="1">
        <w:r w:rsidR="008C22AA" w:rsidRPr="00E316D7">
          <w:rPr>
            <w:rStyle w:val="Hyperlink"/>
            <w:rFonts w:eastAsia="Calibri"/>
            <w:b/>
            <w:bCs/>
            <w:noProof/>
          </w:rPr>
          <w:t xml:space="preserve">Slika 5.21 </w:t>
        </w:r>
        <w:r w:rsidR="008C22AA" w:rsidRPr="00E316D7">
          <w:rPr>
            <w:rStyle w:val="Hyperlink"/>
            <w:rFonts w:eastAsia="Calibri"/>
            <w:bCs/>
            <w:noProof/>
          </w:rPr>
          <w:t>Broj registriranih osobnih vozila u Gradu Zagrebu u vremenskom periodu od 2008. do 2015. godine</w:t>
        </w:r>
        <w:r w:rsidR="008C22AA">
          <w:rPr>
            <w:noProof/>
            <w:webHidden/>
          </w:rPr>
          <w:tab/>
        </w:r>
        <w:r w:rsidR="008C22AA">
          <w:rPr>
            <w:noProof/>
            <w:webHidden/>
          </w:rPr>
          <w:fldChar w:fldCharType="begin"/>
        </w:r>
        <w:r w:rsidR="008C22AA">
          <w:rPr>
            <w:noProof/>
            <w:webHidden/>
          </w:rPr>
          <w:instrText xml:space="preserve"> PAGEREF _Toc468277457 \h </w:instrText>
        </w:r>
        <w:r w:rsidR="008C22AA">
          <w:rPr>
            <w:noProof/>
            <w:webHidden/>
          </w:rPr>
        </w:r>
        <w:r w:rsidR="008C22AA">
          <w:rPr>
            <w:noProof/>
            <w:webHidden/>
          </w:rPr>
          <w:fldChar w:fldCharType="separate"/>
        </w:r>
        <w:r w:rsidR="008C22AA">
          <w:rPr>
            <w:noProof/>
            <w:webHidden/>
          </w:rPr>
          <w:t>59</w:t>
        </w:r>
        <w:r w:rsidR="008C22AA">
          <w:rPr>
            <w:noProof/>
            <w:webHidden/>
          </w:rPr>
          <w:fldChar w:fldCharType="end"/>
        </w:r>
      </w:hyperlink>
    </w:p>
    <w:p w14:paraId="35CDE386"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58" w:history="1">
        <w:r w:rsidR="008C22AA" w:rsidRPr="00E316D7">
          <w:rPr>
            <w:rStyle w:val="Hyperlink"/>
            <w:rFonts w:eastAsia="Calibri"/>
            <w:b/>
            <w:bCs/>
            <w:noProof/>
          </w:rPr>
          <w:t xml:space="preserve">Slika 5.22 </w:t>
        </w:r>
        <w:r w:rsidR="008C22AA" w:rsidRPr="00E316D7">
          <w:rPr>
            <w:rStyle w:val="Hyperlink"/>
            <w:rFonts w:eastAsia="Calibri"/>
            <w:bCs/>
            <w:noProof/>
          </w:rPr>
          <w:t>Broj registriranih osobnih automobila na 1 000 stanovnika u Gradu Zagrebu u vremenskom periodu od 2008. do 2015. godine</w:t>
        </w:r>
        <w:r w:rsidR="008C22AA">
          <w:rPr>
            <w:noProof/>
            <w:webHidden/>
          </w:rPr>
          <w:tab/>
        </w:r>
        <w:r w:rsidR="008C22AA">
          <w:rPr>
            <w:noProof/>
            <w:webHidden/>
          </w:rPr>
          <w:fldChar w:fldCharType="begin"/>
        </w:r>
        <w:r w:rsidR="008C22AA">
          <w:rPr>
            <w:noProof/>
            <w:webHidden/>
          </w:rPr>
          <w:instrText xml:space="preserve"> PAGEREF _Toc468277458 \h </w:instrText>
        </w:r>
        <w:r w:rsidR="008C22AA">
          <w:rPr>
            <w:noProof/>
            <w:webHidden/>
          </w:rPr>
        </w:r>
        <w:r w:rsidR="008C22AA">
          <w:rPr>
            <w:noProof/>
            <w:webHidden/>
          </w:rPr>
          <w:fldChar w:fldCharType="separate"/>
        </w:r>
        <w:r w:rsidR="008C22AA">
          <w:rPr>
            <w:noProof/>
            <w:webHidden/>
          </w:rPr>
          <w:t>60</w:t>
        </w:r>
        <w:r w:rsidR="008C22AA">
          <w:rPr>
            <w:noProof/>
            <w:webHidden/>
          </w:rPr>
          <w:fldChar w:fldCharType="end"/>
        </w:r>
      </w:hyperlink>
    </w:p>
    <w:p w14:paraId="369E515D"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59" w:history="1">
        <w:r w:rsidR="008C22AA" w:rsidRPr="00E316D7">
          <w:rPr>
            <w:rStyle w:val="Hyperlink"/>
            <w:rFonts w:eastAsia="Calibri"/>
            <w:b/>
            <w:bCs/>
            <w:noProof/>
          </w:rPr>
          <w:t xml:space="preserve">Slika 5.23 </w:t>
        </w:r>
        <w:r w:rsidR="008C22AA" w:rsidRPr="00E316D7">
          <w:rPr>
            <w:rStyle w:val="Hyperlink"/>
            <w:rFonts w:eastAsia="Calibri"/>
            <w:bCs/>
            <w:noProof/>
          </w:rPr>
          <w:t>Struktura registriranih osobnih automobila prema vrsti pogonskog goriva u vremenskom periodu od 2008. do 2015. godine</w:t>
        </w:r>
        <w:r w:rsidR="008C22AA">
          <w:rPr>
            <w:noProof/>
            <w:webHidden/>
          </w:rPr>
          <w:tab/>
        </w:r>
        <w:r w:rsidR="008C22AA">
          <w:rPr>
            <w:noProof/>
            <w:webHidden/>
          </w:rPr>
          <w:fldChar w:fldCharType="begin"/>
        </w:r>
        <w:r w:rsidR="008C22AA">
          <w:rPr>
            <w:noProof/>
            <w:webHidden/>
          </w:rPr>
          <w:instrText xml:space="preserve"> PAGEREF _Toc468277459 \h </w:instrText>
        </w:r>
        <w:r w:rsidR="008C22AA">
          <w:rPr>
            <w:noProof/>
            <w:webHidden/>
          </w:rPr>
        </w:r>
        <w:r w:rsidR="008C22AA">
          <w:rPr>
            <w:noProof/>
            <w:webHidden/>
          </w:rPr>
          <w:fldChar w:fldCharType="separate"/>
        </w:r>
        <w:r w:rsidR="008C22AA">
          <w:rPr>
            <w:noProof/>
            <w:webHidden/>
          </w:rPr>
          <w:t>60</w:t>
        </w:r>
        <w:r w:rsidR="008C22AA">
          <w:rPr>
            <w:noProof/>
            <w:webHidden/>
          </w:rPr>
          <w:fldChar w:fldCharType="end"/>
        </w:r>
      </w:hyperlink>
    </w:p>
    <w:p w14:paraId="72A433C6"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60" w:history="1">
        <w:r w:rsidR="008C22AA" w:rsidRPr="00E316D7">
          <w:rPr>
            <w:rStyle w:val="Hyperlink"/>
            <w:b/>
            <w:noProof/>
          </w:rPr>
          <w:t>Slika 5.24</w:t>
        </w:r>
        <w:r w:rsidR="008C22AA" w:rsidRPr="00E316D7">
          <w:rPr>
            <w:rStyle w:val="Hyperlink"/>
            <w:noProof/>
          </w:rPr>
          <w:t xml:space="preserve"> Potrošnja goriva podsektora osobna i komercijalna vozila prema vrsti pogonskog goriva</w:t>
        </w:r>
        <w:r w:rsidR="008C22AA">
          <w:rPr>
            <w:noProof/>
            <w:webHidden/>
          </w:rPr>
          <w:tab/>
        </w:r>
        <w:r w:rsidR="008C22AA">
          <w:rPr>
            <w:noProof/>
            <w:webHidden/>
          </w:rPr>
          <w:fldChar w:fldCharType="begin"/>
        </w:r>
        <w:r w:rsidR="008C22AA">
          <w:rPr>
            <w:noProof/>
            <w:webHidden/>
          </w:rPr>
          <w:instrText xml:space="preserve"> PAGEREF _Toc468277460 \h </w:instrText>
        </w:r>
        <w:r w:rsidR="008C22AA">
          <w:rPr>
            <w:noProof/>
            <w:webHidden/>
          </w:rPr>
        </w:r>
        <w:r w:rsidR="008C22AA">
          <w:rPr>
            <w:noProof/>
            <w:webHidden/>
          </w:rPr>
          <w:fldChar w:fldCharType="separate"/>
        </w:r>
        <w:r w:rsidR="008C22AA">
          <w:rPr>
            <w:noProof/>
            <w:webHidden/>
          </w:rPr>
          <w:t>61</w:t>
        </w:r>
        <w:r w:rsidR="008C22AA">
          <w:rPr>
            <w:noProof/>
            <w:webHidden/>
          </w:rPr>
          <w:fldChar w:fldCharType="end"/>
        </w:r>
      </w:hyperlink>
    </w:p>
    <w:p w14:paraId="20632EB7"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61" w:history="1">
        <w:r w:rsidR="008C22AA" w:rsidRPr="00E316D7">
          <w:rPr>
            <w:rStyle w:val="Hyperlink"/>
            <w:b/>
            <w:noProof/>
          </w:rPr>
          <w:t>Slika 5.25</w:t>
        </w:r>
        <w:r w:rsidR="008C22AA" w:rsidRPr="00E316D7">
          <w:rPr>
            <w:rStyle w:val="Hyperlink"/>
            <w:noProof/>
          </w:rPr>
          <w:t xml:space="preserve"> Potrošnja goriva podsektora osobnih i komercijalnih vozila prema kategoriji vozila</w:t>
        </w:r>
        <w:r w:rsidR="008C22AA">
          <w:rPr>
            <w:noProof/>
            <w:webHidden/>
          </w:rPr>
          <w:tab/>
        </w:r>
        <w:r w:rsidR="008C22AA">
          <w:rPr>
            <w:noProof/>
            <w:webHidden/>
          </w:rPr>
          <w:fldChar w:fldCharType="begin"/>
        </w:r>
        <w:r w:rsidR="008C22AA">
          <w:rPr>
            <w:noProof/>
            <w:webHidden/>
          </w:rPr>
          <w:instrText xml:space="preserve"> PAGEREF _Toc468277461 \h </w:instrText>
        </w:r>
        <w:r w:rsidR="008C22AA">
          <w:rPr>
            <w:noProof/>
            <w:webHidden/>
          </w:rPr>
        </w:r>
        <w:r w:rsidR="008C22AA">
          <w:rPr>
            <w:noProof/>
            <w:webHidden/>
          </w:rPr>
          <w:fldChar w:fldCharType="separate"/>
        </w:r>
        <w:r w:rsidR="008C22AA">
          <w:rPr>
            <w:noProof/>
            <w:webHidden/>
          </w:rPr>
          <w:t>62</w:t>
        </w:r>
        <w:r w:rsidR="008C22AA">
          <w:rPr>
            <w:noProof/>
            <w:webHidden/>
          </w:rPr>
          <w:fldChar w:fldCharType="end"/>
        </w:r>
      </w:hyperlink>
    </w:p>
    <w:p w14:paraId="1803D8A8"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62" w:history="1">
        <w:r w:rsidR="008C22AA" w:rsidRPr="00E316D7">
          <w:rPr>
            <w:rStyle w:val="Hyperlink"/>
            <w:b/>
            <w:noProof/>
          </w:rPr>
          <w:t>Slika 5.26</w:t>
        </w:r>
        <w:r w:rsidR="008C22AA" w:rsidRPr="00E316D7">
          <w:rPr>
            <w:rStyle w:val="Hyperlink"/>
            <w:noProof/>
          </w:rPr>
          <w:t xml:space="preserve"> Potrošnja goriva podsektora osobnih i komercijalnih vozila prema kategorijama vozila i vrsti goriva</w:t>
        </w:r>
        <w:r w:rsidR="008C22AA">
          <w:rPr>
            <w:noProof/>
            <w:webHidden/>
          </w:rPr>
          <w:tab/>
        </w:r>
        <w:r w:rsidR="008C22AA">
          <w:rPr>
            <w:noProof/>
            <w:webHidden/>
          </w:rPr>
          <w:fldChar w:fldCharType="begin"/>
        </w:r>
        <w:r w:rsidR="008C22AA">
          <w:rPr>
            <w:noProof/>
            <w:webHidden/>
          </w:rPr>
          <w:instrText xml:space="preserve"> PAGEREF _Toc468277462 \h </w:instrText>
        </w:r>
        <w:r w:rsidR="008C22AA">
          <w:rPr>
            <w:noProof/>
            <w:webHidden/>
          </w:rPr>
        </w:r>
        <w:r w:rsidR="008C22AA">
          <w:rPr>
            <w:noProof/>
            <w:webHidden/>
          </w:rPr>
          <w:fldChar w:fldCharType="separate"/>
        </w:r>
        <w:r w:rsidR="008C22AA">
          <w:rPr>
            <w:noProof/>
            <w:webHidden/>
          </w:rPr>
          <w:t>62</w:t>
        </w:r>
        <w:r w:rsidR="008C22AA">
          <w:rPr>
            <w:noProof/>
            <w:webHidden/>
          </w:rPr>
          <w:fldChar w:fldCharType="end"/>
        </w:r>
      </w:hyperlink>
    </w:p>
    <w:p w14:paraId="669B6505"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63" w:history="1">
        <w:r w:rsidR="008C22AA" w:rsidRPr="00E316D7">
          <w:rPr>
            <w:rStyle w:val="Hyperlink"/>
            <w:b/>
            <w:noProof/>
          </w:rPr>
          <w:t xml:space="preserve">Slika 5.27 </w:t>
        </w:r>
        <w:r w:rsidR="008C22AA" w:rsidRPr="00E316D7">
          <w:rPr>
            <w:rStyle w:val="Hyperlink"/>
            <w:noProof/>
          </w:rPr>
          <w:t>Udio potrošnje goriva po podsektorima sektora prometa u Gradu Zagrebu</w:t>
        </w:r>
        <w:r w:rsidR="008C22AA">
          <w:rPr>
            <w:noProof/>
            <w:webHidden/>
          </w:rPr>
          <w:tab/>
        </w:r>
        <w:r w:rsidR="008C22AA">
          <w:rPr>
            <w:noProof/>
            <w:webHidden/>
          </w:rPr>
          <w:fldChar w:fldCharType="begin"/>
        </w:r>
        <w:r w:rsidR="008C22AA">
          <w:rPr>
            <w:noProof/>
            <w:webHidden/>
          </w:rPr>
          <w:instrText xml:space="preserve"> PAGEREF _Toc468277463 \h </w:instrText>
        </w:r>
        <w:r w:rsidR="008C22AA">
          <w:rPr>
            <w:noProof/>
            <w:webHidden/>
          </w:rPr>
        </w:r>
        <w:r w:rsidR="008C22AA">
          <w:rPr>
            <w:noProof/>
            <w:webHidden/>
          </w:rPr>
          <w:fldChar w:fldCharType="separate"/>
        </w:r>
        <w:r w:rsidR="008C22AA">
          <w:rPr>
            <w:noProof/>
            <w:webHidden/>
          </w:rPr>
          <w:t>63</w:t>
        </w:r>
        <w:r w:rsidR="008C22AA">
          <w:rPr>
            <w:noProof/>
            <w:webHidden/>
          </w:rPr>
          <w:fldChar w:fldCharType="end"/>
        </w:r>
      </w:hyperlink>
    </w:p>
    <w:p w14:paraId="727F4F4C"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64" w:history="1">
        <w:r w:rsidR="008C22AA" w:rsidRPr="00E316D7">
          <w:rPr>
            <w:rStyle w:val="Hyperlink"/>
            <w:b/>
            <w:noProof/>
          </w:rPr>
          <w:t xml:space="preserve">Slika 5.28 </w:t>
        </w:r>
        <w:r w:rsidR="008C22AA" w:rsidRPr="00E316D7">
          <w:rPr>
            <w:rStyle w:val="Hyperlink"/>
            <w:noProof/>
          </w:rPr>
          <w:t>Udio strukture potrošnje pogonskog goriva u sektoru prometa Grada Zagreba u 2015. godini</w:t>
        </w:r>
        <w:r w:rsidR="008C22AA">
          <w:rPr>
            <w:noProof/>
            <w:webHidden/>
          </w:rPr>
          <w:tab/>
        </w:r>
        <w:r w:rsidR="008C22AA">
          <w:rPr>
            <w:noProof/>
            <w:webHidden/>
          </w:rPr>
          <w:fldChar w:fldCharType="begin"/>
        </w:r>
        <w:r w:rsidR="008C22AA">
          <w:rPr>
            <w:noProof/>
            <w:webHidden/>
          </w:rPr>
          <w:instrText xml:space="preserve"> PAGEREF _Toc468277464 \h </w:instrText>
        </w:r>
        <w:r w:rsidR="008C22AA">
          <w:rPr>
            <w:noProof/>
            <w:webHidden/>
          </w:rPr>
        </w:r>
        <w:r w:rsidR="008C22AA">
          <w:rPr>
            <w:noProof/>
            <w:webHidden/>
          </w:rPr>
          <w:fldChar w:fldCharType="separate"/>
        </w:r>
        <w:r w:rsidR="008C22AA">
          <w:rPr>
            <w:noProof/>
            <w:webHidden/>
          </w:rPr>
          <w:t>63</w:t>
        </w:r>
        <w:r w:rsidR="008C22AA">
          <w:rPr>
            <w:noProof/>
            <w:webHidden/>
          </w:rPr>
          <w:fldChar w:fldCharType="end"/>
        </w:r>
      </w:hyperlink>
    </w:p>
    <w:p w14:paraId="191218B0"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65" w:history="1">
        <w:r w:rsidR="008C22AA" w:rsidRPr="00E316D7">
          <w:rPr>
            <w:rStyle w:val="Hyperlink"/>
            <w:rFonts w:eastAsia="Calibri"/>
            <w:b/>
            <w:bCs/>
            <w:noProof/>
          </w:rPr>
          <w:t>Slika 6.1</w:t>
        </w:r>
        <w:r w:rsidR="008C22AA" w:rsidRPr="00E316D7">
          <w:rPr>
            <w:rStyle w:val="Hyperlink"/>
            <w:rFonts w:eastAsia="Calibri"/>
            <w:b/>
            <w:noProof/>
          </w:rPr>
          <w:t xml:space="preserve"> </w:t>
        </w:r>
        <w:r w:rsidR="008C22AA" w:rsidRPr="00E316D7">
          <w:rPr>
            <w:rStyle w:val="Hyperlink"/>
            <w:rFonts w:eastAsia="Calibri"/>
            <w:noProof/>
          </w:rPr>
          <w:t>Struktura javne rasvjete prema vrsti rasvjetnih tijela</w:t>
        </w:r>
        <w:r w:rsidR="008C22AA">
          <w:rPr>
            <w:noProof/>
            <w:webHidden/>
          </w:rPr>
          <w:tab/>
        </w:r>
        <w:r w:rsidR="008C22AA">
          <w:rPr>
            <w:noProof/>
            <w:webHidden/>
          </w:rPr>
          <w:fldChar w:fldCharType="begin"/>
        </w:r>
        <w:r w:rsidR="008C22AA">
          <w:rPr>
            <w:noProof/>
            <w:webHidden/>
          </w:rPr>
          <w:instrText xml:space="preserve"> PAGEREF _Toc468277465 \h </w:instrText>
        </w:r>
        <w:r w:rsidR="008C22AA">
          <w:rPr>
            <w:noProof/>
            <w:webHidden/>
          </w:rPr>
        </w:r>
        <w:r w:rsidR="008C22AA">
          <w:rPr>
            <w:noProof/>
            <w:webHidden/>
          </w:rPr>
          <w:fldChar w:fldCharType="separate"/>
        </w:r>
        <w:r w:rsidR="008C22AA">
          <w:rPr>
            <w:noProof/>
            <w:webHidden/>
          </w:rPr>
          <w:t>65</w:t>
        </w:r>
        <w:r w:rsidR="008C22AA">
          <w:rPr>
            <w:noProof/>
            <w:webHidden/>
          </w:rPr>
          <w:fldChar w:fldCharType="end"/>
        </w:r>
      </w:hyperlink>
    </w:p>
    <w:p w14:paraId="6649D800"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66" w:history="1">
        <w:r w:rsidR="008C22AA" w:rsidRPr="00E316D7">
          <w:rPr>
            <w:rStyle w:val="Hyperlink"/>
            <w:rFonts w:eastAsia="Calibri" w:cstheme="minorHAnsi"/>
            <w:b/>
            <w:bCs/>
            <w:noProof/>
          </w:rPr>
          <w:t>Slika 6.2</w:t>
        </w:r>
        <w:r w:rsidR="008C22AA" w:rsidRPr="00E316D7">
          <w:rPr>
            <w:rStyle w:val="Hyperlink"/>
            <w:rFonts w:eastAsia="Calibri" w:cstheme="minorHAnsi"/>
            <w:noProof/>
            <w:lang w:eastAsia="hr-HR"/>
          </w:rPr>
          <w:t xml:space="preserve"> Trend </w:t>
        </w:r>
        <w:r w:rsidR="008C22AA" w:rsidRPr="00E316D7">
          <w:rPr>
            <w:rStyle w:val="Hyperlink"/>
            <w:rFonts w:cstheme="minorHAnsi"/>
            <w:iCs/>
            <w:noProof/>
          </w:rPr>
          <w:t>potrošnje električne energije sustava javne rasvjete</w:t>
        </w:r>
        <w:r w:rsidR="008C22AA">
          <w:rPr>
            <w:noProof/>
            <w:webHidden/>
          </w:rPr>
          <w:tab/>
        </w:r>
        <w:r w:rsidR="008C22AA">
          <w:rPr>
            <w:noProof/>
            <w:webHidden/>
          </w:rPr>
          <w:fldChar w:fldCharType="begin"/>
        </w:r>
        <w:r w:rsidR="008C22AA">
          <w:rPr>
            <w:noProof/>
            <w:webHidden/>
          </w:rPr>
          <w:instrText xml:space="preserve"> PAGEREF _Toc468277466 \h </w:instrText>
        </w:r>
        <w:r w:rsidR="008C22AA">
          <w:rPr>
            <w:noProof/>
            <w:webHidden/>
          </w:rPr>
        </w:r>
        <w:r w:rsidR="008C22AA">
          <w:rPr>
            <w:noProof/>
            <w:webHidden/>
          </w:rPr>
          <w:fldChar w:fldCharType="separate"/>
        </w:r>
        <w:r w:rsidR="008C22AA">
          <w:rPr>
            <w:noProof/>
            <w:webHidden/>
          </w:rPr>
          <w:t>66</w:t>
        </w:r>
        <w:r w:rsidR="008C22AA">
          <w:rPr>
            <w:noProof/>
            <w:webHidden/>
          </w:rPr>
          <w:fldChar w:fldCharType="end"/>
        </w:r>
      </w:hyperlink>
    </w:p>
    <w:p w14:paraId="39F05D74"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67" w:history="1">
        <w:r w:rsidR="008C22AA" w:rsidRPr="00E316D7">
          <w:rPr>
            <w:rStyle w:val="Hyperlink"/>
            <w:rFonts w:eastAsia="Calibri" w:cstheme="minorHAnsi"/>
            <w:b/>
            <w:bCs/>
            <w:noProof/>
          </w:rPr>
          <w:t>Slika 6.3</w:t>
        </w:r>
        <w:r w:rsidR="008C22AA" w:rsidRPr="00E316D7">
          <w:rPr>
            <w:rStyle w:val="Hyperlink"/>
            <w:rFonts w:eastAsia="Calibri" w:cstheme="minorHAnsi"/>
            <w:noProof/>
            <w:lang w:eastAsia="hr-HR"/>
          </w:rPr>
          <w:t xml:space="preserve"> Trend troška električne energije u sustavu javne rasvjete</w:t>
        </w:r>
        <w:r w:rsidR="008C22AA">
          <w:rPr>
            <w:noProof/>
            <w:webHidden/>
          </w:rPr>
          <w:tab/>
        </w:r>
        <w:r w:rsidR="008C22AA">
          <w:rPr>
            <w:noProof/>
            <w:webHidden/>
          </w:rPr>
          <w:fldChar w:fldCharType="begin"/>
        </w:r>
        <w:r w:rsidR="008C22AA">
          <w:rPr>
            <w:noProof/>
            <w:webHidden/>
          </w:rPr>
          <w:instrText xml:space="preserve"> PAGEREF _Toc468277467 \h </w:instrText>
        </w:r>
        <w:r w:rsidR="008C22AA">
          <w:rPr>
            <w:noProof/>
            <w:webHidden/>
          </w:rPr>
        </w:r>
        <w:r w:rsidR="008C22AA">
          <w:rPr>
            <w:noProof/>
            <w:webHidden/>
          </w:rPr>
          <w:fldChar w:fldCharType="separate"/>
        </w:r>
        <w:r w:rsidR="008C22AA">
          <w:rPr>
            <w:noProof/>
            <w:webHidden/>
          </w:rPr>
          <w:t>66</w:t>
        </w:r>
        <w:r w:rsidR="008C22AA">
          <w:rPr>
            <w:noProof/>
            <w:webHidden/>
          </w:rPr>
          <w:fldChar w:fldCharType="end"/>
        </w:r>
      </w:hyperlink>
    </w:p>
    <w:p w14:paraId="553E02BB"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68" w:history="1">
        <w:r w:rsidR="008C22AA" w:rsidRPr="00E316D7">
          <w:rPr>
            <w:rStyle w:val="Hyperlink"/>
            <w:rFonts w:eastAsia="Calibri" w:cstheme="minorHAnsi"/>
            <w:b/>
            <w:bCs/>
            <w:noProof/>
          </w:rPr>
          <w:t xml:space="preserve">Slika 7.1 </w:t>
        </w:r>
        <w:r w:rsidR="008C22AA" w:rsidRPr="00E316D7">
          <w:rPr>
            <w:rStyle w:val="Hyperlink"/>
            <w:rFonts w:eastAsia="Calibri" w:cstheme="minorHAnsi"/>
            <w:bCs/>
            <w:noProof/>
          </w:rPr>
          <w:t>Kontrolni inventar</w:t>
        </w:r>
        <w:r w:rsidR="008C22AA" w:rsidRPr="00E316D7">
          <w:rPr>
            <w:rStyle w:val="Hyperlink"/>
            <w:rFonts w:eastAsia="Calibri" w:cstheme="minorHAnsi"/>
            <w:b/>
            <w:bCs/>
            <w:noProof/>
          </w:rPr>
          <w:t xml:space="preserve"> </w:t>
        </w:r>
        <w:r w:rsidR="008C22AA" w:rsidRPr="00E316D7">
          <w:rPr>
            <w:rStyle w:val="Hyperlink"/>
            <w:noProof/>
          </w:rPr>
          <w:t>emisije CO</w:t>
        </w:r>
        <w:r w:rsidR="008C22AA" w:rsidRPr="00E316D7">
          <w:rPr>
            <w:rStyle w:val="Hyperlink"/>
            <w:noProof/>
            <w:vertAlign w:val="subscript"/>
          </w:rPr>
          <w:t>2</w:t>
        </w:r>
        <w:r w:rsidR="008C22AA" w:rsidRPr="00E316D7">
          <w:rPr>
            <w:rStyle w:val="Hyperlink"/>
            <w:noProof/>
          </w:rPr>
          <w:t xml:space="preserve"> iz sektora zgradarstva Grada Zagreba prema podsektorima i energentima za 2015. godinu</w:t>
        </w:r>
        <w:r w:rsidR="008C22AA">
          <w:rPr>
            <w:noProof/>
            <w:webHidden/>
          </w:rPr>
          <w:tab/>
        </w:r>
        <w:r w:rsidR="008C22AA">
          <w:rPr>
            <w:noProof/>
            <w:webHidden/>
          </w:rPr>
          <w:fldChar w:fldCharType="begin"/>
        </w:r>
        <w:r w:rsidR="008C22AA">
          <w:rPr>
            <w:noProof/>
            <w:webHidden/>
          </w:rPr>
          <w:instrText xml:space="preserve"> PAGEREF _Toc468277468 \h </w:instrText>
        </w:r>
        <w:r w:rsidR="008C22AA">
          <w:rPr>
            <w:noProof/>
            <w:webHidden/>
          </w:rPr>
        </w:r>
        <w:r w:rsidR="008C22AA">
          <w:rPr>
            <w:noProof/>
            <w:webHidden/>
          </w:rPr>
          <w:fldChar w:fldCharType="separate"/>
        </w:r>
        <w:r w:rsidR="008C22AA">
          <w:rPr>
            <w:noProof/>
            <w:webHidden/>
          </w:rPr>
          <w:t>69</w:t>
        </w:r>
        <w:r w:rsidR="008C22AA">
          <w:rPr>
            <w:noProof/>
            <w:webHidden/>
          </w:rPr>
          <w:fldChar w:fldCharType="end"/>
        </w:r>
      </w:hyperlink>
    </w:p>
    <w:p w14:paraId="46FBA6BC"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69" w:history="1">
        <w:r w:rsidR="008C22AA" w:rsidRPr="00E316D7">
          <w:rPr>
            <w:rStyle w:val="Hyperlink"/>
            <w:rFonts w:eastAsia="Calibri" w:cstheme="minorHAnsi"/>
            <w:b/>
            <w:bCs/>
            <w:noProof/>
          </w:rPr>
          <w:t xml:space="preserve">Slika 7.2 </w:t>
        </w:r>
        <w:r w:rsidR="008C22AA" w:rsidRPr="00E316D7">
          <w:rPr>
            <w:rStyle w:val="Hyperlink"/>
            <w:rFonts w:eastAsia="Calibri" w:cstheme="minorHAnsi"/>
            <w:bCs/>
            <w:noProof/>
          </w:rPr>
          <w:t>Udio pojedinog energenta u ukupnom Kontrolnom inventaru emisija CO</w:t>
        </w:r>
        <w:r w:rsidR="008C22AA" w:rsidRPr="00E316D7">
          <w:rPr>
            <w:rStyle w:val="Hyperlink"/>
            <w:rFonts w:eastAsia="Calibri" w:cstheme="minorHAnsi"/>
            <w:bCs/>
            <w:noProof/>
            <w:vertAlign w:val="subscript"/>
          </w:rPr>
          <w:t>2</w:t>
        </w:r>
        <w:r w:rsidR="008C22AA" w:rsidRPr="00E316D7">
          <w:rPr>
            <w:rStyle w:val="Hyperlink"/>
            <w:rFonts w:eastAsia="Calibri" w:cstheme="minorHAnsi"/>
            <w:bCs/>
            <w:noProof/>
          </w:rPr>
          <w:t xml:space="preserve"> sektora zgradarstvo za 2015. godinu</w:t>
        </w:r>
        <w:r w:rsidR="008C22AA">
          <w:rPr>
            <w:noProof/>
            <w:webHidden/>
          </w:rPr>
          <w:tab/>
        </w:r>
        <w:r w:rsidR="008C22AA">
          <w:rPr>
            <w:noProof/>
            <w:webHidden/>
          </w:rPr>
          <w:fldChar w:fldCharType="begin"/>
        </w:r>
        <w:r w:rsidR="008C22AA">
          <w:rPr>
            <w:noProof/>
            <w:webHidden/>
          </w:rPr>
          <w:instrText xml:space="preserve"> PAGEREF _Toc468277469 \h </w:instrText>
        </w:r>
        <w:r w:rsidR="008C22AA">
          <w:rPr>
            <w:noProof/>
            <w:webHidden/>
          </w:rPr>
        </w:r>
        <w:r w:rsidR="008C22AA">
          <w:rPr>
            <w:noProof/>
            <w:webHidden/>
          </w:rPr>
          <w:fldChar w:fldCharType="separate"/>
        </w:r>
        <w:r w:rsidR="008C22AA">
          <w:rPr>
            <w:noProof/>
            <w:webHidden/>
          </w:rPr>
          <w:t>70</w:t>
        </w:r>
        <w:r w:rsidR="008C22AA">
          <w:rPr>
            <w:noProof/>
            <w:webHidden/>
          </w:rPr>
          <w:fldChar w:fldCharType="end"/>
        </w:r>
      </w:hyperlink>
    </w:p>
    <w:p w14:paraId="3F385C3B"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70" w:history="1">
        <w:r w:rsidR="008C22AA" w:rsidRPr="00E316D7">
          <w:rPr>
            <w:rStyle w:val="Hyperlink"/>
            <w:rFonts w:eastAsia="Calibri" w:cstheme="minorHAnsi"/>
            <w:b/>
            <w:bCs/>
            <w:noProof/>
          </w:rPr>
          <w:t xml:space="preserve">Slika 7.3 </w:t>
        </w:r>
        <w:r w:rsidR="008C22AA" w:rsidRPr="00E316D7">
          <w:rPr>
            <w:rStyle w:val="Hyperlink"/>
            <w:rFonts w:eastAsia="Calibri" w:cstheme="minorHAnsi"/>
            <w:bCs/>
            <w:noProof/>
          </w:rPr>
          <w:t>Udio pojedinog podsektora u ukupnom Kontrolnom inventaru emisija CO</w:t>
        </w:r>
        <w:r w:rsidR="008C22AA" w:rsidRPr="00E316D7">
          <w:rPr>
            <w:rStyle w:val="Hyperlink"/>
            <w:rFonts w:eastAsia="Calibri" w:cstheme="minorHAnsi"/>
            <w:bCs/>
            <w:noProof/>
            <w:vertAlign w:val="subscript"/>
          </w:rPr>
          <w:t>2</w:t>
        </w:r>
        <w:r w:rsidR="008C22AA" w:rsidRPr="00E316D7">
          <w:rPr>
            <w:rStyle w:val="Hyperlink"/>
            <w:rFonts w:eastAsia="Calibri" w:cstheme="minorHAnsi"/>
            <w:bCs/>
            <w:noProof/>
          </w:rPr>
          <w:t xml:space="preserve"> sektora zgradarstva za 2015. godinu</w:t>
        </w:r>
        <w:r w:rsidR="008C22AA">
          <w:rPr>
            <w:noProof/>
            <w:webHidden/>
          </w:rPr>
          <w:tab/>
        </w:r>
        <w:r w:rsidR="008C22AA">
          <w:rPr>
            <w:noProof/>
            <w:webHidden/>
          </w:rPr>
          <w:fldChar w:fldCharType="begin"/>
        </w:r>
        <w:r w:rsidR="008C22AA">
          <w:rPr>
            <w:noProof/>
            <w:webHidden/>
          </w:rPr>
          <w:instrText xml:space="preserve"> PAGEREF _Toc468277470 \h </w:instrText>
        </w:r>
        <w:r w:rsidR="008C22AA">
          <w:rPr>
            <w:noProof/>
            <w:webHidden/>
          </w:rPr>
        </w:r>
        <w:r w:rsidR="008C22AA">
          <w:rPr>
            <w:noProof/>
            <w:webHidden/>
          </w:rPr>
          <w:fldChar w:fldCharType="separate"/>
        </w:r>
        <w:r w:rsidR="008C22AA">
          <w:rPr>
            <w:noProof/>
            <w:webHidden/>
          </w:rPr>
          <w:t>70</w:t>
        </w:r>
        <w:r w:rsidR="008C22AA">
          <w:rPr>
            <w:noProof/>
            <w:webHidden/>
          </w:rPr>
          <w:fldChar w:fldCharType="end"/>
        </w:r>
      </w:hyperlink>
    </w:p>
    <w:p w14:paraId="7037066B"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71" w:history="1">
        <w:r w:rsidR="008C22AA" w:rsidRPr="00E316D7">
          <w:rPr>
            <w:rStyle w:val="Hyperlink"/>
            <w:rFonts w:eastAsia="Calibri"/>
            <w:b/>
            <w:bCs/>
            <w:noProof/>
          </w:rPr>
          <w:t xml:space="preserve">Slika 7.4 </w:t>
        </w:r>
        <w:r w:rsidR="008C22AA" w:rsidRPr="00E316D7">
          <w:rPr>
            <w:rStyle w:val="Hyperlink"/>
            <w:rFonts w:eastAsia="Calibri"/>
            <w:noProof/>
          </w:rPr>
          <w:t>Udio pojedinog energenta u ukupnom Kontrolnom inventaru CO</w:t>
        </w:r>
        <w:r w:rsidR="008C22AA" w:rsidRPr="00E316D7">
          <w:rPr>
            <w:rStyle w:val="Hyperlink"/>
            <w:rFonts w:eastAsia="Calibri"/>
            <w:noProof/>
            <w:vertAlign w:val="subscript"/>
          </w:rPr>
          <w:t>2</w:t>
        </w:r>
        <w:r w:rsidR="008C22AA" w:rsidRPr="00E316D7">
          <w:rPr>
            <w:rStyle w:val="Hyperlink"/>
            <w:rFonts w:eastAsia="Calibri"/>
            <w:noProof/>
          </w:rPr>
          <w:t xml:space="preserve"> iz sektora promet za 2015. godinu</w:t>
        </w:r>
        <w:r w:rsidR="008C22AA">
          <w:rPr>
            <w:noProof/>
            <w:webHidden/>
          </w:rPr>
          <w:tab/>
        </w:r>
        <w:r w:rsidR="008C22AA">
          <w:rPr>
            <w:noProof/>
            <w:webHidden/>
          </w:rPr>
          <w:fldChar w:fldCharType="begin"/>
        </w:r>
        <w:r w:rsidR="008C22AA">
          <w:rPr>
            <w:noProof/>
            <w:webHidden/>
          </w:rPr>
          <w:instrText xml:space="preserve"> PAGEREF _Toc468277471 \h </w:instrText>
        </w:r>
        <w:r w:rsidR="008C22AA">
          <w:rPr>
            <w:noProof/>
            <w:webHidden/>
          </w:rPr>
        </w:r>
        <w:r w:rsidR="008C22AA">
          <w:rPr>
            <w:noProof/>
            <w:webHidden/>
          </w:rPr>
          <w:fldChar w:fldCharType="separate"/>
        </w:r>
        <w:r w:rsidR="008C22AA">
          <w:rPr>
            <w:noProof/>
            <w:webHidden/>
          </w:rPr>
          <w:t>71</w:t>
        </w:r>
        <w:r w:rsidR="008C22AA">
          <w:rPr>
            <w:noProof/>
            <w:webHidden/>
          </w:rPr>
          <w:fldChar w:fldCharType="end"/>
        </w:r>
      </w:hyperlink>
    </w:p>
    <w:p w14:paraId="09FE1F8D"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72" w:history="1">
        <w:r w:rsidR="008C22AA" w:rsidRPr="00E316D7">
          <w:rPr>
            <w:rStyle w:val="Hyperlink"/>
            <w:rFonts w:eastAsia="Calibri"/>
            <w:b/>
            <w:bCs/>
            <w:noProof/>
          </w:rPr>
          <w:t xml:space="preserve">Slika 7.5 </w:t>
        </w:r>
        <w:r w:rsidR="008C22AA" w:rsidRPr="00E316D7">
          <w:rPr>
            <w:rStyle w:val="Hyperlink"/>
            <w:rFonts w:eastAsia="Calibri"/>
            <w:noProof/>
          </w:rPr>
          <w:t>Udio pojedinog podsektora sektora promet u ukupnom Kontrolnom inventaru emisija CO</w:t>
        </w:r>
        <w:r w:rsidR="008C22AA" w:rsidRPr="00E316D7">
          <w:rPr>
            <w:rStyle w:val="Hyperlink"/>
            <w:rFonts w:eastAsia="Calibri"/>
            <w:noProof/>
            <w:vertAlign w:val="subscript"/>
          </w:rPr>
          <w:t>2</w:t>
        </w:r>
        <w:r w:rsidR="008C22AA" w:rsidRPr="00E316D7">
          <w:rPr>
            <w:rStyle w:val="Hyperlink"/>
            <w:rFonts w:eastAsia="Calibri"/>
            <w:noProof/>
          </w:rPr>
          <w:t xml:space="preserve"> za 2015. godinu</w:t>
        </w:r>
        <w:r w:rsidR="008C22AA">
          <w:rPr>
            <w:noProof/>
            <w:webHidden/>
          </w:rPr>
          <w:tab/>
        </w:r>
        <w:r w:rsidR="008C22AA">
          <w:rPr>
            <w:noProof/>
            <w:webHidden/>
          </w:rPr>
          <w:fldChar w:fldCharType="begin"/>
        </w:r>
        <w:r w:rsidR="008C22AA">
          <w:rPr>
            <w:noProof/>
            <w:webHidden/>
          </w:rPr>
          <w:instrText xml:space="preserve"> PAGEREF _Toc468277472 \h </w:instrText>
        </w:r>
        <w:r w:rsidR="008C22AA">
          <w:rPr>
            <w:noProof/>
            <w:webHidden/>
          </w:rPr>
        </w:r>
        <w:r w:rsidR="008C22AA">
          <w:rPr>
            <w:noProof/>
            <w:webHidden/>
          </w:rPr>
          <w:fldChar w:fldCharType="separate"/>
        </w:r>
        <w:r w:rsidR="008C22AA">
          <w:rPr>
            <w:noProof/>
            <w:webHidden/>
          </w:rPr>
          <w:t>72</w:t>
        </w:r>
        <w:r w:rsidR="008C22AA">
          <w:rPr>
            <w:noProof/>
            <w:webHidden/>
          </w:rPr>
          <w:fldChar w:fldCharType="end"/>
        </w:r>
      </w:hyperlink>
    </w:p>
    <w:p w14:paraId="750D0E41"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73" w:history="1">
        <w:r w:rsidR="008C22AA" w:rsidRPr="00E316D7">
          <w:rPr>
            <w:rStyle w:val="Hyperlink"/>
            <w:rFonts w:eastAsia="Calibri" w:cstheme="minorHAnsi"/>
            <w:b/>
            <w:bCs/>
            <w:noProof/>
          </w:rPr>
          <w:t xml:space="preserve">Slika 7.6 </w:t>
        </w:r>
        <w:r w:rsidR="008C22AA" w:rsidRPr="00E316D7">
          <w:rPr>
            <w:rStyle w:val="Hyperlink"/>
            <w:rFonts w:cstheme="minorHAnsi"/>
            <w:noProof/>
          </w:rPr>
          <w:t>Energetska potrošnja po energentu u 2015. godini</w:t>
        </w:r>
        <w:r w:rsidR="008C22AA">
          <w:rPr>
            <w:noProof/>
            <w:webHidden/>
          </w:rPr>
          <w:tab/>
        </w:r>
        <w:r w:rsidR="008C22AA">
          <w:rPr>
            <w:noProof/>
            <w:webHidden/>
          </w:rPr>
          <w:fldChar w:fldCharType="begin"/>
        </w:r>
        <w:r w:rsidR="008C22AA">
          <w:rPr>
            <w:noProof/>
            <w:webHidden/>
          </w:rPr>
          <w:instrText xml:space="preserve"> PAGEREF _Toc468277473 \h </w:instrText>
        </w:r>
        <w:r w:rsidR="008C22AA">
          <w:rPr>
            <w:noProof/>
            <w:webHidden/>
          </w:rPr>
        </w:r>
        <w:r w:rsidR="008C22AA">
          <w:rPr>
            <w:noProof/>
            <w:webHidden/>
          </w:rPr>
          <w:fldChar w:fldCharType="separate"/>
        </w:r>
        <w:r w:rsidR="008C22AA">
          <w:rPr>
            <w:noProof/>
            <w:webHidden/>
          </w:rPr>
          <w:t>74</w:t>
        </w:r>
        <w:r w:rsidR="008C22AA">
          <w:rPr>
            <w:noProof/>
            <w:webHidden/>
          </w:rPr>
          <w:fldChar w:fldCharType="end"/>
        </w:r>
      </w:hyperlink>
    </w:p>
    <w:p w14:paraId="10E8CFFF"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74" w:history="1">
        <w:r w:rsidR="008C22AA" w:rsidRPr="00E316D7">
          <w:rPr>
            <w:rStyle w:val="Hyperlink"/>
            <w:rFonts w:eastAsia="Calibri" w:cstheme="minorHAnsi"/>
            <w:b/>
            <w:bCs/>
            <w:noProof/>
          </w:rPr>
          <w:t xml:space="preserve">Slika 7.7 </w:t>
        </w:r>
        <w:r w:rsidR="008C22AA" w:rsidRPr="00E316D7">
          <w:rPr>
            <w:rStyle w:val="Hyperlink"/>
            <w:rFonts w:cstheme="minorHAnsi"/>
            <w:noProof/>
          </w:rPr>
          <w:t>Raspodjela ukupne potrošnje energije po sektorima i energentima</w:t>
        </w:r>
        <w:r w:rsidR="008C22AA">
          <w:rPr>
            <w:noProof/>
            <w:webHidden/>
          </w:rPr>
          <w:tab/>
        </w:r>
        <w:r w:rsidR="008C22AA">
          <w:rPr>
            <w:noProof/>
            <w:webHidden/>
          </w:rPr>
          <w:fldChar w:fldCharType="begin"/>
        </w:r>
        <w:r w:rsidR="008C22AA">
          <w:rPr>
            <w:noProof/>
            <w:webHidden/>
          </w:rPr>
          <w:instrText xml:space="preserve"> PAGEREF _Toc468277474 \h </w:instrText>
        </w:r>
        <w:r w:rsidR="008C22AA">
          <w:rPr>
            <w:noProof/>
            <w:webHidden/>
          </w:rPr>
        </w:r>
        <w:r w:rsidR="008C22AA">
          <w:rPr>
            <w:noProof/>
            <w:webHidden/>
          </w:rPr>
          <w:fldChar w:fldCharType="separate"/>
        </w:r>
        <w:r w:rsidR="008C22AA">
          <w:rPr>
            <w:noProof/>
            <w:webHidden/>
          </w:rPr>
          <w:t>75</w:t>
        </w:r>
        <w:r w:rsidR="008C22AA">
          <w:rPr>
            <w:noProof/>
            <w:webHidden/>
          </w:rPr>
          <w:fldChar w:fldCharType="end"/>
        </w:r>
      </w:hyperlink>
    </w:p>
    <w:p w14:paraId="4E803131"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75" w:history="1">
        <w:r w:rsidR="008C22AA" w:rsidRPr="00E316D7">
          <w:rPr>
            <w:rStyle w:val="Hyperlink"/>
            <w:rFonts w:eastAsia="Calibri" w:cstheme="minorHAnsi"/>
            <w:b/>
            <w:bCs/>
            <w:noProof/>
          </w:rPr>
          <w:t>Slika 7.8</w:t>
        </w:r>
        <w:r w:rsidR="008C22AA" w:rsidRPr="00E316D7">
          <w:rPr>
            <w:rStyle w:val="Hyperlink"/>
            <w:rFonts w:cstheme="minorHAnsi"/>
            <w:noProof/>
          </w:rPr>
          <w:t xml:space="preserve"> Kontrolni inventar </w:t>
        </w:r>
        <w:r w:rsidR="008C22AA" w:rsidRPr="00E316D7">
          <w:rPr>
            <w:rStyle w:val="Hyperlink"/>
            <w:noProof/>
          </w:rPr>
          <w:t>emisija CO</w:t>
        </w:r>
        <w:r w:rsidR="008C22AA" w:rsidRPr="00E316D7">
          <w:rPr>
            <w:rStyle w:val="Hyperlink"/>
            <w:noProof/>
            <w:vertAlign w:val="subscript"/>
          </w:rPr>
          <w:t>2</w:t>
        </w:r>
        <w:r w:rsidR="008C22AA" w:rsidRPr="00E316D7">
          <w:rPr>
            <w:rStyle w:val="Hyperlink"/>
            <w:noProof/>
          </w:rPr>
          <w:t xml:space="preserve"> po sektorima u 2015. godini</w:t>
        </w:r>
        <w:r w:rsidR="008C22AA">
          <w:rPr>
            <w:noProof/>
            <w:webHidden/>
          </w:rPr>
          <w:tab/>
        </w:r>
        <w:r w:rsidR="008C22AA">
          <w:rPr>
            <w:noProof/>
            <w:webHidden/>
          </w:rPr>
          <w:fldChar w:fldCharType="begin"/>
        </w:r>
        <w:r w:rsidR="008C22AA">
          <w:rPr>
            <w:noProof/>
            <w:webHidden/>
          </w:rPr>
          <w:instrText xml:space="preserve"> PAGEREF _Toc468277475 \h </w:instrText>
        </w:r>
        <w:r w:rsidR="008C22AA">
          <w:rPr>
            <w:noProof/>
            <w:webHidden/>
          </w:rPr>
        </w:r>
        <w:r w:rsidR="008C22AA">
          <w:rPr>
            <w:noProof/>
            <w:webHidden/>
          </w:rPr>
          <w:fldChar w:fldCharType="separate"/>
        </w:r>
        <w:r w:rsidR="008C22AA">
          <w:rPr>
            <w:noProof/>
            <w:webHidden/>
          </w:rPr>
          <w:t>76</w:t>
        </w:r>
        <w:r w:rsidR="008C22AA">
          <w:rPr>
            <w:noProof/>
            <w:webHidden/>
          </w:rPr>
          <w:fldChar w:fldCharType="end"/>
        </w:r>
      </w:hyperlink>
    </w:p>
    <w:p w14:paraId="26EC108D"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76" w:history="1">
        <w:r w:rsidR="008C22AA" w:rsidRPr="00E316D7">
          <w:rPr>
            <w:rStyle w:val="Hyperlink"/>
            <w:rFonts w:eastAsia="Calibri" w:cstheme="minorHAnsi"/>
            <w:b/>
            <w:bCs/>
            <w:noProof/>
          </w:rPr>
          <w:t>Slika 7.9</w:t>
        </w:r>
        <w:r w:rsidR="008C22AA" w:rsidRPr="00E316D7">
          <w:rPr>
            <w:rStyle w:val="Hyperlink"/>
            <w:rFonts w:cstheme="minorHAnsi"/>
            <w:noProof/>
          </w:rPr>
          <w:t xml:space="preserve"> Kontrolni inventar emisija CO</w:t>
        </w:r>
        <w:r w:rsidR="008C22AA" w:rsidRPr="00E316D7">
          <w:rPr>
            <w:rStyle w:val="Hyperlink"/>
            <w:rFonts w:cstheme="minorHAnsi"/>
            <w:noProof/>
            <w:vertAlign w:val="subscript"/>
          </w:rPr>
          <w:t>2</w:t>
        </w:r>
        <w:r w:rsidR="008C22AA" w:rsidRPr="00E316D7">
          <w:rPr>
            <w:rStyle w:val="Hyperlink"/>
            <w:rFonts w:cstheme="minorHAnsi"/>
            <w:noProof/>
          </w:rPr>
          <w:t xml:space="preserve"> po energentima u 2015. godini</w:t>
        </w:r>
        <w:r w:rsidR="008C22AA">
          <w:rPr>
            <w:noProof/>
            <w:webHidden/>
          </w:rPr>
          <w:tab/>
        </w:r>
        <w:r w:rsidR="008C22AA">
          <w:rPr>
            <w:noProof/>
            <w:webHidden/>
          </w:rPr>
          <w:fldChar w:fldCharType="begin"/>
        </w:r>
        <w:r w:rsidR="008C22AA">
          <w:rPr>
            <w:noProof/>
            <w:webHidden/>
          </w:rPr>
          <w:instrText xml:space="preserve"> PAGEREF _Toc468277476 \h </w:instrText>
        </w:r>
        <w:r w:rsidR="008C22AA">
          <w:rPr>
            <w:noProof/>
            <w:webHidden/>
          </w:rPr>
        </w:r>
        <w:r w:rsidR="008C22AA">
          <w:rPr>
            <w:noProof/>
            <w:webHidden/>
          </w:rPr>
          <w:fldChar w:fldCharType="separate"/>
        </w:r>
        <w:r w:rsidR="008C22AA">
          <w:rPr>
            <w:noProof/>
            <w:webHidden/>
          </w:rPr>
          <w:t>77</w:t>
        </w:r>
        <w:r w:rsidR="008C22AA">
          <w:rPr>
            <w:noProof/>
            <w:webHidden/>
          </w:rPr>
          <w:fldChar w:fldCharType="end"/>
        </w:r>
      </w:hyperlink>
    </w:p>
    <w:p w14:paraId="4943AC57"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77" w:history="1">
        <w:r w:rsidR="008C22AA" w:rsidRPr="00E316D7">
          <w:rPr>
            <w:rStyle w:val="Hyperlink"/>
            <w:b/>
            <w:noProof/>
          </w:rPr>
          <w:t>Slika 7.10</w:t>
        </w:r>
        <w:r w:rsidR="008C22AA" w:rsidRPr="00E316D7">
          <w:rPr>
            <w:rStyle w:val="Hyperlink"/>
            <w:noProof/>
          </w:rPr>
          <w:t xml:space="preserve"> Prikaz Kontrolnog inventara emisije CO</w:t>
        </w:r>
        <w:r w:rsidR="008C22AA" w:rsidRPr="00E316D7">
          <w:rPr>
            <w:rStyle w:val="Hyperlink"/>
            <w:noProof/>
            <w:vertAlign w:val="subscript"/>
          </w:rPr>
          <w:t>2</w:t>
        </w:r>
        <w:r w:rsidR="008C22AA" w:rsidRPr="00E316D7">
          <w:rPr>
            <w:rStyle w:val="Hyperlink"/>
            <w:noProof/>
          </w:rPr>
          <w:t xml:space="preserve"> po sektorima i energentima u 2015. godini</w:t>
        </w:r>
        <w:r w:rsidR="008C22AA">
          <w:rPr>
            <w:noProof/>
            <w:webHidden/>
          </w:rPr>
          <w:tab/>
        </w:r>
        <w:r w:rsidR="008C22AA">
          <w:rPr>
            <w:noProof/>
            <w:webHidden/>
          </w:rPr>
          <w:fldChar w:fldCharType="begin"/>
        </w:r>
        <w:r w:rsidR="008C22AA">
          <w:rPr>
            <w:noProof/>
            <w:webHidden/>
          </w:rPr>
          <w:instrText xml:space="preserve"> PAGEREF _Toc468277477 \h </w:instrText>
        </w:r>
        <w:r w:rsidR="008C22AA">
          <w:rPr>
            <w:noProof/>
            <w:webHidden/>
          </w:rPr>
        </w:r>
        <w:r w:rsidR="008C22AA">
          <w:rPr>
            <w:noProof/>
            <w:webHidden/>
          </w:rPr>
          <w:fldChar w:fldCharType="separate"/>
        </w:r>
        <w:r w:rsidR="008C22AA">
          <w:rPr>
            <w:noProof/>
            <w:webHidden/>
          </w:rPr>
          <w:t>77</w:t>
        </w:r>
        <w:r w:rsidR="008C22AA">
          <w:rPr>
            <w:noProof/>
            <w:webHidden/>
          </w:rPr>
          <w:fldChar w:fldCharType="end"/>
        </w:r>
      </w:hyperlink>
    </w:p>
    <w:p w14:paraId="44376B8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78" w:history="1">
        <w:r w:rsidR="008C22AA" w:rsidRPr="00E316D7">
          <w:rPr>
            <w:rStyle w:val="Hyperlink"/>
            <w:noProof/>
          </w:rPr>
          <w:t>Slika 8.1 Referentni inventar emisije CO</w:t>
        </w:r>
        <w:r w:rsidR="008C22AA" w:rsidRPr="00E316D7">
          <w:rPr>
            <w:rStyle w:val="Hyperlink"/>
            <w:noProof/>
            <w:vertAlign w:val="subscript"/>
          </w:rPr>
          <w:t>2</w:t>
        </w:r>
        <w:r w:rsidR="008C22AA" w:rsidRPr="00E316D7">
          <w:rPr>
            <w:rStyle w:val="Hyperlink"/>
            <w:noProof/>
          </w:rPr>
          <w:t xml:space="preserve"> po sektorima i energentima, 2008. godina</w:t>
        </w:r>
        <w:r w:rsidR="008C22AA">
          <w:rPr>
            <w:noProof/>
            <w:webHidden/>
          </w:rPr>
          <w:tab/>
        </w:r>
        <w:r w:rsidR="008C22AA">
          <w:rPr>
            <w:noProof/>
            <w:webHidden/>
          </w:rPr>
          <w:fldChar w:fldCharType="begin"/>
        </w:r>
        <w:r w:rsidR="008C22AA">
          <w:rPr>
            <w:noProof/>
            <w:webHidden/>
          </w:rPr>
          <w:instrText xml:space="preserve"> PAGEREF _Toc468277478 \h </w:instrText>
        </w:r>
        <w:r w:rsidR="008C22AA">
          <w:rPr>
            <w:noProof/>
            <w:webHidden/>
          </w:rPr>
        </w:r>
        <w:r w:rsidR="008C22AA">
          <w:rPr>
            <w:noProof/>
            <w:webHidden/>
          </w:rPr>
          <w:fldChar w:fldCharType="separate"/>
        </w:r>
        <w:r w:rsidR="008C22AA">
          <w:rPr>
            <w:noProof/>
            <w:webHidden/>
          </w:rPr>
          <w:t>79</w:t>
        </w:r>
        <w:r w:rsidR="008C22AA">
          <w:rPr>
            <w:noProof/>
            <w:webHidden/>
          </w:rPr>
          <w:fldChar w:fldCharType="end"/>
        </w:r>
      </w:hyperlink>
    </w:p>
    <w:p w14:paraId="1D243544"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79" w:history="1">
        <w:r w:rsidR="008C22AA" w:rsidRPr="00E316D7">
          <w:rPr>
            <w:rStyle w:val="Hyperlink"/>
            <w:noProof/>
          </w:rPr>
          <w:t>Slika 8.2 Kontrolni inventar emisija CO</w:t>
        </w:r>
        <w:r w:rsidR="008C22AA" w:rsidRPr="00E316D7">
          <w:rPr>
            <w:rStyle w:val="Hyperlink"/>
            <w:noProof/>
            <w:vertAlign w:val="subscript"/>
          </w:rPr>
          <w:t>2</w:t>
        </w:r>
        <w:r w:rsidR="008C22AA" w:rsidRPr="00E316D7">
          <w:rPr>
            <w:rStyle w:val="Hyperlink"/>
            <w:noProof/>
          </w:rPr>
          <w:t xml:space="preserve"> po sektorima i energentima, 2015. godina</w:t>
        </w:r>
        <w:r w:rsidR="008C22AA">
          <w:rPr>
            <w:noProof/>
            <w:webHidden/>
          </w:rPr>
          <w:tab/>
        </w:r>
        <w:r w:rsidR="008C22AA">
          <w:rPr>
            <w:noProof/>
            <w:webHidden/>
          </w:rPr>
          <w:fldChar w:fldCharType="begin"/>
        </w:r>
        <w:r w:rsidR="008C22AA">
          <w:rPr>
            <w:noProof/>
            <w:webHidden/>
          </w:rPr>
          <w:instrText xml:space="preserve"> PAGEREF _Toc468277479 \h </w:instrText>
        </w:r>
        <w:r w:rsidR="008C22AA">
          <w:rPr>
            <w:noProof/>
            <w:webHidden/>
          </w:rPr>
        </w:r>
        <w:r w:rsidR="008C22AA">
          <w:rPr>
            <w:noProof/>
            <w:webHidden/>
          </w:rPr>
          <w:fldChar w:fldCharType="separate"/>
        </w:r>
        <w:r w:rsidR="008C22AA">
          <w:rPr>
            <w:noProof/>
            <w:webHidden/>
          </w:rPr>
          <w:t>79</w:t>
        </w:r>
        <w:r w:rsidR="008C22AA">
          <w:rPr>
            <w:noProof/>
            <w:webHidden/>
          </w:rPr>
          <w:fldChar w:fldCharType="end"/>
        </w:r>
      </w:hyperlink>
    </w:p>
    <w:p w14:paraId="111C3FC8"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80" w:history="1">
        <w:r w:rsidR="008C22AA" w:rsidRPr="00E316D7">
          <w:rPr>
            <w:rStyle w:val="Hyperlink"/>
            <w:noProof/>
          </w:rPr>
          <w:t>Slika 8.3 Usporedba Referentnog i Kontrolnog inventara emisija CO</w:t>
        </w:r>
        <w:r w:rsidR="008C22AA" w:rsidRPr="00E316D7">
          <w:rPr>
            <w:rStyle w:val="Hyperlink"/>
            <w:noProof/>
            <w:vertAlign w:val="subscript"/>
          </w:rPr>
          <w:t xml:space="preserve">2 </w:t>
        </w:r>
        <w:r w:rsidR="008C22AA" w:rsidRPr="00E316D7">
          <w:rPr>
            <w:rStyle w:val="Hyperlink"/>
            <w:noProof/>
          </w:rPr>
          <w:t>po energentima</w:t>
        </w:r>
        <w:r w:rsidR="008C22AA">
          <w:rPr>
            <w:noProof/>
            <w:webHidden/>
          </w:rPr>
          <w:tab/>
        </w:r>
        <w:r w:rsidR="008C22AA">
          <w:rPr>
            <w:noProof/>
            <w:webHidden/>
          </w:rPr>
          <w:fldChar w:fldCharType="begin"/>
        </w:r>
        <w:r w:rsidR="008C22AA">
          <w:rPr>
            <w:noProof/>
            <w:webHidden/>
          </w:rPr>
          <w:instrText xml:space="preserve"> PAGEREF _Toc468277480 \h </w:instrText>
        </w:r>
        <w:r w:rsidR="008C22AA">
          <w:rPr>
            <w:noProof/>
            <w:webHidden/>
          </w:rPr>
        </w:r>
        <w:r w:rsidR="008C22AA">
          <w:rPr>
            <w:noProof/>
            <w:webHidden/>
          </w:rPr>
          <w:fldChar w:fldCharType="separate"/>
        </w:r>
        <w:r w:rsidR="008C22AA">
          <w:rPr>
            <w:noProof/>
            <w:webHidden/>
          </w:rPr>
          <w:t>80</w:t>
        </w:r>
        <w:r w:rsidR="008C22AA">
          <w:rPr>
            <w:noProof/>
            <w:webHidden/>
          </w:rPr>
          <w:fldChar w:fldCharType="end"/>
        </w:r>
      </w:hyperlink>
    </w:p>
    <w:p w14:paraId="03C7997A"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81" w:history="1">
        <w:r w:rsidR="008C22AA" w:rsidRPr="00E316D7">
          <w:rPr>
            <w:rStyle w:val="Hyperlink"/>
            <w:b/>
            <w:bCs/>
            <w:noProof/>
          </w:rPr>
          <w:t xml:space="preserve">Slika 8.4 </w:t>
        </w:r>
        <w:r w:rsidR="008C22AA" w:rsidRPr="00E316D7">
          <w:rPr>
            <w:rStyle w:val="Hyperlink"/>
            <w:bCs/>
            <w:noProof/>
          </w:rPr>
          <w:t>Referentni inventar emisija CO</w:t>
        </w:r>
        <w:r w:rsidR="008C22AA" w:rsidRPr="00E316D7">
          <w:rPr>
            <w:rStyle w:val="Hyperlink"/>
            <w:bCs/>
            <w:noProof/>
            <w:vertAlign w:val="subscript"/>
          </w:rPr>
          <w:t>2</w:t>
        </w:r>
        <w:r w:rsidR="008C22AA" w:rsidRPr="00E316D7">
          <w:rPr>
            <w:rStyle w:val="Hyperlink"/>
            <w:bCs/>
            <w:noProof/>
          </w:rPr>
          <w:t xml:space="preserve"> po sektorima u 2008. godini</w:t>
        </w:r>
        <w:r w:rsidR="008C22AA">
          <w:rPr>
            <w:noProof/>
            <w:webHidden/>
          </w:rPr>
          <w:tab/>
        </w:r>
        <w:r w:rsidR="008C22AA">
          <w:rPr>
            <w:noProof/>
            <w:webHidden/>
          </w:rPr>
          <w:fldChar w:fldCharType="begin"/>
        </w:r>
        <w:r w:rsidR="008C22AA">
          <w:rPr>
            <w:noProof/>
            <w:webHidden/>
          </w:rPr>
          <w:instrText xml:space="preserve"> PAGEREF _Toc468277481 \h </w:instrText>
        </w:r>
        <w:r w:rsidR="008C22AA">
          <w:rPr>
            <w:noProof/>
            <w:webHidden/>
          </w:rPr>
        </w:r>
        <w:r w:rsidR="008C22AA">
          <w:rPr>
            <w:noProof/>
            <w:webHidden/>
          </w:rPr>
          <w:fldChar w:fldCharType="separate"/>
        </w:r>
        <w:r w:rsidR="008C22AA">
          <w:rPr>
            <w:noProof/>
            <w:webHidden/>
          </w:rPr>
          <w:t>80</w:t>
        </w:r>
        <w:r w:rsidR="008C22AA">
          <w:rPr>
            <w:noProof/>
            <w:webHidden/>
          </w:rPr>
          <w:fldChar w:fldCharType="end"/>
        </w:r>
      </w:hyperlink>
    </w:p>
    <w:p w14:paraId="1B578B2E"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82" w:history="1">
        <w:r w:rsidR="008C22AA" w:rsidRPr="00E316D7">
          <w:rPr>
            <w:rStyle w:val="Hyperlink"/>
            <w:b/>
            <w:bCs/>
            <w:noProof/>
          </w:rPr>
          <w:t xml:space="preserve">Slika 8.5 </w:t>
        </w:r>
        <w:r w:rsidR="008C22AA" w:rsidRPr="00E316D7">
          <w:rPr>
            <w:rStyle w:val="Hyperlink"/>
            <w:bCs/>
            <w:noProof/>
          </w:rPr>
          <w:t>Kontrolni inventar emisija CO</w:t>
        </w:r>
        <w:r w:rsidR="008C22AA" w:rsidRPr="00E316D7">
          <w:rPr>
            <w:rStyle w:val="Hyperlink"/>
            <w:bCs/>
            <w:noProof/>
            <w:vertAlign w:val="subscript"/>
          </w:rPr>
          <w:t>2</w:t>
        </w:r>
        <w:r w:rsidR="008C22AA" w:rsidRPr="00E316D7">
          <w:rPr>
            <w:rStyle w:val="Hyperlink"/>
            <w:bCs/>
            <w:noProof/>
          </w:rPr>
          <w:t xml:space="preserve"> po sektorima u 2015. godini</w:t>
        </w:r>
        <w:r w:rsidR="008C22AA">
          <w:rPr>
            <w:noProof/>
            <w:webHidden/>
          </w:rPr>
          <w:tab/>
        </w:r>
        <w:r w:rsidR="008C22AA">
          <w:rPr>
            <w:noProof/>
            <w:webHidden/>
          </w:rPr>
          <w:fldChar w:fldCharType="begin"/>
        </w:r>
        <w:r w:rsidR="008C22AA">
          <w:rPr>
            <w:noProof/>
            <w:webHidden/>
          </w:rPr>
          <w:instrText xml:space="preserve"> PAGEREF _Toc468277482 \h </w:instrText>
        </w:r>
        <w:r w:rsidR="008C22AA">
          <w:rPr>
            <w:noProof/>
            <w:webHidden/>
          </w:rPr>
        </w:r>
        <w:r w:rsidR="008C22AA">
          <w:rPr>
            <w:noProof/>
            <w:webHidden/>
          </w:rPr>
          <w:fldChar w:fldCharType="separate"/>
        </w:r>
        <w:r w:rsidR="008C22AA">
          <w:rPr>
            <w:noProof/>
            <w:webHidden/>
          </w:rPr>
          <w:t>81</w:t>
        </w:r>
        <w:r w:rsidR="008C22AA">
          <w:rPr>
            <w:noProof/>
            <w:webHidden/>
          </w:rPr>
          <w:fldChar w:fldCharType="end"/>
        </w:r>
      </w:hyperlink>
    </w:p>
    <w:p w14:paraId="08831D7C"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83" w:history="1">
        <w:r w:rsidR="008C22AA" w:rsidRPr="00E316D7">
          <w:rPr>
            <w:rStyle w:val="Hyperlink"/>
            <w:b/>
            <w:bCs/>
            <w:noProof/>
          </w:rPr>
          <w:t xml:space="preserve">Slika 8.6 </w:t>
        </w:r>
        <w:r w:rsidR="008C22AA" w:rsidRPr="00E316D7">
          <w:rPr>
            <w:rStyle w:val="Hyperlink"/>
            <w:bCs/>
            <w:noProof/>
          </w:rPr>
          <w:t>Usporedba Referentnog i</w:t>
        </w:r>
        <w:r w:rsidR="008C22AA" w:rsidRPr="00E316D7">
          <w:rPr>
            <w:rStyle w:val="Hyperlink"/>
            <w:b/>
            <w:bCs/>
            <w:noProof/>
          </w:rPr>
          <w:t xml:space="preserve"> </w:t>
        </w:r>
        <w:r w:rsidR="008C22AA" w:rsidRPr="00E316D7">
          <w:rPr>
            <w:rStyle w:val="Hyperlink"/>
            <w:bCs/>
            <w:noProof/>
          </w:rPr>
          <w:t>Kontrolnog inventara emisija CO</w:t>
        </w:r>
        <w:r w:rsidR="008C22AA" w:rsidRPr="00E316D7">
          <w:rPr>
            <w:rStyle w:val="Hyperlink"/>
            <w:bCs/>
            <w:noProof/>
            <w:vertAlign w:val="subscript"/>
          </w:rPr>
          <w:t>2</w:t>
        </w:r>
        <w:r w:rsidR="008C22AA" w:rsidRPr="00E316D7">
          <w:rPr>
            <w:rStyle w:val="Hyperlink"/>
            <w:bCs/>
            <w:noProof/>
          </w:rPr>
          <w:t xml:space="preserve"> za sektor zgradarstva</w:t>
        </w:r>
        <w:r w:rsidR="008C22AA">
          <w:rPr>
            <w:noProof/>
            <w:webHidden/>
          </w:rPr>
          <w:tab/>
        </w:r>
        <w:r w:rsidR="008C22AA">
          <w:rPr>
            <w:noProof/>
            <w:webHidden/>
          </w:rPr>
          <w:fldChar w:fldCharType="begin"/>
        </w:r>
        <w:r w:rsidR="008C22AA">
          <w:rPr>
            <w:noProof/>
            <w:webHidden/>
          </w:rPr>
          <w:instrText xml:space="preserve"> PAGEREF _Toc468277483 \h </w:instrText>
        </w:r>
        <w:r w:rsidR="008C22AA">
          <w:rPr>
            <w:noProof/>
            <w:webHidden/>
          </w:rPr>
        </w:r>
        <w:r w:rsidR="008C22AA">
          <w:rPr>
            <w:noProof/>
            <w:webHidden/>
          </w:rPr>
          <w:fldChar w:fldCharType="separate"/>
        </w:r>
        <w:r w:rsidR="008C22AA">
          <w:rPr>
            <w:noProof/>
            <w:webHidden/>
          </w:rPr>
          <w:t>81</w:t>
        </w:r>
        <w:r w:rsidR="008C22AA">
          <w:rPr>
            <w:noProof/>
            <w:webHidden/>
          </w:rPr>
          <w:fldChar w:fldCharType="end"/>
        </w:r>
      </w:hyperlink>
    </w:p>
    <w:p w14:paraId="290ED33F"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84" w:history="1">
        <w:r w:rsidR="008C22AA" w:rsidRPr="00E316D7">
          <w:rPr>
            <w:rStyle w:val="Hyperlink"/>
            <w:b/>
            <w:bCs/>
            <w:noProof/>
          </w:rPr>
          <w:t xml:space="preserve">Slika 8.7 </w:t>
        </w:r>
        <w:r w:rsidR="008C22AA" w:rsidRPr="00E316D7">
          <w:rPr>
            <w:rStyle w:val="Hyperlink"/>
            <w:bCs/>
            <w:noProof/>
          </w:rPr>
          <w:t>Usporedba Referentnog i</w:t>
        </w:r>
        <w:r w:rsidR="008C22AA" w:rsidRPr="00E316D7">
          <w:rPr>
            <w:rStyle w:val="Hyperlink"/>
            <w:b/>
            <w:bCs/>
            <w:noProof/>
          </w:rPr>
          <w:t xml:space="preserve"> </w:t>
        </w:r>
        <w:r w:rsidR="008C22AA" w:rsidRPr="00E316D7">
          <w:rPr>
            <w:rStyle w:val="Hyperlink"/>
            <w:bCs/>
            <w:noProof/>
          </w:rPr>
          <w:t>Kontrolnog inventara emisija CO</w:t>
        </w:r>
        <w:r w:rsidR="008C22AA" w:rsidRPr="00E316D7">
          <w:rPr>
            <w:rStyle w:val="Hyperlink"/>
            <w:bCs/>
            <w:noProof/>
            <w:vertAlign w:val="subscript"/>
          </w:rPr>
          <w:t>2</w:t>
        </w:r>
        <w:r w:rsidR="008C22AA" w:rsidRPr="00E316D7">
          <w:rPr>
            <w:rStyle w:val="Hyperlink"/>
            <w:bCs/>
            <w:noProof/>
          </w:rPr>
          <w:t xml:space="preserve"> za sektor prometa</w:t>
        </w:r>
        <w:r w:rsidR="008C22AA">
          <w:rPr>
            <w:noProof/>
            <w:webHidden/>
          </w:rPr>
          <w:tab/>
        </w:r>
        <w:r w:rsidR="008C22AA">
          <w:rPr>
            <w:noProof/>
            <w:webHidden/>
          </w:rPr>
          <w:fldChar w:fldCharType="begin"/>
        </w:r>
        <w:r w:rsidR="008C22AA">
          <w:rPr>
            <w:noProof/>
            <w:webHidden/>
          </w:rPr>
          <w:instrText xml:space="preserve"> PAGEREF _Toc468277484 \h </w:instrText>
        </w:r>
        <w:r w:rsidR="008C22AA">
          <w:rPr>
            <w:noProof/>
            <w:webHidden/>
          </w:rPr>
        </w:r>
        <w:r w:rsidR="008C22AA">
          <w:rPr>
            <w:noProof/>
            <w:webHidden/>
          </w:rPr>
          <w:fldChar w:fldCharType="separate"/>
        </w:r>
        <w:r w:rsidR="008C22AA">
          <w:rPr>
            <w:noProof/>
            <w:webHidden/>
          </w:rPr>
          <w:t>82</w:t>
        </w:r>
        <w:r w:rsidR="008C22AA">
          <w:rPr>
            <w:noProof/>
            <w:webHidden/>
          </w:rPr>
          <w:fldChar w:fldCharType="end"/>
        </w:r>
      </w:hyperlink>
    </w:p>
    <w:p w14:paraId="38CAF061"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85" w:history="1">
        <w:r w:rsidR="008C22AA" w:rsidRPr="00E316D7">
          <w:rPr>
            <w:rStyle w:val="Hyperlink"/>
            <w:b/>
            <w:bCs/>
            <w:noProof/>
          </w:rPr>
          <w:t xml:space="preserve">Slika 8.8 </w:t>
        </w:r>
        <w:r w:rsidR="008C22AA" w:rsidRPr="00E316D7">
          <w:rPr>
            <w:rStyle w:val="Hyperlink"/>
            <w:bCs/>
            <w:noProof/>
          </w:rPr>
          <w:t>Usporedba Referentnog i</w:t>
        </w:r>
        <w:r w:rsidR="008C22AA" w:rsidRPr="00E316D7">
          <w:rPr>
            <w:rStyle w:val="Hyperlink"/>
            <w:b/>
            <w:bCs/>
            <w:noProof/>
          </w:rPr>
          <w:t xml:space="preserve"> </w:t>
        </w:r>
        <w:r w:rsidR="008C22AA" w:rsidRPr="00E316D7">
          <w:rPr>
            <w:rStyle w:val="Hyperlink"/>
            <w:bCs/>
            <w:noProof/>
          </w:rPr>
          <w:t>Kontrolnog inventara emisija CO</w:t>
        </w:r>
        <w:r w:rsidR="008C22AA" w:rsidRPr="00E316D7">
          <w:rPr>
            <w:rStyle w:val="Hyperlink"/>
            <w:bCs/>
            <w:noProof/>
            <w:vertAlign w:val="subscript"/>
          </w:rPr>
          <w:t>2</w:t>
        </w:r>
        <w:r w:rsidR="008C22AA" w:rsidRPr="00E316D7">
          <w:rPr>
            <w:rStyle w:val="Hyperlink"/>
            <w:bCs/>
            <w:noProof/>
          </w:rPr>
          <w:t xml:space="preserve"> za sektor javne rasvjete</w:t>
        </w:r>
        <w:r w:rsidR="008C22AA">
          <w:rPr>
            <w:noProof/>
            <w:webHidden/>
          </w:rPr>
          <w:tab/>
        </w:r>
        <w:r w:rsidR="008C22AA">
          <w:rPr>
            <w:noProof/>
            <w:webHidden/>
          </w:rPr>
          <w:fldChar w:fldCharType="begin"/>
        </w:r>
        <w:r w:rsidR="008C22AA">
          <w:rPr>
            <w:noProof/>
            <w:webHidden/>
          </w:rPr>
          <w:instrText xml:space="preserve"> PAGEREF _Toc468277485 \h </w:instrText>
        </w:r>
        <w:r w:rsidR="008C22AA">
          <w:rPr>
            <w:noProof/>
            <w:webHidden/>
          </w:rPr>
        </w:r>
        <w:r w:rsidR="008C22AA">
          <w:rPr>
            <w:noProof/>
            <w:webHidden/>
          </w:rPr>
          <w:fldChar w:fldCharType="separate"/>
        </w:r>
        <w:r w:rsidR="008C22AA">
          <w:rPr>
            <w:noProof/>
            <w:webHidden/>
          </w:rPr>
          <w:t>83</w:t>
        </w:r>
        <w:r w:rsidR="008C22AA">
          <w:rPr>
            <w:noProof/>
            <w:webHidden/>
          </w:rPr>
          <w:fldChar w:fldCharType="end"/>
        </w:r>
      </w:hyperlink>
    </w:p>
    <w:p w14:paraId="5C74809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86" w:history="1">
        <w:r w:rsidR="008C22AA" w:rsidRPr="00E316D7">
          <w:rPr>
            <w:rStyle w:val="Hyperlink"/>
            <w:b/>
            <w:bCs/>
            <w:noProof/>
          </w:rPr>
          <w:t xml:space="preserve">Slika 9.1 </w:t>
        </w:r>
        <w:r w:rsidR="008C22AA" w:rsidRPr="00E316D7">
          <w:rPr>
            <w:rStyle w:val="Hyperlink"/>
            <w:rFonts w:eastAsia="Calibri"/>
            <w:bCs/>
            <w:noProof/>
          </w:rPr>
          <w:t>Status implementacije planiranih mjera i aktivnosti iz Akcijskog plana</w:t>
        </w:r>
        <w:r w:rsidR="008C22AA">
          <w:rPr>
            <w:noProof/>
            <w:webHidden/>
          </w:rPr>
          <w:tab/>
        </w:r>
        <w:r w:rsidR="008C22AA">
          <w:rPr>
            <w:noProof/>
            <w:webHidden/>
          </w:rPr>
          <w:fldChar w:fldCharType="begin"/>
        </w:r>
        <w:r w:rsidR="008C22AA">
          <w:rPr>
            <w:noProof/>
            <w:webHidden/>
          </w:rPr>
          <w:instrText xml:space="preserve"> PAGEREF _Toc468277486 \h </w:instrText>
        </w:r>
        <w:r w:rsidR="008C22AA">
          <w:rPr>
            <w:noProof/>
            <w:webHidden/>
          </w:rPr>
        </w:r>
        <w:r w:rsidR="008C22AA">
          <w:rPr>
            <w:noProof/>
            <w:webHidden/>
          </w:rPr>
          <w:fldChar w:fldCharType="separate"/>
        </w:r>
        <w:r w:rsidR="008C22AA">
          <w:rPr>
            <w:noProof/>
            <w:webHidden/>
          </w:rPr>
          <w:t>85</w:t>
        </w:r>
        <w:r w:rsidR="008C22AA">
          <w:rPr>
            <w:noProof/>
            <w:webHidden/>
          </w:rPr>
          <w:fldChar w:fldCharType="end"/>
        </w:r>
      </w:hyperlink>
    </w:p>
    <w:p w14:paraId="7C7537E1"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87" w:history="1">
        <w:r w:rsidR="008C22AA" w:rsidRPr="00E316D7">
          <w:rPr>
            <w:rStyle w:val="Hyperlink"/>
            <w:b/>
            <w:bCs/>
            <w:noProof/>
          </w:rPr>
          <w:t xml:space="preserve">Slika 9.2 </w:t>
        </w:r>
        <w:r w:rsidR="008C22AA" w:rsidRPr="00E316D7">
          <w:rPr>
            <w:rStyle w:val="Hyperlink"/>
            <w:bCs/>
            <w:noProof/>
          </w:rPr>
          <w:t>Udio pojedinog sektora u ukupno ostvarenom smanjenju emisije CO</w:t>
        </w:r>
        <w:r w:rsidR="008C22AA" w:rsidRPr="00E316D7">
          <w:rPr>
            <w:rStyle w:val="Hyperlink"/>
            <w:bCs/>
            <w:noProof/>
            <w:vertAlign w:val="subscript"/>
          </w:rPr>
          <w:t>2</w:t>
        </w:r>
        <w:r w:rsidR="008C22AA">
          <w:rPr>
            <w:noProof/>
            <w:webHidden/>
          </w:rPr>
          <w:tab/>
        </w:r>
        <w:r w:rsidR="008C22AA">
          <w:rPr>
            <w:noProof/>
            <w:webHidden/>
          </w:rPr>
          <w:fldChar w:fldCharType="begin"/>
        </w:r>
        <w:r w:rsidR="008C22AA">
          <w:rPr>
            <w:noProof/>
            <w:webHidden/>
          </w:rPr>
          <w:instrText xml:space="preserve"> PAGEREF _Toc468277487 \h </w:instrText>
        </w:r>
        <w:r w:rsidR="008C22AA">
          <w:rPr>
            <w:noProof/>
            <w:webHidden/>
          </w:rPr>
        </w:r>
        <w:r w:rsidR="008C22AA">
          <w:rPr>
            <w:noProof/>
            <w:webHidden/>
          </w:rPr>
          <w:fldChar w:fldCharType="separate"/>
        </w:r>
        <w:r w:rsidR="008C22AA">
          <w:rPr>
            <w:noProof/>
            <w:webHidden/>
          </w:rPr>
          <w:t>92</w:t>
        </w:r>
        <w:r w:rsidR="008C22AA">
          <w:rPr>
            <w:noProof/>
            <w:webHidden/>
          </w:rPr>
          <w:fldChar w:fldCharType="end"/>
        </w:r>
      </w:hyperlink>
    </w:p>
    <w:p w14:paraId="37EDA096"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88" w:history="1">
        <w:r w:rsidR="008C22AA" w:rsidRPr="00E316D7">
          <w:rPr>
            <w:rStyle w:val="Hyperlink"/>
            <w:b/>
            <w:bCs/>
            <w:noProof/>
          </w:rPr>
          <w:t xml:space="preserve">Slika 9.3 </w:t>
        </w:r>
        <w:r w:rsidR="008C22AA" w:rsidRPr="00E316D7">
          <w:rPr>
            <w:rStyle w:val="Hyperlink"/>
            <w:bCs/>
            <w:noProof/>
          </w:rPr>
          <w:t>Udio pojedinog podsektora u ukupno ostvarenom smanjenju emisije CO</w:t>
        </w:r>
        <w:r w:rsidR="008C22AA" w:rsidRPr="00E316D7">
          <w:rPr>
            <w:rStyle w:val="Hyperlink"/>
            <w:bCs/>
            <w:noProof/>
            <w:vertAlign w:val="subscript"/>
          </w:rPr>
          <w:t>2</w:t>
        </w:r>
        <w:r w:rsidR="008C22AA">
          <w:rPr>
            <w:noProof/>
            <w:webHidden/>
          </w:rPr>
          <w:tab/>
        </w:r>
        <w:r w:rsidR="008C22AA">
          <w:rPr>
            <w:noProof/>
            <w:webHidden/>
          </w:rPr>
          <w:fldChar w:fldCharType="begin"/>
        </w:r>
        <w:r w:rsidR="008C22AA">
          <w:rPr>
            <w:noProof/>
            <w:webHidden/>
          </w:rPr>
          <w:instrText xml:space="preserve"> PAGEREF _Toc468277488 \h </w:instrText>
        </w:r>
        <w:r w:rsidR="008C22AA">
          <w:rPr>
            <w:noProof/>
            <w:webHidden/>
          </w:rPr>
        </w:r>
        <w:r w:rsidR="008C22AA">
          <w:rPr>
            <w:noProof/>
            <w:webHidden/>
          </w:rPr>
          <w:fldChar w:fldCharType="separate"/>
        </w:r>
        <w:r w:rsidR="008C22AA">
          <w:rPr>
            <w:noProof/>
            <w:webHidden/>
          </w:rPr>
          <w:t>93</w:t>
        </w:r>
        <w:r w:rsidR="008C22AA">
          <w:rPr>
            <w:noProof/>
            <w:webHidden/>
          </w:rPr>
          <w:fldChar w:fldCharType="end"/>
        </w:r>
      </w:hyperlink>
    </w:p>
    <w:p w14:paraId="3236590F"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89" w:history="1">
        <w:r w:rsidR="008C22AA" w:rsidRPr="00E316D7">
          <w:rPr>
            <w:rStyle w:val="Hyperlink"/>
            <w:b/>
            <w:bCs/>
            <w:noProof/>
          </w:rPr>
          <w:t xml:space="preserve">Slika 9.4 </w:t>
        </w:r>
        <w:r w:rsidR="008C22AA" w:rsidRPr="00E316D7">
          <w:rPr>
            <w:rStyle w:val="Hyperlink"/>
            <w:bCs/>
            <w:noProof/>
          </w:rPr>
          <w:t>Udio ostvarenog smanjenja emisije CO</w:t>
        </w:r>
        <w:r w:rsidR="008C22AA" w:rsidRPr="00E316D7">
          <w:rPr>
            <w:rStyle w:val="Hyperlink"/>
            <w:bCs/>
            <w:noProof/>
            <w:vertAlign w:val="subscript"/>
          </w:rPr>
          <w:t>2</w:t>
        </w:r>
        <w:r w:rsidR="008C22AA" w:rsidRPr="00E316D7">
          <w:rPr>
            <w:rStyle w:val="Hyperlink"/>
            <w:bCs/>
            <w:noProof/>
          </w:rPr>
          <w:t xml:space="preserve"> u ukupno postavljenom indikativnom cilju smanjenja emisije CO</w:t>
        </w:r>
        <w:r w:rsidR="008C22AA" w:rsidRPr="00E316D7">
          <w:rPr>
            <w:rStyle w:val="Hyperlink"/>
            <w:bCs/>
            <w:noProof/>
            <w:vertAlign w:val="subscript"/>
          </w:rPr>
          <w:t>2</w:t>
        </w:r>
        <w:r w:rsidR="008C22AA" w:rsidRPr="00E316D7">
          <w:rPr>
            <w:rStyle w:val="Hyperlink"/>
            <w:bCs/>
            <w:noProof/>
          </w:rPr>
          <w:t xml:space="preserve"> do 2020. godine</w:t>
        </w:r>
        <w:r w:rsidR="008C22AA">
          <w:rPr>
            <w:noProof/>
            <w:webHidden/>
          </w:rPr>
          <w:tab/>
        </w:r>
        <w:r w:rsidR="008C22AA">
          <w:rPr>
            <w:noProof/>
            <w:webHidden/>
          </w:rPr>
          <w:fldChar w:fldCharType="begin"/>
        </w:r>
        <w:r w:rsidR="008C22AA">
          <w:rPr>
            <w:noProof/>
            <w:webHidden/>
          </w:rPr>
          <w:instrText xml:space="preserve"> PAGEREF _Toc468277489 \h </w:instrText>
        </w:r>
        <w:r w:rsidR="008C22AA">
          <w:rPr>
            <w:noProof/>
            <w:webHidden/>
          </w:rPr>
        </w:r>
        <w:r w:rsidR="008C22AA">
          <w:rPr>
            <w:noProof/>
            <w:webHidden/>
          </w:rPr>
          <w:fldChar w:fldCharType="separate"/>
        </w:r>
        <w:r w:rsidR="008C22AA">
          <w:rPr>
            <w:noProof/>
            <w:webHidden/>
          </w:rPr>
          <w:t>93</w:t>
        </w:r>
        <w:r w:rsidR="008C22AA">
          <w:rPr>
            <w:noProof/>
            <w:webHidden/>
          </w:rPr>
          <w:fldChar w:fldCharType="end"/>
        </w:r>
      </w:hyperlink>
    </w:p>
    <w:p w14:paraId="6A0361A0"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90" w:history="1">
        <w:r w:rsidR="008C22AA" w:rsidRPr="00E316D7">
          <w:rPr>
            <w:rStyle w:val="Hyperlink"/>
            <w:b/>
            <w:bCs/>
            <w:noProof/>
          </w:rPr>
          <w:t xml:space="preserve">Slika 9.5 </w:t>
        </w:r>
        <w:r w:rsidR="008C22AA" w:rsidRPr="00E316D7">
          <w:rPr>
            <w:rStyle w:val="Hyperlink"/>
            <w:bCs/>
            <w:noProof/>
          </w:rPr>
          <w:t>Usporedba ostvarenog i ciljanog smanjenja emisije CO</w:t>
        </w:r>
        <w:r w:rsidR="008C22AA" w:rsidRPr="00E316D7">
          <w:rPr>
            <w:rStyle w:val="Hyperlink"/>
            <w:bCs/>
            <w:noProof/>
            <w:vertAlign w:val="subscript"/>
          </w:rPr>
          <w:t xml:space="preserve">2 </w:t>
        </w:r>
        <w:r w:rsidR="008C22AA" w:rsidRPr="00E316D7">
          <w:rPr>
            <w:rStyle w:val="Hyperlink"/>
            <w:bCs/>
            <w:noProof/>
          </w:rPr>
          <w:t>do 2020. godine</w:t>
        </w:r>
        <w:r w:rsidR="008C22AA">
          <w:rPr>
            <w:noProof/>
            <w:webHidden/>
          </w:rPr>
          <w:tab/>
        </w:r>
        <w:r w:rsidR="008C22AA">
          <w:rPr>
            <w:noProof/>
            <w:webHidden/>
          </w:rPr>
          <w:fldChar w:fldCharType="begin"/>
        </w:r>
        <w:r w:rsidR="008C22AA">
          <w:rPr>
            <w:noProof/>
            <w:webHidden/>
          </w:rPr>
          <w:instrText xml:space="preserve"> PAGEREF _Toc468277490 \h </w:instrText>
        </w:r>
        <w:r w:rsidR="008C22AA">
          <w:rPr>
            <w:noProof/>
            <w:webHidden/>
          </w:rPr>
        </w:r>
        <w:r w:rsidR="008C22AA">
          <w:rPr>
            <w:noProof/>
            <w:webHidden/>
          </w:rPr>
          <w:fldChar w:fldCharType="separate"/>
        </w:r>
        <w:r w:rsidR="008C22AA">
          <w:rPr>
            <w:noProof/>
            <w:webHidden/>
          </w:rPr>
          <w:t>94</w:t>
        </w:r>
        <w:r w:rsidR="008C22AA">
          <w:rPr>
            <w:noProof/>
            <w:webHidden/>
          </w:rPr>
          <w:fldChar w:fldCharType="end"/>
        </w:r>
      </w:hyperlink>
    </w:p>
    <w:p w14:paraId="1EC5146A"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91" w:history="1">
        <w:r w:rsidR="008C22AA" w:rsidRPr="00E316D7">
          <w:rPr>
            <w:rStyle w:val="Hyperlink"/>
            <w:b/>
            <w:bCs/>
            <w:noProof/>
          </w:rPr>
          <w:t xml:space="preserve">Slika 10.1 </w:t>
        </w:r>
        <w:r w:rsidR="008C22AA" w:rsidRPr="00E316D7">
          <w:rPr>
            <w:rStyle w:val="Hyperlink"/>
            <w:bCs/>
            <w:noProof/>
          </w:rPr>
          <w:t>Projekcija udjela podsektora u očekivanom smanjenju emisija CO</w:t>
        </w:r>
        <w:r w:rsidR="008C22AA" w:rsidRPr="00E316D7">
          <w:rPr>
            <w:rStyle w:val="Hyperlink"/>
            <w:bCs/>
            <w:noProof/>
            <w:vertAlign w:val="subscript"/>
          </w:rPr>
          <w:t>2</w:t>
        </w:r>
        <w:r w:rsidR="008C22AA" w:rsidRPr="00E316D7">
          <w:rPr>
            <w:rStyle w:val="Hyperlink"/>
            <w:bCs/>
            <w:noProof/>
          </w:rPr>
          <w:t xml:space="preserve"> do 2020. godine</w:t>
        </w:r>
        <w:r w:rsidR="008C22AA">
          <w:rPr>
            <w:noProof/>
            <w:webHidden/>
          </w:rPr>
          <w:tab/>
        </w:r>
        <w:r w:rsidR="008C22AA">
          <w:rPr>
            <w:noProof/>
            <w:webHidden/>
          </w:rPr>
          <w:fldChar w:fldCharType="begin"/>
        </w:r>
        <w:r w:rsidR="008C22AA">
          <w:rPr>
            <w:noProof/>
            <w:webHidden/>
          </w:rPr>
          <w:instrText xml:space="preserve"> PAGEREF _Toc468277491 \h </w:instrText>
        </w:r>
        <w:r w:rsidR="008C22AA">
          <w:rPr>
            <w:noProof/>
            <w:webHidden/>
          </w:rPr>
        </w:r>
        <w:r w:rsidR="008C22AA">
          <w:rPr>
            <w:noProof/>
            <w:webHidden/>
          </w:rPr>
          <w:fldChar w:fldCharType="separate"/>
        </w:r>
        <w:r w:rsidR="008C22AA">
          <w:rPr>
            <w:noProof/>
            <w:webHidden/>
          </w:rPr>
          <w:t>98</w:t>
        </w:r>
        <w:r w:rsidR="008C22AA">
          <w:rPr>
            <w:noProof/>
            <w:webHidden/>
          </w:rPr>
          <w:fldChar w:fldCharType="end"/>
        </w:r>
      </w:hyperlink>
    </w:p>
    <w:p w14:paraId="10D24D88" w14:textId="4AFD1441" w:rsidR="00806663" w:rsidRPr="007C7920" w:rsidRDefault="00DF40AB" w:rsidP="00E92750">
      <w:pPr>
        <w:spacing w:line="240" w:lineRule="auto"/>
        <w:jc w:val="both"/>
        <w:rPr>
          <w:highlight w:val="yellow"/>
        </w:rPr>
      </w:pPr>
      <w:r w:rsidRPr="00D84DFD">
        <w:rPr>
          <w:sz w:val="28"/>
          <w:szCs w:val="28"/>
        </w:rPr>
        <w:fldChar w:fldCharType="end"/>
      </w:r>
      <w:r w:rsidR="00806663" w:rsidRPr="007C7920">
        <w:rPr>
          <w:highlight w:val="yellow"/>
        </w:rPr>
        <w:br w:type="page"/>
      </w:r>
    </w:p>
    <w:p w14:paraId="6EF51021" w14:textId="0E76BC90" w:rsidR="00DF40AB" w:rsidRPr="00D84DFD" w:rsidRDefault="007C7920" w:rsidP="00E92750">
      <w:pPr>
        <w:spacing w:line="240" w:lineRule="auto"/>
        <w:jc w:val="both"/>
        <w:rPr>
          <w:b/>
          <w:sz w:val="28"/>
          <w:szCs w:val="28"/>
        </w:rPr>
      </w:pPr>
      <w:r w:rsidRPr="00D84DFD">
        <w:rPr>
          <w:b/>
          <w:sz w:val="28"/>
          <w:szCs w:val="28"/>
        </w:rPr>
        <w:lastRenderedPageBreak/>
        <w:t>POPIS TABLICA</w:t>
      </w:r>
    </w:p>
    <w:p w14:paraId="4B2FB435" w14:textId="77777777" w:rsidR="008C22AA" w:rsidRDefault="00DF40AB">
      <w:pPr>
        <w:pStyle w:val="TableofFigures"/>
        <w:tabs>
          <w:tab w:val="right" w:leader="dot" w:pos="9062"/>
        </w:tabs>
        <w:rPr>
          <w:rFonts w:asciiTheme="minorHAnsi" w:eastAsiaTheme="minorEastAsia" w:hAnsiTheme="minorHAnsi" w:cstheme="minorBidi"/>
          <w:noProof/>
          <w:sz w:val="22"/>
          <w:szCs w:val="22"/>
          <w:lang w:eastAsia="hr-HR"/>
        </w:rPr>
      </w:pPr>
      <w:r w:rsidRPr="007C7920">
        <w:rPr>
          <w:highlight w:val="yellow"/>
        </w:rPr>
        <w:fldChar w:fldCharType="begin"/>
      </w:r>
      <w:r w:rsidRPr="007C7920">
        <w:rPr>
          <w:highlight w:val="yellow"/>
        </w:rPr>
        <w:instrText xml:space="preserve"> TOC \h \z \c "Tablica" </w:instrText>
      </w:r>
      <w:r w:rsidRPr="007C7920">
        <w:rPr>
          <w:highlight w:val="yellow"/>
        </w:rPr>
        <w:fldChar w:fldCharType="separate"/>
      </w:r>
      <w:hyperlink w:anchor="_Toc468277492" w:history="1">
        <w:r w:rsidR="008C22AA" w:rsidRPr="00927C50">
          <w:rPr>
            <w:rStyle w:val="Hyperlink"/>
            <w:rFonts w:eastAsia="Calibri"/>
            <w:b/>
            <w:bCs/>
            <w:noProof/>
          </w:rPr>
          <w:t xml:space="preserve">Tablica 3.1 </w:t>
        </w:r>
        <w:r w:rsidR="008C22AA" w:rsidRPr="00927C50">
          <w:rPr>
            <w:rStyle w:val="Hyperlink"/>
            <w:rFonts w:eastAsia="Calibri"/>
            <w:noProof/>
          </w:rPr>
          <w:t>Sadržaj službenih CoM obrazaca za izvještavanje o provedbi Akcijskog plana</w:t>
        </w:r>
        <w:r w:rsidR="008C22AA">
          <w:rPr>
            <w:noProof/>
            <w:webHidden/>
          </w:rPr>
          <w:tab/>
        </w:r>
        <w:r w:rsidR="008C22AA">
          <w:rPr>
            <w:noProof/>
            <w:webHidden/>
          </w:rPr>
          <w:fldChar w:fldCharType="begin"/>
        </w:r>
        <w:r w:rsidR="008C22AA">
          <w:rPr>
            <w:noProof/>
            <w:webHidden/>
          </w:rPr>
          <w:instrText xml:space="preserve"> PAGEREF _Toc468277492 \h </w:instrText>
        </w:r>
        <w:r w:rsidR="008C22AA">
          <w:rPr>
            <w:noProof/>
            <w:webHidden/>
          </w:rPr>
        </w:r>
        <w:r w:rsidR="008C22AA">
          <w:rPr>
            <w:noProof/>
            <w:webHidden/>
          </w:rPr>
          <w:fldChar w:fldCharType="separate"/>
        </w:r>
        <w:r w:rsidR="008C22AA">
          <w:rPr>
            <w:noProof/>
            <w:webHidden/>
          </w:rPr>
          <w:t>8</w:t>
        </w:r>
        <w:r w:rsidR="008C22AA">
          <w:rPr>
            <w:noProof/>
            <w:webHidden/>
          </w:rPr>
          <w:fldChar w:fldCharType="end"/>
        </w:r>
      </w:hyperlink>
    </w:p>
    <w:p w14:paraId="002137CA"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93" w:history="1">
        <w:r w:rsidR="008C22AA" w:rsidRPr="00927C50">
          <w:rPr>
            <w:rStyle w:val="Hyperlink"/>
            <w:rFonts w:eastAsia="Calibri"/>
            <w:b/>
            <w:bCs/>
            <w:noProof/>
          </w:rPr>
          <w:t xml:space="preserve">Tablica 4.1 </w:t>
        </w:r>
        <w:r w:rsidR="008C22AA" w:rsidRPr="00927C50">
          <w:rPr>
            <w:rStyle w:val="Hyperlink"/>
            <w:rFonts w:eastAsia="Calibri"/>
            <w:noProof/>
          </w:rPr>
          <w:t>Parametri potrošnje toplinske energije obrazovnih ustanova u vlasništvu Grada Zagreba u 2015. godini</w:t>
        </w:r>
        <w:r w:rsidR="008C22AA">
          <w:rPr>
            <w:noProof/>
            <w:webHidden/>
          </w:rPr>
          <w:tab/>
        </w:r>
        <w:r w:rsidR="008C22AA">
          <w:rPr>
            <w:noProof/>
            <w:webHidden/>
          </w:rPr>
          <w:fldChar w:fldCharType="begin"/>
        </w:r>
        <w:r w:rsidR="008C22AA">
          <w:rPr>
            <w:noProof/>
            <w:webHidden/>
          </w:rPr>
          <w:instrText xml:space="preserve"> PAGEREF _Toc468277493 \h </w:instrText>
        </w:r>
        <w:r w:rsidR="008C22AA">
          <w:rPr>
            <w:noProof/>
            <w:webHidden/>
          </w:rPr>
        </w:r>
        <w:r w:rsidR="008C22AA">
          <w:rPr>
            <w:noProof/>
            <w:webHidden/>
          </w:rPr>
          <w:fldChar w:fldCharType="separate"/>
        </w:r>
        <w:r w:rsidR="008C22AA">
          <w:rPr>
            <w:noProof/>
            <w:webHidden/>
          </w:rPr>
          <w:t>12</w:t>
        </w:r>
        <w:r w:rsidR="008C22AA">
          <w:rPr>
            <w:noProof/>
            <w:webHidden/>
          </w:rPr>
          <w:fldChar w:fldCharType="end"/>
        </w:r>
      </w:hyperlink>
    </w:p>
    <w:p w14:paraId="1565EE64"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94" w:history="1">
        <w:r w:rsidR="008C22AA" w:rsidRPr="00927C50">
          <w:rPr>
            <w:rStyle w:val="Hyperlink"/>
            <w:rFonts w:eastAsia="Calibri"/>
            <w:b/>
            <w:bCs/>
            <w:noProof/>
          </w:rPr>
          <w:t xml:space="preserve">Tablica 4.2 </w:t>
        </w:r>
        <w:r w:rsidR="008C22AA" w:rsidRPr="00927C50">
          <w:rPr>
            <w:rStyle w:val="Hyperlink"/>
            <w:rFonts w:eastAsia="Calibri"/>
            <w:noProof/>
          </w:rPr>
          <w:t>Parametri potrošnje toplinske energije objekata zdravstva i socijalne zaštite u vlasništvu Grada Zagreba u 2015. godini</w:t>
        </w:r>
        <w:r w:rsidR="008C22AA">
          <w:rPr>
            <w:noProof/>
            <w:webHidden/>
          </w:rPr>
          <w:tab/>
        </w:r>
        <w:r w:rsidR="008C22AA">
          <w:rPr>
            <w:noProof/>
            <w:webHidden/>
          </w:rPr>
          <w:fldChar w:fldCharType="begin"/>
        </w:r>
        <w:r w:rsidR="008C22AA">
          <w:rPr>
            <w:noProof/>
            <w:webHidden/>
          </w:rPr>
          <w:instrText xml:space="preserve"> PAGEREF _Toc468277494 \h </w:instrText>
        </w:r>
        <w:r w:rsidR="008C22AA">
          <w:rPr>
            <w:noProof/>
            <w:webHidden/>
          </w:rPr>
        </w:r>
        <w:r w:rsidR="008C22AA">
          <w:rPr>
            <w:noProof/>
            <w:webHidden/>
          </w:rPr>
          <w:fldChar w:fldCharType="separate"/>
        </w:r>
        <w:r w:rsidR="008C22AA">
          <w:rPr>
            <w:noProof/>
            <w:webHidden/>
          </w:rPr>
          <w:t>15</w:t>
        </w:r>
        <w:r w:rsidR="008C22AA">
          <w:rPr>
            <w:noProof/>
            <w:webHidden/>
          </w:rPr>
          <w:fldChar w:fldCharType="end"/>
        </w:r>
      </w:hyperlink>
    </w:p>
    <w:p w14:paraId="02773A0A"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95" w:history="1">
        <w:r w:rsidR="008C22AA" w:rsidRPr="00927C50">
          <w:rPr>
            <w:rStyle w:val="Hyperlink"/>
            <w:rFonts w:eastAsia="Calibri"/>
            <w:b/>
            <w:bCs/>
            <w:noProof/>
          </w:rPr>
          <w:t xml:space="preserve">Tablica 4.3 </w:t>
        </w:r>
        <w:r w:rsidR="008C22AA" w:rsidRPr="00927C50">
          <w:rPr>
            <w:rStyle w:val="Hyperlink"/>
            <w:rFonts w:eastAsia="Calibri"/>
            <w:noProof/>
          </w:rPr>
          <w:t>Parametri potrošnje toplinske energije kategorije kulturnih ustanova Grada Zagreba u 2015. godini</w:t>
        </w:r>
        <w:r w:rsidR="008C22AA">
          <w:rPr>
            <w:noProof/>
            <w:webHidden/>
          </w:rPr>
          <w:tab/>
        </w:r>
        <w:r w:rsidR="008C22AA">
          <w:rPr>
            <w:noProof/>
            <w:webHidden/>
          </w:rPr>
          <w:fldChar w:fldCharType="begin"/>
        </w:r>
        <w:r w:rsidR="008C22AA">
          <w:rPr>
            <w:noProof/>
            <w:webHidden/>
          </w:rPr>
          <w:instrText xml:space="preserve"> PAGEREF _Toc468277495 \h </w:instrText>
        </w:r>
        <w:r w:rsidR="008C22AA">
          <w:rPr>
            <w:noProof/>
            <w:webHidden/>
          </w:rPr>
        </w:r>
        <w:r w:rsidR="008C22AA">
          <w:rPr>
            <w:noProof/>
            <w:webHidden/>
          </w:rPr>
          <w:fldChar w:fldCharType="separate"/>
        </w:r>
        <w:r w:rsidR="008C22AA">
          <w:rPr>
            <w:noProof/>
            <w:webHidden/>
          </w:rPr>
          <w:t>18</w:t>
        </w:r>
        <w:r w:rsidR="008C22AA">
          <w:rPr>
            <w:noProof/>
            <w:webHidden/>
          </w:rPr>
          <w:fldChar w:fldCharType="end"/>
        </w:r>
      </w:hyperlink>
    </w:p>
    <w:p w14:paraId="32FA4CF5"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96" w:history="1">
        <w:r w:rsidR="008C22AA" w:rsidRPr="00927C50">
          <w:rPr>
            <w:rStyle w:val="Hyperlink"/>
            <w:rFonts w:eastAsia="Calibri"/>
            <w:b/>
            <w:bCs/>
            <w:noProof/>
          </w:rPr>
          <w:t xml:space="preserve">Tablica 4.4 </w:t>
        </w:r>
        <w:r w:rsidR="008C22AA" w:rsidRPr="00927C50">
          <w:rPr>
            <w:rStyle w:val="Hyperlink"/>
            <w:rFonts w:eastAsia="Calibri"/>
            <w:noProof/>
          </w:rPr>
          <w:t>Zastupljenost energenta za grijanje objekata gradske uprave i mjesne samouprave Grada Zagreba u 2015. godini</w:t>
        </w:r>
        <w:r w:rsidR="008C22AA">
          <w:rPr>
            <w:noProof/>
            <w:webHidden/>
          </w:rPr>
          <w:tab/>
        </w:r>
        <w:r w:rsidR="008C22AA">
          <w:rPr>
            <w:noProof/>
            <w:webHidden/>
          </w:rPr>
          <w:fldChar w:fldCharType="begin"/>
        </w:r>
        <w:r w:rsidR="008C22AA">
          <w:rPr>
            <w:noProof/>
            <w:webHidden/>
          </w:rPr>
          <w:instrText xml:space="preserve"> PAGEREF _Toc468277496 \h </w:instrText>
        </w:r>
        <w:r w:rsidR="008C22AA">
          <w:rPr>
            <w:noProof/>
            <w:webHidden/>
          </w:rPr>
        </w:r>
        <w:r w:rsidR="008C22AA">
          <w:rPr>
            <w:noProof/>
            <w:webHidden/>
          </w:rPr>
          <w:fldChar w:fldCharType="separate"/>
        </w:r>
        <w:r w:rsidR="008C22AA">
          <w:rPr>
            <w:noProof/>
            <w:webHidden/>
          </w:rPr>
          <w:t>20</w:t>
        </w:r>
        <w:r w:rsidR="008C22AA">
          <w:rPr>
            <w:noProof/>
            <w:webHidden/>
          </w:rPr>
          <w:fldChar w:fldCharType="end"/>
        </w:r>
      </w:hyperlink>
    </w:p>
    <w:p w14:paraId="47672F4D"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97" w:history="1">
        <w:r w:rsidR="008C22AA" w:rsidRPr="00927C50">
          <w:rPr>
            <w:rStyle w:val="Hyperlink"/>
            <w:rFonts w:eastAsia="Calibri"/>
            <w:b/>
            <w:bCs/>
            <w:noProof/>
          </w:rPr>
          <w:t xml:space="preserve">Tablica 4.5 </w:t>
        </w:r>
        <w:r w:rsidR="008C22AA" w:rsidRPr="00927C50">
          <w:rPr>
            <w:rStyle w:val="Hyperlink"/>
            <w:rFonts w:eastAsia="Calibri"/>
            <w:noProof/>
          </w:rPr>
          <w:t>Parametri potrošnje toplinske energije kategorije sportski objekti Grada Zagreba u 2015. godini</w:t>
        </w:r>
        <w:r w:rsidR="008C22AA">
          <w:rPr>
            <w:noProof/>
            <w:webHidden/>
          </w:rPr>
          <w:tab/>
        </w:r>
        <w:r w:rsidR="008C22AA">
          <w:rPr>
            <w:noProof/>
            <w:webHidden/>
          </w:rPr>
          <w:fldChar w:fldCharType="begin"/>
        </w:r>
        <w:r w:rsidR="008C22AA">
          <w:rPr>
            <w:noProof/>
            <w:webHidden/>
          </w:rPr>
          <w:instrText xml:space="preserve"> PAGEREF _Toc468277497 \h </w:instrText>
        </w:r>
        <w:r w:rsidR="008C22AA">
          <w:rPr>
            <w:noProof/>
            <w:webHidden/>
          </w:rPr>
        </w:r>
        <w:r w:rsidR="008C22AA">
          <w:rPr>
            <w:noProof/>
            <w:webHidden/>
          </w:rPr>
          <w:fldChar w:fldCharType="separate"/>
        </w:r>
        <w:r w:rsidR="008C22AA">
          <w:rPr>
            <w:noProof/>
            <w:webHidden/>
          </w:rPr>
          <w:t>22</w:t>
        </w:r>
        <w:r w:rsidR="008C22AA">
          <w:rPr>
            <w:noProof/>
            <w:webHidden/>
          </w:rPr>
          <w:fldChar w:fldCharType="end"/>
        </w:r>
      </w:hyperlink>
    </w:p>
    <w:p w14:paraId="5C8E66E3"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98" w:history="1">
        <w:r w:rsidR="008C22AA" w:rsidRPr="00927C50">
          <w:rPr>
            <w:rStyle w:val="Hyperlink"/>
            <w:b/>
            <w:bCs/>
            <w:noProof/>
          </w:rPr>
          <w:t xml:space="preserve">Tablica 4.6 </w:t>
        </w:r>
        <w:r w:rsidR="008C22AA" w:rsidRPr="00927C50">
          <w:rPr>
            <w:rStyle w:val="Hyperlink"/>
            <w:noProof/>
          </w:rPr>
          <w:t>Parametri potrošnje toplinske energije kategorije ostali objekti u vlasništvu Grada Zagreba u 2015. godini</w:t>
        </w:r>
        <w:r w:rsidR="008C22AA">
          <w:rPr>
            <w:noProof/>
            <w:webHidden/>
          </w:rPr>
          <w:tab/>
        </w:r>
        <w:r w:rsidR="008C22AA">
          <w:rPr>
            <w:noProof/>
            <w:webHidden/>
          </w:rPr>
          <w:fldChar w:fldCharType="begin"/>
        </w:r>
        <w:r w:rsidR="008C22AA">
          <w:rPr>
            <w:noProof/>
            <w:webHidden/>
          </w:rPr>
          <w:instrText xml:space="preserve"> PAGEREF _Toc468277498 \h </w:instrText>
        </w:r>
        <w:r w:rsidR="008C22AA">
          <w:rPr>
            <w:noProof/>
            <w:webHidden/>
          </w:rPr>
        </w:r>
        <w:r w:rsidR="008C22AA">
          <w:rPr>
            <w:noProof/>
            <w:webHidden/>
          </w:rPr>
          <w:fldChar w:fldCharType="separate"/>
        </w:r>
        <w:r w:rsidR="008C22AA">
          <w:rPr>
            <w:noProof/>
            <w:webHidden/>
          </w:rPr>
          <w:t>23</w:t>
        </w:r>
        <w:r w:rsidR="008C22AA">
          <w:rPr>
            <w:noProof/>
            <w:webHidden/>
          </w:rPr>
          <w:fldChar w:fldCharType="end"/>
        </w:r>
      </w:hyperlink>
    </w:p>
    <w:p w14:paraId="5E0E06C1"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499" w:history="1">
        <w:r w:rsidR="008C22AA" w:rsidRPr="00927C50">
          <w:rPr>
            <w:rStyle w:val="Hyperlink"/>
            <w:b/>
            <w:bCs/>
            <w:noProof/>
          </w:rPr>
          <w:t xml:space="preserve">Tablica 4.7 </w:t>
        </w:r>
        <w:r w:rsidR="008C22AA" w:rsidRPr="00927C50">
          <w:rPr>
            <w:rStyle w:val="Hyperlink"/>
            <w:bCs/>
            <w:noProof/>
          </w:rPr>
          <w:t>Kategorije i broj zgrada u vlasništvu Grada Zagreba obuhvaćenih energetskom analizom</w:t>
        </w:r>
        <w:r w:rsidR="008C22AA">
          <w:rPr>
            <w:noProof/>
            <w:webHidden/>
          </w:rPr>
          <w:tab/>
        </w:r>
        <w:r w:rsidR="008C22AA">
          <w:rPr>
            <w:noProof/>
            <w:webHidden/>
          </w:rPr>
          <w:fldChar w:fldCharType="begin"/>
        </w:r>
        <w:r w:rsidR="008C22AA">
          <w:rPr>
            <w:noProof/>
            <w:webHidden/>
          </w:rPr>
          <w:instrText xml:space="preserve"> PAGEREF _Toc468277499 \h </w:instrText>
        </w:r>
        <w:r w:rsidR="008C22AA">
          <w:rPr>
            <w:noProof/>
            <w:webHidden/>
          </w:rPr>
        </w:r>
        <w:r w:rsidR="008C22AA">
          <w:rPr>
            <w:noProof/>
            <w:webHidden/>
          </w:rPr>
          <w:fldChar w:fldCharType="separate"/>
        </w:r>
        <w:r w:rsidR="008C22AA">
          <w:rPr>
            <w:noProof/>
            <w:webHidden/>
          </w:rPr>
          <w:t>24</w:t>
        </w:r>
        <w:r w:rsidR="008C22AA">
          <w:rPr>
            <w:noProof/>
            <w:webHidden/>
          </w:rPr>
          <w:fldChar w:fldCharType="end"/>
        </w:r>
      </w:hyperlink>
    </w:p>
    <w:p w14:paraId="5B25F05B"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00" w:history="1">
        <w:r w:rsidR="008C22AA" w:rsidRPr="00927C50">
          <w:rPr>
            <w:rStyle w:val="Hyperlink"/>
            <w:b/>
            <w:bCs/>
            <w:noProof/>
          </w:rPr>
          <w:t xml:space="preserve">Tablica 4.8 </w:t>
        </w:r>
        <w:r w:rsidR="008C22AA" w:rsidRPr="00927C50">
          <w:rPr>
            <w:rStyle w:val="Hyperlink"/>
            <w:bCs/>
            <w:noProof/>
          </w:rPr>
          <w:t>Potrošnja električne energije za ne-toplinske namjene u zgradama u vlasništvu Grada Zagreba u 2015. godini</w:t>
        </w:r>
        <w:r w:rsidR="008C22AA">
          <w:rPr>
            <w:noProof/>
            <w:webHidden/>
          </w:rPr>
          <w:tab/>
        </w:r>
        <w:r w:rsidR="008C22AA">
          <w:rPr>
            <w:noProof/>
            <w:webHidden/>
          </w:rPr>
          <w:fldChar w:fldCharType="begin"/>
        </w:r>
        <w:r w:rsidR="008C22AA">
          <w:rPr>
            <w:noProof/>
            <w:webHidden/>
          </w:rPr>
          <w:instrText xml:space="preserve"> PAGEREF _Toc468277500 \h </w:instrText>
        </w:r>
        <w:r w:rsidR="008C22AA">
          <w:rPr>
            <w:noProof/>
            <w:webHidden/>
          </w:rPr>
        </w:r>
        <w:r w:rsidR="008C22AA">
          <w:rPr>
            <w:noProof/>
            <w:webHidden/>
          </w:rPr>
          <w:fldChar w:fldCharType="separate"/>
        </w:r>
        <w:r w:rsidR="008C22AA">
          <w:rPr>
            <w:noProof/>
            <w:webHidden/>
          </w:rPr>
          <w:t>25</w:t>
        </w:r>
        <w:r w:rsidR="008C22AA">
          <w:rPr>
            <w:noProof/>
            <w:webHidden/>
          </w:rPr>
          <w:fldChar w:fldCharType="end"/>
        </w:r>
      </w:hyperlink>
    </w:p>
    <w:p w14:paraId="5982AF85"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01" w:history="1">
        <w:r w:rsidR="008C22AA" w:rsidRPr="00927C50">
          <w:rPr>
            <w:rStyle w:val="Hyperlink"/>
            <w:b/>
            <w:bCs/>
            <w:noProof/>
          </w:rPr>
          <w:t xml:space="preserve">Tablica 4.9 </w:t>
        </w:r>
        <w:r w:rsidR="008C22AA" w:rsidRPr="00927C50">
          <w:rPr>
            <w:rStyle w:val="Hyperlink"/>
            <w:bCs/>
            <w:noProof/>
          </w:rPr>
          <w:t>Potrošnja toplinske energije u zgradama u vlasništvu Grada Zagreba prema podkategorijama u 2015. godini</w:t>
        </w:r>
        <w:r w:rsidR="008C22AA">
          <w:rPr>
            <w:noProof/>
            <w:webHidden/>
          </w:rPr>
          <w:tab/>
        </w:r>
        <w:r w:rsidR="008C22AA">
          <w:rPr>
            <w:noProof/>
            <w:webHidden/>
          </w:rPr>
          <w:fldChar w:fldCharType="begin"/>
        </w:r>
        <w:r w:rsidR="008C22AA">
          <w:rPr>
            <w:noProof/>
            <w:webHidden/>
          </w:rPr>
          <w:instrText xml:space="preserve"> PAGEREF _Toc468277501 \h </w:instrText>
        </w:r>
        <w:r w:rsidR="008C22AA">
          <w:rPr>
            <w:noProof/>
            <w:webHidden/>
          </w:rPr>
        </w:r>
        <w:r w:rsidR="008C22AA">
          <w:rPr>
            <w:noProof/>
            <w:webHidden/>
          </w:rPr>
          <w:fldChar w:fldCharType="separate"/>
        </w:r>
        <w:r w:rsidR="008C22AA">
          <w:rPr>
            <w:noProof/>
            <w:webHidden/>
          </w:rPr>
          <w:t>26</w:t>
        </w:r>
        <w:r w:rsidR="008C22AA">
          <w:rPr>
            <w:noProof/>
            <w:webHidden/>
          </w:rPr>
          <w:fldChar w:fldCharType="end"/>
        </w:r>
      </w:hyperlink>
    </w:p>
    <w:p w14:paraId="059460B4"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02" w:history="1">
        <w:r w:rsidR="008C22AA" w:rsidRPr="00927C50">
          <w:rPr>
            <w:rStyle w:val="Hyperlink"/>
            <w:b/>
            <w:bCs/>
            <w:noProof/>
          </w:rPr>
          <w:t xml:space="preserve">Tablica 4.10 </w:t>
        </w:r>
        <w:r w:rsidR="008C22AA" w:rsidRPr="00927C50">
          <w:rPr>
            <w:rStyle w:val="Hyperlink"/>
            <w:bCs/>
            <w:noProof/>
          </w:rPr>
          <w:t>Zastupljenost pojedinog energenta za grijanje prostora u 2015. godini prema broju objekata</w:t>
        </w:r>
        <w:r w:rsidR="008C22AA">
          <w:rPr>
            <w:noProof/>
            <w:webHidden/>
          </w:rPr>
          <w:tab/>
        </w:r>
        <w:r w:rsidR="008C22AA">
          <w:rPr>
            <w:noProof/>
            <w:webHidden/>
          </w:rPr>
          <w:fldChar w:fldCharType="begin"/>
        </w:r>
        <w:r w:rsidR="008C22AA">
          <w:rPr>
            <w:noProof/>
            <w:webHidden/>
          </w:rPr>
          <w:instrText xml:space="preserve"> PAGEREF _Toc468277502 \h </w:instrText>
        </w:r>
        <w:r w:rsidR="008C22AA">
          <w:rPr>
            <w:noProof/>
            <w:webHidden/>
          </w:rPr>
        </w:r>
        <w:r w:rsidR="008C22AA">
          <w:rPr>
            <w:noProof/>
            <w:webHidden/>
          </w:rPr>
          <w:fldChar w:fldCharType="separate"/>
        </w:r>
        <w:r w:rsidR="008C22AA">
          <w:rPr>
            <w:noProof/>
            <w:webHidden/>
          </w:rPr>
          <w:t>27</w:t>
        </w:r>
        <w:r w:rsidR="008C22AA">
          <w:rPr>
            <w:noProof/>
            <w:webHidden/>
          </w:rPr>
          <w:fldChar w:fldCharType="end"/>
        </w:r>
      </w:hyperlink>
    </w:p>
    <w:p w14:paraId="284E95A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03" w:history="1">
        <w:r w:rsidR="008C22AA" w:rsidRPr="00927C50">
          <w:rPr>
            <w:rStyle w:val="Hyperlink"/>
            <w:b/>
            <w:bCs/>
            <w:noProof/>
          </w:rPr>
          <w:t xml:space="preserve">Tablica 4.11 </w:t>
        </w:r>
        <w:r w:rsidR="008C22AA" w:rsidRPr="00927C50">
          <w:rPr>
            <w:rStyle w:val="Hyperlink"/>
            <w:bCs/>
            <w:noProof/>
          </w:rPr>
          <w:t>Zastupljenost pojedinog energenta za grijanje prostora u 2015. godini prema grijanoj površini</w:t>
        </w:r>
        <w:r w:rsidR="008C22AA">
          <w:rPr>
            <w:noProof/>
            <w:webHidden/>
          </w:rPr>
          <w:tab/>
        </w:r>
        <w:r w:rsidR="008C22AA">
          <w:rPr>
            <w:noProof/>
            <w:webHidden/>
          </w:rPr>
          <w:fldChar w:fldCharType="begin"/>
        </w:r>
        <w:r w:rsidR="008C22AA">
          <w:rPr>
            <w:noProof/>
            <w:webHidden/>
          </w:rPr>
          <w:instrText xml:space="preserve"> PAGEREF _Toc468277503 \h </w:instrText>
        </w:r>
        <w:r w:rsidR="008C22AA">
          <w:rPr>
            <w:noProof/>
            <w:webHidden/>
          </w:rPr>
        </w:r>
        <w:r w:rsidR="008C22AA">
          <w:rPr>
            <w:noProof/>
            <w:webHidden/>
          </w:rPr>
          <w:fldChar w:fldCharType="separate"/>
        </w:r>
        <w:r w:rsidR="008C22AA">
          <w:rPr>
            <w:noProof/>
            <w:webHidden/>
          </w:rPr>
          <w:t>28</w:t>
        </w:r>
        <w:r w:rsidR="008C22AA">
          <w:rPr>
            <w:noProof/>
            <w:webHidden/>
          </w:rPr>
          <w:fldChar w:fldCharType="end"/>
        </w:r>
      </w:hyperlink>
    </w:p>
    <w:p w14:paraId="69CF4330"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04" w:history="1">
        <w:r w:rsidR="008C22AA" w:rsidRPr="00927C50">
          <w:rPr>
            <w:rStyle w:val="Hyperlink"/>
            <w:rFonts w:cstheme="minorHAnsi"/>
            <w:b/>
            <w:bCs/>
            <w:noProof/>
          </w:rPr>
          <w:t xml:space="preserve">Tablica 4.12 </w:t>
        </w:r>
        <w:r w:rsidR="008C22AA" w:rsidRPr="00927C50">
          <w:rPr>
            <w:rStyle w:val="Hyperlink"/>
            <w:rFonts w:cstheme="minorHAnsi"/>
            <w:noProof/>
          </w:rPr>
          <w:t>Parametri potrošnje energije u zgradama u vlasništvu Holdinga u 2015. godini</w:t>
        </w:r>
        <w:r w:rsidR="008C22AA">
          <w:rPr>
            <w:noProof/>
            <w:webHidden/>
          </w:rPr>
          <w:tab/>
        </w:r>
        <w:r w:rsidR="008C22AA">
          <w:rPr>
            <w:noProof/>
            <w:webHidden/>
          </w:rPr>
          <w:fldChar w:fldCharType="begin"/>
        </w:r>
        <w:r w:rsidR="008C22AA">
          <w:rPr>
            <w:noProof/>
            <w:webHidden/>
          </w:rPr>
          <w:instrText xml:space="preserve"> PAGEREF _Toc468277504 \h </w:instrText>
        </w:r>
        <w:r w:rsidR="008C22AA">
          <w:rPr>
            <w:noProof/>
            <w:webHidden/>
          </w:rPr>
        </w:r>
        <w:r w:rsidR="008C22AA">
          <w:rPr>
            <w:noProof/>
            <w:webHidden/>
          </w:rPr>
          <w:fldChar w:fldCharType="separate"/>
        </w:r>
        <w:r w:rsidR="008C22AA">
          <w:rPr>
            <w:noProof/>
            <w:webHidden/>
          </w:rPr>
          <w:t>31</w:t>
        </w:r>
        <w:r w:rsidR="008C22AA">
          <w:rPr>
            <w:noProof/>
            <w:webHidden/>
          </w:rPr>
          <w:fldChar w:fldCharType="end"/>
        </w:r>
      </w:hyperlink>
    </w:p>
    <w:p w14:paraId="4F517263"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05" w:history="1">
        <w:r w:rsidR="008C22AA" w:rsidRPr="00927C50">
          <w:rPr>
            <w:rStyle w:val="Hyperlink"/>
            <w:b/>
            <w:bCs/>
            <w:noProof/>
          </w:rPr>
          <w:t>Tablica 4.13</w:t>
        </w:r>
        <w:r w:rsidR="008C22AA" w:rsidRPr="00927C50">
          <w:rPr>
            <w:rStyle w:val="Hyperlink"/>
            <w:noProof/>
          </w:rPr>
          <w:t xml:space="preserve"> Potrošnja energije u stambenom podsektoru Grada Zagreba u 2015. godini</w:t>
        </w:r>
        <w:r w:rsidR="008C22AA">
          <w:rPr>
            <w:noProof/>
            <w:webHidden/>
          </w:rPr>
          <w:tab/>
        </w:r>
        <w:r w:rsidR="008C22AA">
          <w:rPr>
            <w:noProof/>
            <w:webHidden/>
          </w:rPr>
          <w:fldChar w:fldCharType="begin"/>
        </w:r>
        <w:r w:rsidR="008C22AA">
          <w:rPr>
            <w:noProof/>
            <w:webHidden/>
          </w:rPr>
          <w:instrText xml:space="preserve"> PAGEREF _Toc468277505 \h </w:instrText>
        </w:r>
        <w:r w:rsidR="008C22AA">
          <w:rPr>
            <w:noProof/>
            <w:webHidden/>
          </w:rPr>
        </w:r>
        <w:r w:rsidR="008C22AA">
          <w:rPr>
            <w:noProof/>
            <w:webHidden/>
          </w:rPr>
          <w:fldChar w:fldCharType="separate"/>
        </w:r>
        <w:r w:rsidR="008C22AA">
          <w:rPr>
            <w:noProof/>
            <w:webHidden/>
          </w:rPr>
          <w:t>36</w:t>
        </w:r>
        <w:r w:rsidR="008C22AA">
          <w:rPr>
            <w:noProof/>
            <w:webHidden/>
          </w:rPr>
          <w:fldChar w:fldCharType="end"/>
        </w:r>
      </w:hyperlink>
    </w:p>
    <w:p w14:paraId="029E13AA"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06" w:history="1">
        <w:r w:rsidR="008C22AA" w:rsidRPr="00927C50">
          <w:rPr>
            <w:rStyle w:val="Hyperlink"/>
            <w:b/>
            <w:bCs/>
            <w:noProof/>
          </w:rPr>
          <w:t>Tablica 4.14</w:t>
        </w:r>
        <w:r w:rsidR="008C22AA" w:rsidRPr="00927C50">
          <w:rPr>
            <w:rStyle w:val="Hyperlink"/>
            <w:noProof/>
          </w:rPr>
          <w:t xml:space="preserve"> Potrošnja energije u komercijalnom i uslužnom podsektoru Grada Zagreba u 2015. godini</w:t>
        </w:r>
        <w:r w:rsidR="008C22AA">
          <w:rPr>
            <w:noProof/>
            <w:webHidden/>
          </w:rPr>
          <w:tab/>
        </w:r>
        <w:r w:rsidR="008C22AA">
          <w:rPr>
            <w:noProof/>
            <w:webHidden/>
          </w:rPr>
          <w:fldChar w:fldCharType="begin"/>
        </w:r>
        <w:r w:rsidR="008C22AA">
          <w:rPr>
            <w:noProof/>
            <w:webHidden/>
          </w:rPr>
          <w:instrText xml:space="preserve"> PAGEREF _Toc468277506 \h </w:instrText>
        </w:r>
        <w:r w:rsidR="008C22AA">
          <w:rPr>
            <w:noProof/>
            <w:webHidden/>
          </w:rPr>
        </w:r>
        <w:r w:rsidR="008C22AA">
          <w:rPr>
            <w:noProof/>
            <w:webHidden/>
          </w:rPr>
          <w:fldChar w:fldCharType="separate"/>
        </w:r>
        <w:r w:rsidR="008C22AA">
          <w:rPr>
            <w:noProof/>
            <w:webHidden/>
          </w:rPr>
          <w:t>39</w:t>
        </w:r>
        <w:r w:rsidR="008C22AA">
          <w:rPr>
            <w:noProof/>
            <w:webHidden/>
          </w:rPr>
          <w:fldChar w:fldCharType="end"/>
        </w:r>
      </w:hyperlink>
    </w:p>
    <w:p w14:paraId="0565101E"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07" w:history="1">
        <w:r w:rsidR="008C22AA" w:rsidRPr="00927C50">
          <w:rPr>
            <w:rStyle w:val="Hyperlink"/>
            <w:b/>
            <w:noProof/>
          </w:rPr>
          <w:t xml:space="preserve">Tablica 5.1 </w:t>
        </w:r>
        <w:r w:rsidR="008C22AA" w:rsidRPr="00927C50">
          <w:rPr>
            <w:rStyle w:val="Hyperlink"/>
            <w:noProof/>
          </w:rPr>
          <w:t>Potrošnje goriva vozila u vlasništvu i korištenju Grada Zagreba</w:t>
        </w:r>
        <w:r w:rsidR="008C22AA">
          <w:rPr>
            <w:noProof/>
            <w:webHidden/>
          </w:rPr>
          <w:tab/>
        </w:r>
        <w:r w:rsidR="008C22AA">
          <w:rPr>
            <w:noProof/>
            <w:webHidden/>
          </w:rPr>
          <w:fldChar w:fldCharType="begin"/>
        </w:r>
        <w:r w:rsidR="008C22AA">
          <w:rPr>
            <w:noProof/>
            <w:webHidden/>
          </w:rPr>
          <w:instrText xml:space="preserve"> PAGEREF _Toc468277507 \h </w:instrText>
        </w:r>
        <w:r w:rsidR="008C22AA">
          <w:rPr>
            <w:noProof/>
            <w:webHidden/>
          </w:rPr>
        </w:r>
        <w:r w:rsidR="008C22AA">
          <w:rPr>
            <w:noProof/>
            <w:webHidden/>
          </w:rPr>
          <w:fldChar w:fldCharType="separate"/>
        </w:r>
        <w:r w:rsidR="008C22AA">
          <w:rPr>
            <w:noProof/>
            <w:webHidden/>
          </w:rPr>
          <w:t>44</w:t>
        </w:r>
        <w:r w:rsidR="008C22AA">
          <w:rPr>
            <w:noProof/>
            <w:webHidden/>
          </w:rPr>
          <w:fldChar w:fldCharType="end"/>
        </w:r>
      </w:hyperlink>
    </w:p>
    <w:p w14:paraId="1127FA96"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08" w:history="1">
        <w:r w:rsidR="008C22AA" w:rsidRPr="00927C50">
          <w:rPr>
            <w:rStyle w:val="Hyperlink"/>
            <w:b/>
            <w:noProof/>
          </w:rPr>
          <w:t xml:space="preserve">Tablica 5.2 </w:t>
        </w:r>
        <w:r w:rsidR="008C22AA" w:rsidRPr="00927C50">
          <w:rPr>
            <w:rStyle w:val="Hyperlink"/>
            <w:noProof/>
          </w:rPr>
          <w:t>Broj prevezenih putnika javnim prijevozom u organizaciji ZET-a</w:t>
        </w:r>
        <w:r w:rsidR="008C22AA">
          <w:rPr>
            <w:noProof/>
            <w:webHidden/>
          </w:rPr>
          <w:tab/>
        </w:r>
        <w:r w:rsidR="008C22AA">
          <w:rPr>
            <w:noProof/>
            <w:webHidden/>
          </w:rPr>
          <w:fldChar w:fldCharType="begin"/>
        </w:r>
        <w:r w:rsidR="008C22AA">
          <w:rPr>
            <w:noProof/>
            <w:webHidden/>
          </w:rPr>
          <w:instrText xml:space="preserve"> PAGEREF _Toc468277508 \h </w:instrText>
        </w:r>
        <w:r w:rsidR="008C22AA">
          <w:rPr>
            <w:noProof/>
            <w:webHidden/>
          </w:rPr>
        </w:r>
        <w:r w:rsidR="008C22AA">
          <w:rPr>
            <w:noProof/>
            <w:webHidden/>
          </w:rPr>
          <w:fldChar w:fldCharType="separate"/>
        </w:r>
        <w:r w:rsidR="008C22AA">
          <w:rPr>
            <w:noProof/>
            <w:webHidden/>
          </w:rPr>
          <w:t>46</w:t>
        </w:r>
        <w:r w:rsidR="008C22AA">
          <w:rPr>
            <w:noProof/>
            <w:webHidden/>
          </w:rPr>
          <w:fldChar w:fldCharType="end"/>
        </w:r>
      </w:hyperlink>
    </w:p>
    <w:p w14:paraId="45C512FE"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09" w:history="1">
        <w:r w:rsidR="008C22AA" w:rsidRPr="00927C50">
          <w:rPr>
            <w:rStyle w:val="Hyperlink"/>
            <w:noProof/>
          </w:rPr>
          <w:t>Tablica 5.3 Prikaz tramvajskih putničkih vozila u 2015. godini</w:t>
        </w:r>
        <w:r w:rsidR="008C22AA">
          <w:rPr>
            <w:noProof/>
            <w:webHidden/>
          </w:rPr>
          <w:tab/>
        </w:r>
        <w:r w:rsidR="008C22AA">
          <w:rPr>
            <w:noProof/>
            <w:webHidden/>
          </w:rPr>
          <w:fldChar w:fldCharType="begin"/>
        </w:r>
        <w:r w:rsidR="008C22AA">
          <w:rPr>
            <w:noProof/>
            <w:webHidden/>
          </w:rPr>
          <w:instrText xml:space="preserve"> PAGEREF _Toc468277509 \h </w:instrText>
        </w:r>
        <w:r w:rsidR="008C22AA">
          <w:rPr>
            <w:noProof/>
            <w:webHidden/>
          </w:rPr>
        </w:r>
        <w:r w:rsidR="008C22AA">
          <w:rPr>
            <w:noProof/>
            <w:webHidden/>
          </w:rPr>
          <w:fldChar w:fldCharType="separate"/>
        </w:r>
        <w:r w:rsidR="008C22AA">
          <w:rPr>
            <w:noProof/>
            <w:webHidden/>
          </w:rPr>
          <w:t>48</w:t>
        </w:r>
        <w:r w:rsidR="008C22AA">
          <w:rPr>
            <w:noProof/>
            <w:webHidden/>
          </w:rPr>
          <w:fldChar w:fldCharType="end"/>
        </w:r>
      </w:hyperlink>
    </w:p>
    <w:p w14:paraId="347661F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10" w:history="1">
        <w:r w:rsidR="008C22AA" w:rsidRPr="00927C50">
          <w:rPr>
            <w:rStyle w:val="Hyperlink"/>
            <w:b/>
            <w:noProof/>
          </w:rPr>
          <w:t xml:space="preserve">Tablica 5.4 </w:t>
        </w:r>
        <w:r w:rsidR="008C22AA" w:rsidRPr="00927C50">
          <w:rPr>
            <w:rStyle w:val="Hyperlink"/>
            <w:noProof/>
          </w:rPr>
          <w:t>Potrošnja energije u željezničkom prijevozu na području Grada Zagreba</w:t>
        </w:r>
        <w:r w:rsidR="008C22AA">
          <w:rPr>
            <w:noProof/>
            <w:webHidden/>
          </w:rPr>
          <w:tab/>
        </w:r>
        <w:r w:rsidR="008C22AA">
          <w:rPr>
            <w:noProof/>
            <w:webHidden/>
          </w:rPr>
          <w:fldChar w:fldCharType="begin"/>
        </w:r>
        <w:r w:rsidR="008C22AA">
          <w:rPr>
            <w:noProof/>
            <w:webHidden/>
          </w:rPr>
          <w:instrText xml:space="preserve"> PAGEREF _Toc468277510 \h </w:instrText>
        </w:r>
        <w:r w:rsidR="008C22AA">
          <w:rPr>
            <w:noProof/>
            <w:webHidden/>
          </w:rPr>
        </w:r>
        <w:r w:rsidR="008C22AA">
          <w:rPr>
            <w:noProof/>
            <w:webHidden/>
          </w:rPr>
          <w:fldChar w:fldCharType="separate"/>
        </w:r>
        <w:r w:rsidR="008C22AA">
          <w:rPr>
            <w:noProof/>
            <w:webHidden/>
          </w:rPr>
          <w:t>56</w:t>
        </w:r>
        <w:r w:rsidR="008C22AA">
          <w:rPr>
            <w:noProof/>
            <w:webHidden/>
          </w:rPr>
          <w:fldChar w:fldCharType="end"/>
        </w:r>
      </w:hyperlink>
    </w:p>
    <w:p w14:paraId="3C983D9B"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11" w:history="1">
        <w:r w:rsidR="008C22AA" w:rsidRPr="00927C50">
          <w:rPr>
            <w:rStyle w:val="Hyperlink"/>
            <w:b/>
            <w:noProof/>
          </w:rPr>
          <w:t xml:space="preserve">Tablica 5.5 </w:t>
        </w:r>
        <w:r w:rsidR="008C22AA" w:rsidRPr="00927C50">
          <w:rPr>
            <w:rStyle w:val="Hyperlink"/>
            <w:noProof/>
          </w:rPr>
          <w:t>Broj osobnih i komercijalnih vozila po vrsti vozila i vrsti goriva na području Grada Zagreba u 2015. godini</w:t>
        </w:r>
        <w:r w:rsidR="008C22AA">
          <w:rPr>
            <w:noProof/>
            <w:webHidden/>
          </w:rPr>
          <w:tab/>
        </w:r>
        <w:r w:rsidR="008C22AA">
          <w:rPr>
            <w:noProof/>
            <w:webHidden/>
          </w:rPr>
          <w:fldChar w:fldCharType="begin"/>
        </w:r>
        <w:r w:rsidR="008C22AA">
          <w:rPr>
            <w:noProof/>
            <w:webHidden/>
          </w:rPr>
          <w:instrText xml:space="preserve"> PAGEREF _Toc468277511 \h </w:instrText>
        </w:r>
        <w:r w:rsidR="008C22AA">
          <w:rPr>
            <w:noProof/>
            <w:webHidden/>
          </w:rPr>
        </w:r>
        <w:r w:rsidR="008C22AA">
          <w:rPr>
            <w:noProof/>
            <w:webHidden/>
          </w:rPr>
          <w:fldChar w:fldCharType="separate"/>
        </w:r>
        <w:r w:rsidR="008C22AA">
          <w:rPr>
            <w:noProof/>
            <w:webHidden/>
          </w:rPr>
          <w:t>57</w:t>
        </w:r>
        <w:r w:rsidR="008C22AA">
          <w:rPr>
            <w:noProof/>
            <w:webHidden/>
          </w:rPr>
          <w:fldChar w:fldCharType="end"/>
        </w:r>
      </w:hyperlink>
    </w:p>
    <w:p w14:paraId="37804218"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12" w:history="1">
        <w:r w:rsidR="008C22AA" w:rsidRPr="00927C50">
          <w:rPr>
            <w:rStyle w:val="Hyperlink"/>
            <w:b/>
            <w:noProof/>
          </w:rPr>
          <w:t>Tablica 5.6</w:t>
        </w:r>
        <w:r w:rsidR="008C22AA" w:rsidRPr="00927C50">
          <w:rPr>
            <w:rStyle w:val="Hyperlink"/>
            <w:noProof/>
          </w:rPr>
          <w:t xml:space="preserve"> Potrošnja goriva podsektora osobna i komercijalna vozila na području Grada Zagreba</w:t>
        </w:r>
        <w:r w:rsidR="008C22AA">
          <w:rPr>
            <w:noProof/>
            <w:webHidden/>
          </w:rPr>
          <w:tab/>
        </w:r>
        <w:r w:rsidR="008C22AA">
          <w:rPr>
            <w:noProof/>
            <w:webHidden/>
          </w:rPr>
          <w:fldChar w:fldCharType="begin"/>
        </w:r>
        <w:r w:rsidR="008C22AA">
          <w:rPr>
            <w:noProof/>
            <w:webHidden/>
          </w:rPr>
          <w:instrText xml:space="preserve"> PAGEREF _Toc468277512 \h </w:instrText>
        </w:r>
        <w:r w:rsidR="008C22AA">
          <w:rPr>
            <w:noProof/>
            <w:webHidden/>
          </w:rPr>
        </w:r>
        <w:r w:rsidR="008C22AA">
          <w:rPr>
            <w:noProof/>
            <w:webHidden/>
          </w:rPr>
          <w:fldChar w:fldCharType="separate"/>
        </w:r>
        <w:r w:rsidR="008C22AA">
          <w:rPr>
            <w:noProof/>
            <w:webHidden/>
          </w:rPr>
          <w:t>61</w:t>
        </w:r>
        <w:r w:rsidR="008C22AA">
          <w:rPr>
            <w:noProof/>
            <w:webHidden/>
          </w:rPr>
          <w:fldChar w:fldCharType="end"/>
        </w:r>
      </w:hyperlink>
    </w:p>
    <w:p w14:paraId="4E7463F1"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13" w:history="1">
        <w:r w:rsidR="008C22AA" w:rsidRPr="00927C50">
          <w:rPr>
            <w:rStyle w:val="Hyperlink"/>
            <w:rFonts w:eastAsia="Calibri"/>
            <w:b/>
            <w:bCs/>
            <w:noProof/>
          </w:rPr>
          <w:t xml:space="preserve">Tablica 7.1 </w:t>
        </w:r>
        <w:r w:rsidR="008C22AA" w:rsidRPr="00927C50">
          <w:rPr>
            <w:rStyle w:val="Hyperlink"/>
            <w:rFonts w:eastAsia="Calibri"/>
            <w:noProof/>
          </w:rPr>
          <w:t>Korišteni emisijski faktori za određivanje emisija CO</w:t>
        </w:r>
        <w:r w:rsidR="008C22AA" w:rsidRPr="00927C50">
          <w:rPr>
            <w:rStyle w:val="Hyperlink"/>
            <w:rFonts w:eastAsia="Calibri"/>
            <w:noProof/>
            <w:vertAlign w:val="subscript"/>
          </w:rPr>
          <w:t>2</w:t>
        </w:r>
        <w:r w:rsidR="008C22AA" w:rsidRPr="00927C50">
          <w:rPr>
            <w:rStyle w:val="Hyperlink"/>
            <w:rFonts w:eastAsia="Calibri"/>
            <w:noProof/>
          </w:rPr>
          <w:t xml:space="preserve"> iz sektora zgradarstva</w:t>
        </w:r>
        <w:r w:rsidR="008C22AA">
          <w:rPr>
            <w:noProof/>
            <w:webHidden/>
          </w:rPr>
          <w:tab/>
        </w:r>
        <w:r w:rsidR="008C22AA">
          <w:rPr>
            <w:noProof/>
            <w:webHidden/>
          </w:rPr>
          <w:fldChar w:fldCharType="begin"/>
        </w:r>
        <w:r w:rsidR="008C22AA">
          <w:rPr>
            <w:noProof/>
            <w:webHidden/>
          </w:rPr>
          <w:instrText xml:space="preserve"> PAGEREF _Toc468277513 \h </w:instrText>
        </w:r>
        <w:r w:rsidR="008C22AA">
          <w:rPr>
            <w:noProof/>
            <w:webHidden/>
          </w:rPr>
        </w:r>
        <w:r w:rsidR="008C22AA">
          <w:rPr>
            <w:noProof/>
            <w:webHidden/>
          </w:rPr>
          <w:fldChar w:fldCharType="separate"/>
        </w:r>
        <w:r w:rsidR="008C22AA">
          <w:rPr>
            <w:noProof/>
            <w:webHidden/>
          </w:rPr>
          <w:t>68</w:t>
        </w:r>
        <w:r w:rsidR="008C22AA">
          <w:rPr>
            <w:noProof/>
            <w:webHidden/>
          </w:rPr>
          <w:fldChar w:fldCharType="end"/>
        </w:r>
      </w:hyperlink>
    </w:p>
    <w:p w14:paraId="622AEA7E"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14" w:history="1">
        <w:r w:rsidR="008C22AA" w:rsidRPr="00927C50">
          <w:rPr>
            <w:rStyle w:val="Hyperlink"/>
            <w:rFonts w:eastAsia="Calibri"/>
            <w:b/>
            <w:bCs/>
            <w:noProof/>
          </w:rPr>
          <w:t>Tablica 7.2</w:t>
        </w:r>
        <w:r w:rsidR="008C22AA" w:rsidRPr="00927C50">
          <w:rPr>
            <w:rStyle w:val="Hyperlink"/>
            <w:rFonts w:ascii="Century Gothic" w:eastAsia="Calibri" w:hAnsi="Century Gothic" w:cs="Arial"/>
            <w:noProof/>
          </w:rPr>
          <w:t xml:space="preserve"> </w:t>
        </w:r>
        <w:r w:rsidR="008C22AA" w:rsidRPr="00927C50">
          <w:rPr>
            <w:rStyle w:val="Hyperlink"/>
            <w:rFonts w:eastAsia="Calibri" w:cstheme="minorHAnsi"/>
            <w:noProof/>
          </w:rPr>
          <w:t xml:space="preserve">Kontrolni inventar </w:t>
        </w:r>
        <w:r w:rsidR="008C22AA" w:rsidRPr="00927C50">
          <w:rPr>
            <w:rStyle w:val="Hyperlink"/>
            <w:rFonts w:cstheme="minorHAnsi"/>
            <w:noProof/>
          </w:rPr>
          <w:t>emisije CO</w:t>
        </w:r>
        <w:r w:rsidR="008C22AA" w:rsidRPr="00927C50">
          <w:rPr>
            <w:rStyle w:val="Hyperlink"/>
            <w:rFonts w:cstheme="minorHAnsi"/>
            <w:noProof/>
            <w:vertAlign w:val="subscript"/>
          </w:rPr>
          <w:t>2</w:t>
        </w:r>
        <w:r w:rsidR="008C22AA" w:rsidRPr="00927C50">
          <w:rPr>
            <w:rStyle w:val="Hyperlink"/>
            <w:rFonts w:cstheme="minorHAnsi"/>
            <w:noProof/>
          </w:rPr>
          <w:t xml:space="preserve"> sektora zgradarstva Grada Zagreba za 2015. godinu</w:t>
        </w:r>
        <w:r w:rsidR="008C22AA">
          <w:rPr>
            <w:noProof/>
            <w:webHidden/>
          </w:rPr>
          <w:tab/>
        </w:r>
        <w:r w:rsidR="008C22AA">
          <w:rPr>
            <w:noProof/>
            <w:webHidden/>
          </w:rPr>
          <w:fldChar w:fldCharType="begin"/>
        </w:r>
        <w:r w:rsidR="008C22AA">
          <w:rPr>
            <w:noProof/>
            <w:webHidden/>
          </w:rPr>
          <w:instrText xml:space="preserve"> PAGEREF _Toc468277514 \h </w:instrText>
        </w:r>
        <w:r w:rsidR="008C22AA">
          <w:rPr>
            <w:noProof/>
            <w:webHidden/>
          </w:rPr>
        </w:r>
        <w:r w:rsidR="008C22AA">
          <w:rPr>
            <w:noProof/>
            <w:webHidden/>
          </w:rPr>
          <w:fldChar w:fldCharType="separate"/>
        </w:r>
        <w:r w:rsidR="008C22AA">
          <w:rPr>
            <w:noProof/>
            <w:webHidden/>
          </w:rPr>
          <w:t>69</w:t>
        </w:r>
        <w:r w:rsidR="008C22AA">
          <w:rPr>
            <w:noProof/>
            <w:webHidden/>
          </w:rPr>
          <w:fldChar w:fldCharType="end"/>
        </w:r>
      </w:hyperlink>
    </w:p>
    <w:p w14:paraId="2372CABA"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15" w:history="1">
        <w:r w:rsidR="008C22AA" w:rsidRPr="00927C50">
          <w:rPr>
            <w:rStyle w:val="Hyperlink"/>
            <w:rFonts w:eastAsia="Calibri"/>
            <w:b/>
            <w:bCs/>
            <w:noProof/>
          </w:rPr>
          <w:t xml:space="preserve">Tablica 7.3 </w:t>
        </w:r>
        <w:r w:rsidR="008C22AA" w:rsidRPr="00927C50">
          <w:rPr>
            <w:rStyle w:val="Hyperlink"/>
            <w:rFonts w:eastAsia="Calibri"/>
            <w:bCs/>
            <w:noProof/>
          </w:rPr>
          <w:t>Kontrolni inventar</w:t>
        </w:r>
        <w:r w:rsidR="008C22AA" w:rsidRPr="00927C50">
          <w:rPr>
            <w:rStyle w:val="Hyperlink"/>
            <w:rFonts w:eastAsia="Calibri"/>
            <w:b/>
            <w:bCs/>
            <w:noProof/>
          </w:rPr>
          <w:t xml:space="preserve"> </w:t>
        </w:r>
        <w:r w:rsidR="008C22AA" w:rsidRPr="00927C50">
          <w:rPr>
            <w:rStyle w:val="Hyperlink"/>
            <w:rFonts w:eastAsia="Calibri"/>
            <w:noProof/>
          </w:rPr>
          <w:t>emisije CO</w:t>
        </w:r>
        <w:r w:rsidR="008C22AA" w:rsidRPr="00927C50">
          <w:rPr>
            <w:rStyle w:val="Hyperlink"/>
            <w:rFonts w:eastAsia="Calibri"/>
            <w:noProof/>
            <w:vertAlign w:val="subscript"/>
          </w:rPr>
          <w:t>2</w:t>
        </w:r>
        <w:r w:rsidR="008C22AA" w:rsidRPr="00927C50">
          <w:rPr>
            <w:rStyle w:val="Hyperlink"/>
            <w:rFonts w:eastAsia="Calibri"/>
            <w:noProof/>
          </w:rPr>
          <w:t xml:space="preserve"> sektora promet za 2015. godinu</w:t>
        </w:r>
        <w:r w:rsidR="008C22AA">
          <w:rPr>
            <w:noProof/>
            <w:webHidden/>
          </w:rPr>
          <w:tab/>
        </w:r>
        <w:r w:rsidR="008C22AA">
          <w:rPr>
            <w:noProof/>
            <w:webHidden/>
          </w:rPr>
          <w:fldChar w:fldCharType="begin"/>
        </w:r>
        <w:r w:rsidR="008C22AA">
          <w:rPr>
            <w:noProof/>
            <w:webHidden/>
          </w:rPr>
          <w:instrText xml:space="preserve"> PAGEREF _Toc468277515 \h </w:instrText>
        </w:r>
        <w:r w:rsidR="008C22AA">
          <w:rPr>
            <w:noProof/>
            <w:webHidden/>
          </w:rPr>
        </w:r>
        <w:r w:rsidR="008C22AA">
          <w:rPr>
            <w:noProof/>
            <w:webHidden/>
          </w:rPr>
          <w:fldChar w:fldCharType="separate"/>
        </w:r>
        <w:r w:rsidR="008C22AA">
          <w:rPr>
            <w:noProof/>
            <w:webHidden/>
          </w:rPr>
          <w:t>71</w:t>
        </w:r>
        <w:r w:rsidR="008C22AA">
          <w:rPr>
            <w:noProof/>
            <w:webHidden/>
          </w:rPr>
          <w:fldChar w:fldCharType="end"/>
        </w:r>
      </w:hyperlink>
    </w:p>
    <w:p w14:paraId="05D80B14"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16" w:history="1">
        <w:r w:rsidR="008C22AA" w:rsidRPr="00927C50">
          <w:rPr>
            <w:rStyle w:val="Hyperlink"/>
            <w:rFonts w:eastAsia="Calibri"/>
            <w:b/>
            <w:bCs/>
            <w:noProof/>
          </w:rPr>
          <w:t xml:space="preserve">Tablica 7.4 </w:t>
        </w:r>
        <w:r w:rsidR="008C22AA" w:rsidRPr="00927C50">
          <w:rPr>
            <w:rStyle w:val="Hyperlink"/>
            <w:rFonts w:eastAsia="Calibri"/>
            <w:noProof/>
          </w:rPr>
          <w:t>Potrošnja električne energije i plina i pripadajući Kontrolni inventar emisije CO</w:t>
        </w:r>
        <w:r w:rsidR="008C22AA" w:rsidRPr="00927C50">
          <w:rPr>
            <w:rStyle w:val="Hyperlink"/>
            <w:rFonts w:eastAsia="Calibri"/>
            <w:noProof/>
            <w:vertAlign w:val="subscript"/>
          </w:rPr>
          <w:t xml:space="preserve">2 </w:t>
        </w:r>
        <w:r w:rsidR="008C22AA" w:rsidRPr="00927C50">
          <w:rPr>
            <w:rStyle w:val="Hyperlink"/>
            <w:rFonts w:eastAsia="Calibri"/>
            <w:noProof/>
          </w:rPr>
          <w:t>u 2015. godini</w:t>
        </w:r>
        <w:r w:rsidR="008C22AA">
          <w:rPr>
            <w:noProof/>
            <w:webHidden/>
          </w:rPr>
          <w:tab/>
        </w:r>
        <w:r w:rsidR="008C22AA">
          <w:rPr>
            <w:noProof/>
            <w:webHidden/>
          </w:rPr>
          <w:fldChar w:fldCharType="begin"/>
        </w:r>
        <w:r w:rsidR="008C22AA">
          <w:rPr>
            <w:noProof/>
            <w:webHidden/>
          </w:rPr>
          <w:instrText xml:space="preserve"> PAGEREF _Toc468277516 \h </w:instrText>
        </w:r>
        <w:r w:rsidR="008C22AA">
          <w:rPr>
            <w:noProof/>
            <w:webHidden/>
          </w:rPr>
        </w:r>
        <w:r w:rsidR="008C22AA">
          <w:rPr>
            <w:noProof/>
            <w:webHidden/>
          </w:rPr>
          <w:fldChar w:fldCharType="separate"/>
        </w:r>
        <w:r w:rsidR="008C22AA">
          <w:rPr>
            <w:noProof/>
            <w:webHidden/>
          </w:rPr>
          <w:t>72</w:t>
        </w:r>
        <w:r w:rsidR="008C22AA">
          <w:rPr>
            <w:noProof/>
            <w:webHidden/>
          </w:rPr>
          <w:fldChar w:fldCharType="end"/>
        </w:r>
      </w:hyperlink>
    </w:p>
    <w:p w14:paraId="4C2DB90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17" w:history="1">
        <w:r w:rsidR="008C22AA" w:rsidRPr="00927C50">
          <w:rPr>
            <w:rStyle w:val="Hyperlink"/>
            <w:rFonts w:eastAsia="Calibri"/>
            <w:b/>
            <w:bCs/>
            <w:noProof/>
          </w:rPr>
          <w:t>Tablica 7.5</w:t>
        </w:r>
        <w:r w:rsidR="008C22AA" w:rsidRPr="00927C50">
          <w:rPr>
            <w:rStyle w:val="Hyperlink"/>
            <w:rFonts w:ascii="Century Gothic" w:hAnsi="Century Gothic"/>
            <w:noProof/>
          </w:rPr>
          <w:t xml:space="preserve"> </w:t>
        </w:r>
        <w:r w:rsidR="008C22AA" w:rsidRPr="00927C50">
          <w:rPr>
            <w:rStyle w:val="Hyperlink"/>
            <w:noProof/>
          </w:rPr>
          <w:t>Podjela energetske potrošnje pojedinih sektora po energentima u 2015. godini</w:t>
        </w:r>
        <w:r w:rsidR="008C22AA">
          <w:rPr>
            <w:noProof/>
            <w:webHidden/>
          </w:rPr>
          <w:tab/>
        </w:r>
        <w:r w:rsidR="008C22AA">
          <w:rPr>
            <w:noProof/>
            <w:webHidden/>
          </w:rPr>
          <w:fldChar w:fldCharType="begin"/>
        </w:r>
        <w:r w:rsidR="008C22AA">
          <w:rPr>
            <w:noProof/>
            <w:webHidden/>
          </w:rPr>
          <w:instrText xml:space="preserve"> PAGEREF _Toc468277517 \h </w:instrText>
        </w:r>
        <w:r w:rsidR="008C22AA">
          <w:rPr>
            <w:noProof/>
            <w:webHidden/>
          </w:rPr>
        </w:r>
        <w:r w:rsidR="008C22AA">
          <w:rPr>
            <w:noProof/>
            <w:webHidden/>
          </w:rPr>
          <w:fldChar w:fldCharType="separate"/>
        </w:r>
        <w:r w:rsidR="008C22AA">
          <w:rPr>
            <w:noProof/>
            <w:webHidden/>
          </w:rPr>
          <w:t>73</w:t>
        </w:r>
        <w:r w:rsidR="008C22AA">
          <w:rPr>
            <w:noProof/>
            <w:webHidden/>
          </w:rPr>
          <w:fldChar w:fldCharType="end"/>
        </w:r>
      </w:hyperlink>
    </w:p>
    <w:p w14:paraId="111F6B27"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18" w:history="1">
        <w:r w:rsidR="008C22AA" w:rsidRPr="00927C50">
          <w:rPr>
            <w:rStyle w:val="Hyperlink"/>
            <w:rFonts w:eastAsia="Calibri"/>
            <w:b/>
            <w:bCs/>
            <w:noProof/>
          </w:rPr>
          <w:t xml:space="preserve">Tablica 7.6 </w:t>
        </w:r>
        <w:r w:rsidR="008C22AA" w:rsidRPr="00927C50">
          <w:rPr>
            <w:rStyle w:val="Hyperlink"/>
            <w:rFonts w:eastAsia="Calibri"/>
            <w:bCs/>
            <w:noProof/>
          </w:rPr>
          <w:t>Kontrolni inventar</w:t>
        </w:r>
        <w:r w:rsidR="008C22AA" w:rsidRPr="00927C50">
          <w:rPr>
            <w:rStyle w:val="Hyperlink"/>
            <w:rFonts w:eastAsia="Calibri"/>
            <w:b/>
            <w:bCs/>
            <w:noProof/>
          </w:rPr>
          <w:t xml:space="preserve"> </w:t>
        </w:r>
        <w:r w:rsidR="008C22AA" w:rsidRPr="00927C50">
          <w:rPr>
            <w:rStyle w:val="Hyperlink"/>
            <w:rFonts w:cstheme="minorHAnsi"/>
            <w:noProof/>
          </w:rPr>
          <w:t>emisija CO</w:t>
        </w:r>
        <w:r w:rsidR="008C22AA" w:rsidRPr="00927C50">
          <w:rPr>
            <w:rStyle w:val="Hyperlink"/>
            <w:rFonts w:cstheme="minorHAnsi"/>
            <w:noProof/>
            <w:vertAlign w:val="subscript"/>
          </w:rPr>
          <w:t>2</w:t>
        </w:r>
        <w:r w:rsidR="008C22AA" w:rsidRPr="00927C50">
          <w:rPr>
            <w:rStyle w:val="Hyperlink"/>
            <w:rFonts w:cstheme="minorHAnsi"/>
            <w:noProof/>
          </w:rPr>
          <w:t xml:space="preserve"> u 2015. godini po sektorima i energentima</w:t>
        </w:r>
        <w:r w:rsidR="008C22AA">
          <w:rPr>
            <w:noProof/>
            <w:webHidden/>
          </w:rPr>
          <w:tab/>
        </w:r>
        <w:r w:rsidR="008C22AA">
          <w:rPr>
            <w:noProof/>
            <w:webHidden/>
          </w:rPr>
          <w:fldChar w:fldCharType="begin"/>
        </w:r>
        <w:r w:rsidR="008C22AA">
          <w:rPr>
            <w:noProof/>
            <w:webHidden/>
          </w:rPr>
          <w:instrText xml:space="preserve"> PAGEREF _Toc468277518 \h </w:instrText>
        </w:r>
        <w:r w:rsidR="008C22AA">
          <w:rPr>
            <w:noProof/>
            <w:webHidden/>
          </w:rPr>
        </w:r>
        <w:r w:rsidR="008C22AA">
          <w:rPr>
            <w:noProof/>
            <w:webHidden/>
          </w:rPr>
          <w:fldChar w:fldCharType="separate"/>
        </w:r>
        <w:r w:rsidR="008C22AA">
          <w:rPr>
            <w:noProof/>
            <w:webHidden/>
          </w:rPr>
          <w:t>76</w:t>
        </w:r>
        <w:r w:rsidR="008C22AA">
          <w:rPr>
            <w:noProof/>
            <w:webHidden/>
          </w:rPr>
          <w:fldChar w:fldCharType="end"/>
        </w:r>
      </w:hyperlink>
    </w:p>
    <w:p w14:paraId="7D5E807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19" w:history="1">
        <w:r w:rsidR="008C22AA" w:rsidRPr="00927C50">
          <w:rPr>
            <w:rStyle w:val="Hyperlink"/>
            <w:rFonts w:eastAsia="Calibri"/>
            <w:b/>
            <w:bCs/>
            <w:noProof/>
          </w:rPr>
          <w:t xml:space="preserve">Tablica 8.1 </w:t>
        </w:r>
        <w:r w:rsidR="008C22AA" w:rsidRPr="00927C50">
          <w:rPr>
            <w:rStyle w:val="Hyperlink"/>
            <w:rFonts w:eastAsia="Calibri"/>
            <w:bCs/>
            <w:noProof/>
          </w:rPr>
          <w:t>Referentni inventar</w:t>
        </w:r>
        <w:r w:rsidR="008C22AA" w:rsidRPr="00927C50">
          <w:rPr>
            <w:rStyle w:val="Hyperlink"/>
            <w:rFonts w:eastAsia="Calibri"/>
            <w:b/>
            <w:bCs/>
            <w:noProof/>
          </w:rPr>
          <w:t xml:space="preserve"> </w:t>
        </w:r>
        <w:r w:rsidR="008C22AA" w:rsidRPr="00927C50">
          <w:rPr>
            <w:rStyle w:val="Hyperlink"/>
            <w:rFonts w:eastAsia="Calibri"/>
            <w:noProof/>
          </w:rPr>
          <w:t>emisija CO</w:t>
        </w:r>
        <w:r w:rsidR="008C22AA" w:rsidRPr="00927C50">
          <w:rPr>
            <w:rStyle w:val="Hyperlink"/>
            <w:rFonts w:eastAsia="Calibri"/>
            <w:noProof/>
            <w:vertAlign w:val="subscript"/>
          </w:rPr>
          <w:t>2</w:t>
        </w:r>
        <w:r w:rsidR="008C22AA" w:rsidRPr="00927C50">
          <w:rPr>
            <w:rStyle w:val="Hyperlink"/>
            <w:rFonts w:eastAsia="Calibri"/>
            <w:noProof/>
          </w:rPr>
          <w:t xml:space="preserve"> po sektorima i energentima, 2008. godina</w:t>
        </w:r>
        <w:r w:rsidR="008C22AA">
          <w:rPr>
            <w:noProof/>
            <w:webHidden/>
          </w:rPr>
          <w:tab/>
        </w:r>
        <w:r w:rsidR="008C22AA">
          <w:rPr>
            <w:noProof/>
            <w:webHidden/>
          </w:rPr>
          <w:fldChar w:fldCharType="begin"/>
        </w:r>
        <w:r w:rsidR="008C22AA">
          <w:rPr>
            <w:noProof/>
            <w:webHidden/>
          </w:rPr>
          <w:instrText xml:space="preserve"> PAGEREF _Toc468277519 \h </w:instrText>
        </w:r>
        <w:r w:rsidR="008C22AA">
          <w:rPr>
            <w:noProof/>
            <w:webHidden/>
          </w:rPr>
        </w:r>
        <w:r w:rsidR="008C22AA">
          <w:rPr>
            <w:noProof/>
            <w:webHidden/>
          </w:rPr>
          <w:fldChar w:fldCharType="separate"/>
        </w:r>
        <w:r w:rsidR="008C22AA">
          <w:rPr>
            <w:noProof/>
            <w:webHidden/>
          </w:rPr>
          <w:t>78</w:t>
        </w:r>
        <w:r w:rsidR="008C22AA">
          <w:rPr>
            <w:noProof/>
            <w:webHidden/>
          </w:rPr>
          <w:fldChar w:fldCharType="end"/>
        </w:r>
      </w:hyperlink>
    </w:p>
    <w:p w14:paraId="2D7287FB"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20" w:history="1">
        <w:r w:rsidR="008C22AA" w:rsidRPr="00927C50">
          <w:rPr>
            <w:rStyle w:val="Hyperlink"/>
            <w:rFonts w:eastAsia="Calibri"/>
            <w:b/>
            <w:bCs/>
            <w:noProof/>
          </w:rPr>
          <w:t xml:space="preserve">Tablica 8.2 </w:t>
        </w:r>
        <w:r w:rsidR="008C22AA" w:rsidRPr="00927C50">
          <w:rPr>
            <w:rStyle w:val="Hyperlink"/>
            <w:rFonts w:eastAsia="Calibri"/>
            <w:bCs/>
            <w:noProof/>
          </w:rPr>
          <w:t>Kontrolni inventar</w:t>
        </w:r>
        <w:r w:rsidR="008C22AA" w:rsidRPr="00927C50">
          <w:rPr>
            <w:rStyle w:val="Hyperlink"/>
            <w:rFonts w:eastAsia="Calibri"/>
            <w:b/>
            <w:bCs/>
            <w:noProof/>
          </w:rPr>
          <w:t xml:space="preserve"> </w:t>
        </w:r>
        <w:r w:rsidR="008C22AA" w:rsidRPr="00927C50">
          <w:rPr>
            <w:rStyle w:val="Hyperlink"/>
            <w:rFonts w:eastAsia="Calibri"/>
            <w:noProof/>
          </w:rPr>
          <w:t>emisija CO</w:t>
        </w:r>
        <w:r w:rsidR="008C22AA" w:rsidRPr="00927C50">
          <w:rPr>
            <w:rStyle w:val="Hyperlink"/>
            <w:rFonts w:eastAsia="Calibri"/>
            <w:noProof/>
            <w:vertAlign w:val="subscript"/>
          </w:rPr>
          <w:t>2</w:t>
        </w:r>
        <w:r w:rsidR="008C22AA" w:rsidRPr="00927C50">
          <w:rPr>
            <w:rStyle w:val="Hyperlink"/>
            <w:rFonts w:eastAsia="Calibri"/>
            <w:noProof/>
          </w:rPr>
          <w:t xml:space="preserve"> po sektorima i energentima, 2015. godina</w:t>
        </w:r>
        <w:r w:rsidR="008C22AA">
          <w:rPr>
            <w:noProof/>
            <w:webHidden/>
          </w:rPr>
          <w:tab/>
        </w:r>
        <w:r w:rsidR="008C22AA">
          <w:rPr>
            <w:noProof/>
            <w:webHidden/>
          </w:rPr>
          <w:fldChar w:fldCharType="begin"/>
        </w:r>
        <w:r w:rsidR="008C22AA">
          <w:rPr>
            <w:noProof/>
            <w:webHidden/>
          </w:rPr>
          <w:instrText xml:space="preserve"> PAGEREF _Toc468277520 \h </w:instrText>
        </w:r>
        <w:r w:rsidR="008C22AA">
          <w:rPr>
            <w:noProof/>
            <w:webHidden/>
          </w:rPr>
        </w:r>
        <w:r w:rsidR="008C22AA">
          <w:rPr>
            <w:noProof/>
            <w:webHidden/>
          </w:rPr>
          <w:fldChar w:fldCharType="separate"/>
        </w:r>
        <w:r w:rsidR="008C22AA">
          <w:rPr>
            <w:noProof/>
            <w:webHidden/>
          </w:rPr>
          <w:t>78</w:t>
        </w:r>
        <w:r w:rsidR="008C22AA">
          <w:rPr>
            <w:noProof/>
            <w:webHidden/>
          </w:rPr>
          <w:fldChar w:fldCharType="end"/>
        </w:r>
      </w:hyperlink>
    </w:p>
    <w:p w14:paraId="1DD777AF"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21" w:history="1">
        <w:r w:rsidR="008C22AA" w:rsidRPr="00927C50">
          <w:rPr>
            <w:rStyle w:val="Hyperlink"/>
            <w:b/>
            <w:noProof/>
          </w:rPr>
          <w:t>Tablica 9.1</w:t>
        </w:r>
        <w:r w:rsidR="008C22AA" w:rsidRPr="00927C50">
          <w:rPr>
            <w:rStyle w:val="Hyperlink"/>
            <w:noProof/>
          </w:rPr>
          <w:t xml:space="preserve"> Pregled ostvarenih mjera i aktivnosti iz Akcijskog plana za sektor zgradarstvo</w:t>
        </w:r>
        <w:r w:rsidR="008C22AA">
          <w:rPr>
            <w:noProof/>
            <w:webHidden/>
          </w:rPr>
          <w:tab/>
        </w:r>
        <w:r w:rsidR="008C22AA">
          <w:rPr>
            <w:noProof/>
            <w:webHidden/>
          </w:rPr>
          <w:fldChar w:fldCharType="begin"/>
        </w:r>
        <w:r w:rsidR="008C22AA">
          <w:rPr>
            <w:noProof/>
            <w:webHidden/>
          </w:rPr>
          <w:instrText xml:space="preserve"> PAGEREF _Toc468277521 \h </w:instrText>
        </w:r>
        <w:r w:rsidR="008C22AA">
          <w:rPr>
            <w:noProof/>
            <w:webHidden/>
          </w:rPr>
        </w:r>
        <w:r w:rsidR="008C22AA">
          <w:rPr>
            <w:noProof/>
            <w:webHidden/>
          </w:rPr>
          <w:fldChar w:fldCharType="separate"/>
        </w:r>
        <w:r w:rsidR="008C22AA">
          <w:rPr>
            <w:noProof/>
            <w:webHidden/>
          </w:rPr>
          <w:t>89</w:t>
        </w:r>
        <w:r w:rsidR="008C22AA">
          <w:rPr>
            <w:noProof/>
            <w:webHidden/>
          </w:rPr>
          <w:fldChar w:fldCharType="end"/>
        </w:r>
      </w:hyperlink>
    </w:p>
    <w:p w14:paraId="6E1743B2"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22" w:history="1">
        <w:r w:rsidR="008C22AA" w:rsidRPr="00927C50">
          <w:rPr>
            <w:rStyle w:val="Hyperlink"/>
            <w:b/>
            <w:noProof/>
          </w:rPr>
          <w:t>Tablica 9.2</w:t>
        </w:r>
        <w:r w:rsidR="008C22AA" w:rsidRPr="00927C50">
          <w:rPr>
            <w:rStyle w:val="Hyperlink"/>
            <w:noProof/>
          </w:rPr>
          <w:t xml:space="preserve"> Pregled ostvarenih mjera i aktivnosti iz Akcijskog plana za sektor promet</w:t>
        </w:r>
        <w:r w:rsidR="008C22AA">
          <w:rPr>
            <w:noProof/>
            <w:webHidden/>
          </w:rPr>
          <w:tab/>
        </w:r>
        <w:r w:rsidR="008C22AA">
          <w:rPr>
            <w:noProof/>
            <w:webHidden/>
          </w:rPr>
          <w:fldChar w:fldCharType="begin"/>
        </w:r>
        <w:r w:rsidR="008C22AA">
          <w:rPr>
            <w:noProof/>
            <w:webHidden/>
          </w:rPr>
          <w:instrText xml:space="preserve"> PAGEREF _Toc468277522 \h </w:instrText>
        </w:r>
        <w:r w:rsidR="008C22AA">
          <w:rPr>
            <w:noProof/>
            <w:webHidden/>
          </w:rPr>
        </w:r>
        <w:r w:rsidR="008C22AA">
          <w:rPr>
            <w:noProof/>
            <w:webHidden/>
          </w:rPr>
          <w:fldChar w:fldCharType="separate"/>
        </w:r>
        <w:r w:rsidR="008C22AA">
          <w:rPr>
            <w:noProof/>
            <w:webHidden/>
          </w:rPr>
          <w:t>90</w:t>
        </w:r>
        <w:r w:rsidR="008C22AA">
          <w:rPr>
            <w:noProof/>
            <w:webHidden/>
          </w:rPr>
          <w:fldChar w:fldCharType="end"/>
        </w:r>
      </w:hyperlink>
    </w:p>
    <w:p w14:paraId="0D8CFCAD"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23" w:history="1">
        <w:r w:rsidR="008C22AA" w:rsidRPr="00927C50">
          <w:rPr>
            <w:rStyle w:val="Hyperlink"/>
            <w:b/>
            <w:noProof/>
          </w:rPr>
          <w:t>Tablica 9.3</w:t>
        </w:r>
        <w:r w:rsidR="008C22AA" w:rsidRPr="00927C50">
          <w:rPr>
            <w:rStyle w:val="Hyperlink"/>
            <w:noProof/>
          </w:rPr>
          <w:t xml:space="preserve"> Pregled realiziranih mjera i aktivnosti iz Akcijskog plana za sektor javna rasvjeta</w:t>
        </w:r>
        <w:r w:rsidR="008C22AA">
          <w:rPr>
            <w:noProof/>
            <w:webHidden/>
          </w:rPr>
          <w:tab/>
        </w:r>
        <w:r w:rsidR="008C22AA">
          <w:rPr>
            <w:noProof/>
            <w:webHidden/>
          </w:rPr>
          <w:fldChar w:fldCharType="begin"/>
        </w:r>
        <w:r w:rsidR="008C22AA">
          <w:rPr>
            <w:noProof/>
            <w:webHidden/>
          </w:rPr>
          <w:instrText xml:space="preserve"> PAGEREF _Toc468277523 \h </w:instrText>
        </w:r>
        <w:r w:rsidR="008C22AA">
          <w:rPr>
            <w:noProof/>
            <w:webHidden/>
          </w:rPr>
        </w:r>
        <w:r w:rsidR="008C22AA">
          <w:rPr>
            <w:noProof/>
            <w:webHidden/>
          </w:rPr>
          <w:fldChar w:fldCharType="separate"/>
        </w:r>
        <w:r w:rsidR="008C22AA">
          <w:rPr>
            <w:noProof/>
            <w:webHidden/>
          </w:rPr>
          <w:t>91</w:t>
        </w:r>
        <w:r w:rsidR="008C22AA">
          <w:rPr>
            <w:noProof/>
            <w:webHidden/>
          </w:rPr>
          <w:fldChar w:fldCharType="end"/>
        </w:r>
      </w:hyperlink>
    </w:p>
    <w:p w14:paraId="74C639CF"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24" w:history="1">
        <w:r w:rsidR="008C22AA" w:rsidRPr="00927C50">
          <w:rPr>
            <w:rStyle w:val="Hyperlink"/>
            <w:rFonts w:eastAsia="Calibri"/>
            <w:b/>
            <w:bCs/>
            <w:noProof/>
          </w:rPr>
          <w:t xml:space="preserve">Tablica 9.4 </w:t>
        </w:r>
        <w:r w:rsidR="008C22AA" w:rsidRPr="00927C50">
          <w:rPr>
            <w:rStyle w:val="Hyperlink"/>
            <w:rFonts w:eastAsia="Calibri"/>
            <w:bCs/>
            <w:noProof/>
          </w:rPr>
          <w:t>Prikaz rezultata Analize uspješnosti provede Akcijskog plana</w:t>
        </w:r>
        <w:r w:rsidR="008C22AA">
          <w:rPr>
            <w:noProof/>
            <w:webHidden/>
          </w:rPr>
          <w:tab/>
        </w:r>
        <w:r w:rsidR="008C22AA">
          <w:rPr>
            <w:noProof/>
            <w:webHidden/>
          </w:rPr>
          <w:fldChar w:fldCharType="begin"/>
        </w:r>
        <w:r w:rsidR="008C22AA">
          <w:rPr>
            <w:noProof/>
            <w:webHidden/>
          </w:rPr>
          <w:instrText xml:space="preserve"> PAGEREF _Toc468277524 \h </w:instrText>
        </w:r>
        <w:r w:rsidR="008C22AA">
          <w:rPr>
            <w:noProof/>
            <w:webHidden/>
          </w:rPr>
        </w:r>
        <w:r w:rsidR="008C22AA">
          <w:rPr>
            <w:noProof/>
            <w:webHidden/>
          </w:rPr>
          <w:fldChar w:fldCharType="separate"/>
        </w:r>
        <w:r w:rsidR="008C22AA">
          <w:rPr>
            <w:noProof/>
            <w:webHidden/>
          </w:rPr>
          <w:t>92</w:t>
        </w:r>
        <w:r w:rsidR="008C22AA">
          <w:rPr>
            <w:noProof/>
            <w:webHidden/>
          </w:rPr>
          <w:fldChar w:fldCharType="end"/>
        </w:r>
      </w:hyperlink>
    </w:p>
    <w:p w14:paraId="73A4A68B"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25" w:history="1">
        <w:r w:rsidR="008C22AA" w:rsidRPr="00927C50">
          <w:rPr>
            <w:rStyle w:val="Hyperlink"/>
            <w:b/>
            <w:bCs/>
            <w:noProof/>
          </w:rPr>
          <w:t xml:space="preserve">Tablica 10.1 </w:t>
        </w:r>
        <w:r w:rsidR="008C22AA" w:rsidRPr="00927C50">
          <w:rPr>
            <w:rStyle w:val="Hyperlink"/>
            <w:bCs/>
            <w:noProof/>
          </w:rPr>
          <w:t>Projekcije smanjenja emisije CO</w:t>
        </w:r>
        <w:r w:rsidR="008C22AA" w:rsidRPr="00927C50">
          <w:rPr>
            <w:rStyle w:val="Hyperlink"/>
            <w:bCs/>
            <w:noProof/>
            <w:vertAlign w:val="subscript"/>
          </w:rPr>
          <w:t>2</w:t>
        </w:r>
        <w:r w:rsidR="008C22AA" w:rsidRPr="00927C50">
          <w:rPr>
            <w:rStyle w:val="Hyperlink"/>
            <w:bCs/>
            <w:noProof/>
          </w:rPr>
          <w:t xml:space="preserve"> u 2020. godini</w:t>
        </w:r>
        <w:r w:rsidR="008C22AA">
          <w:rPr>
            <w:noProof/>
            <w:webHidden/>
          </w:rPr>
          <w:tab/>
        </w:r>
        <w:r w:rsidR="008C22AA">
          <w:rPr>
            <w:noProof/>
            <w:webHidden/>
          </w:rPr>
          <w:fldChar w:fldCharType="begin"/>
        </w:r>
        <w:r w:rsidR="008C22AA">
          <w:rPr>
            <w:noProof/>
            <w:webHidden/>
          </w:rPr>
          <w:instrText xml:space="preserve"> PAGEREF _Toc468277525 \h </w:instrText>
        </w:r>
        <w:r w:rsidR="008C22AA">
          <w:rPr>
            <w:noProof/>
            <w:webHidden/>
          </w:rPr>
        </w:r>
        <w:r w:rsidR="008C22AA">
          <w:rPr>
            <w:noProof/>
            <w:webHidden/>
          </w:rPr>
          <w:fldChar w:fldCharType="separate"/>
        </w:r>
        <w:r w:rsidR="008C22AA">
          <w:rPr>
            <w:noProof/>
            <w:webHidden/>
          </w:rPr>
          <w:t>97</w:t>
        </w:r>
        <w:r w:rsidR="008C22AA">
          <w:rPr>
            <w:noProof/>
            <w:webHidden/>
          </w:rPr>
          <w:fldChar w:fldCharType="end"/>
        </w:r>
      </w:hyperlink>
    </w:p>
    <w:p w14:paraId="0E961584"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26" w:history="1">
        <w:r w:rsidR="008C22AA" w:rsidRPr="00927C50">
          <w:rPr>
            <w:rStyle w:val="Hyperlink"/>
            <w:b/>
            <w:bCs/>
            <w:noProof/>
          </w:rPr>
          <w:t xml:space="preserve">Tablica 11.1 </w:t>
        </w:r>
        <w:r w:rsidR="008C22AA" w:rsidRPr="00927C50">
          <w:rPr>
            <w:rStyle w:val="Hyperlink"/>
            <w:noProof/>
            <w:lang w:val="x-none"/>
          </w:rPr>
          <w:t>Pregled mogućih izvora financiranja mjera i aktivnosti</w:t>
        </w:r>
        <w:r w:rsidR="008C22AA">
          <w:rPr>
            <w:noProof/>
            <w:webHidden/>
          </w:rPr>
          <w:tab/>
        </w:r>
        <w:r w:rsidR="008C22AA">
          <w:rPr>
            <w:noProof/>
            <w:webHidden/>
          </w:rPr>
          <w:fldChar w:fldCharType="begin"/>
        </w:r>
        <w:r w:rsidR="008C22AA">
          <w:rPr>
            <w:noProof/>
            <w:webHidden/>
          </w:rPr>
          <w:instrText xml:space="preserve"> PAGEREF _Toc468277526 \h </w:instrText>
        </w:r>
        <w:r w:rsidR="008C22AA">
          <w:rPr>
            <w:noProof/>
            <w:webHidden/>
          </w:rPr>
        </w:r>
        <w:r w:rsidR="008C22AA">
          <w:rPr>
            <w:noProof/>
            <w:webHidden/>
          </w:rPr>
          <w:fldChar w:fldCharType="separate"/>
        </w:r>
        <w:r w:rsidR="008C22AA">
          <w:rPr>
            <w:noProof/>
            <w:webHidden/>
          </w:rPr>
          <w:t>99</w:t>
        </w:r>
        <w:r w:rsidR="008C22AA">
          <w:rPr>
            <w:noProof/>
            <w:webHidden/>
          </w:rPr>
          <w:fldChar w:fldCharType="end"/>
        </w:r>
      </w:hyperlink>
    </w:p>
    <w:p w14:paraId="2EC41589"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27" w:history="1">
        <w:r w:rsidR="008C22AA" w:rsidRPr="00927C50">
          <w:rPr>
            <w:rStyle w:val="Hyperlink"/>
            <w:b/>
            <w:noProof/>
          </w:rPr>
          <w:t xml:space="preserve">Tablica 14.1 </w:t>
        </w:r>
        <w:r w:rsidR="008C22AA" w:rsidRPr="00927C50">
          <w:rPr>
            <w:rStyle w:val="Hyperlink"/>
            <w:noProof/>
          </w:rPr>
          <w:t>Odobrena sredstva Fonda za zaštitu okoliša i energetsku učinkovitost za projekte čistijeg prometa</w:t>
        </w:r>
        <w:r w:rsidR="008C22AA">
          <w:rPr>
            <w:noProof/>
            <w:webHidden/>
          </w:rPr>
          <w:tab/>
        </w:r>
        <w:r w:rsidR="008C22AA">
          <w:rPr>
            <w:noProof/>
            <w:webHidden/>
          </w:rPr>
          <w:fldChar w:fldCharType="begin"/>
        </w:r>
        <w:r w:rsidR="008C22AA">
          <w:rPr>
            <w:noProof/>
            <w:webHidden/>
          </w:rPr>
          <w:instrText xml:space="preserve"> PAGEREF _Toc468277527 \h </w:instrText>
        </w:r>
        <w:r w:rsidR="008C22AA">
          <w:rPr>
            <w:noProof/>
            <w:webHidden/>
          </w:rPr>
        </w:r>
        <w:r w:rsidR="008C22AA">
          <w:rPr>
            <w:noProof/>
            <w:webHidden/>
          </w:rPr>
          <w:fldChar w:fldCharType="separate"/>
        </w:r>
        <w:r w:rsidR="008C22AA">
          <w:rPr>
            <w:noProof/>
            <w:webHidden/>
          </w:rPr>
          <w:t>121</w:t>
        </w:r>
        <w:r w:rsidR="008C22AA">
          <w:rPr>
            <w:noProof/>
            <w:webHidden/>
          </w:rPr>
          <w:fldChar w:fldCharType="end"/>
        </w:r>
      </w:hyperlink>
    </w:p>
    <w:p w14:paraId="337B0588" w14:textId="77777777" w:rsidR="008C22AA" w:rsidRDefault="00323A51">
      <w:pPr>
        <w:pStyle w:val="TableofFigures"/>
        <w:tabs>
          <w:tab w:val="right" w:leader="dot" w:pos="9062"/>
        </w:tabs>
        <w:rPr>
          <w:rFonts w:asciiTheme="minorHAnsi" w:eastAsiaTheme="minorEastAsia" w:hAnsiTheme="minorHAnsi" w:cstheme="minorBidi"/>
          <w:noProof/>
          <w:sz w:val="22"/>
          <w:szCs w:val="22"/>
          <w:lang w:eastAsia="hr-HR"/>
        </w:rPr>
      </w:pPr>
      <w:hyperlink w:anchor="_Toc468277528" w:history="1">
        <w:r w:rsidR="008C22AA" w:rsidRPr="00927C50">
          <w:rPr>
            <w:rStyle w:val="Hyperlink"/>
            <w:b/>
            <w:noProof/>
          </w:rPr>
          <w:t xml:space="preserve">Tablica 14.2 </w:t>
        </w:r>
        <w:r w:rsidR="008C22AA" w:rsidRPr="00927C50">
          <w:rPr>
            <w:rStyle w:val="Hyperlink"/>
            <w:noProof/>
          </w:rPr>
          <w:t>Odobrena sredstva Fonda za zaštitu okoliša i energetsku učinkovitost za projekte održive gradnje</w:t>
        </w:r>
        <w:r w:rsidR="008C22AA">
          <w:rPr>
            <w:noProof/>
            <w:webHidden/>
          </w:rPr>
          <w:tab/>
        </w:r>
        <w:r w:rsidR="008C22AA">
          <w:rPr>
            <w:noProof/>
            <w:webHidden/>
          </w:rPr>
          <w:fldChar w:fldCharType="begin"/>
        </w:r>
        <w:r w:rsidR="008C22AA">
          <w:rPr>
            <w:noProof/>
            <w:webHidden/>
          </w:rPr>
          <w:instrText xml:space="preserve"> PAGEREF _Toc468277528 \h </w:instrText>
        </w:r>
        <w:r w:rsidR="008C22AA">
          <w:rPr>
            <w:noProof/>
            <w:webHidden/>
          </w:rPr>
        </w:r>
        <w:r w:rsidR="008C22AA">
          <w:rPr>
            <w:noProof/>
            <w:webHidden/>
          </w:rPr>
          <w:fldChar w:fldCharType="separate"/>
        </w:r>
        <w:r w:rsidR="008C22AA">
          <w:rPr>
            <w:noProof/>
            <w:webHidden/>
          </w:rPr>
          <w:t>122</w:t>
        </w:r>
        <w:r w:rsidR="008C22AA">
          <w:rPr>
            <w:noProof/>
            <w:webHidden/>
          </w:rPr>
          <w:fldChar w:fldCharType="end"/>
        </w:r>
      </w:hyperlink>
    </w:p>
    <w:p w14:paraId="5E1005A3" w14:textId="1D0487BD" w:rsidR="00DF40AB" w:rsidRPr="007C7920" w:rsidRDefault="00DF40AB" w:rsidP="00E92750">
      <w:pPr>
        <w:spacing w:line="240" w:lineRule="auto"/>
        <w:rPr>
          <w:highlight w:val="yellow"/>
        </w:rPr>
      </w:pPr>
      <w:r w:rsidRPr="007C7920">
        <w:rPr>
          <w:rFonts w:ascii="Calibri" w:eastAsia="Times New Roman" w:hAnsi="Calibri" w:cs="Times New Roman"/>
          <w:sz w:val="20"/>
          <w:szCs w:val="20"/>
          <w:highlight w:val="yellow"/>
          <w:lang w:val="en-US"/>
        </w:rPr>
        <w:fldChar w:fldCharType="end"/>
      </w:r>
    </w:p>
    <w:p w14:paraId="27B53162" w14:textId="77777777" w:rsidR="00DF40AB" w:rsidRPr="007C7920" w:rsidRDefault="00DF40AB" w:rsidP="00E92750">
      <w:pPr>
        <w:spacing w:line="240" w:lineRule="auto"/>
        <w:rPr>
          <w:highlight w:val="yellow"/>
        </w:rPr>
        <w:sectPr w:rsidR="00DF40AB" w:rsidRPr="007C7920" w:rsidSect="001906BE">
          <w:footerReference w:type="default" r:id="rId15"/>
          <w:footerReference w:type="first" r:id="rId16"/>
          <w:pgSz w:w="11906" w:h="16838"/>
          <w:pgMar w:top="993" w:right="1417" w:bottom="1417" w:left="1417" w:header="708" w:footer="708" w:gutter="0"/>
          <w:pgNumType w:start="1"/>
          <w:cols w:space="708"/>
          <w:titlePg/>
          <w:docGrid w:linePitch="360"/>
        </w:sectPr>
      </w:pPr>
    </w:p>
    <w:p w14:paraId="44A2F8C5" w14:textId="7E9707FC" w:rsidR="00D91613" w:rsidRPr="00F40CBD" w:rsidRDefault="00D91613" w:rsidP="00E92750">
      <w:pPr>
        <w:keepNext/>
        <w:keepLines/>
        <w:spacing w:after="240" w:line="240" w:lineRule="auto"/>
        <w:ind w:left="432" w:hanging="432"/>
        <w:jc w:val="both"/>
        <w:outlineLvl w:val="0"/>
        <w:rPr>
          <w:rFonts w:ascii="Calibri" w:eastAsiaTheme="majorEastAsia" w:hAnsi="Calibri" w:cstheme="majorBidi"/>
          <w:b/>
          <w:bCs/>
          <w:sz w:val="28"/>
          <w:szCs w:val="28"/>
        </w:rPr>
      </w:pPr>
      <w:bookmarkStart w:id="1" w:name="_Toc468345336"/>
      <w:bookmarkStart w:id="2" w:name="_Toc412453741"/>
      <w:bookmarkStart w:id="3" w:name="_Toc413245951"/>
      <w:r w:rsidRPr="00F40CBD">
        <w:rPr>
          <w:rFonts w:ascii="Calibri" w:eastAsiaTheme="majorEastAsia" w:hAnsi="Calibri" w:cstheme="majorBidi"/>
          <w:b/>
          <w:bCs/>
          <w:sz w:val="28"/>
          <w:szCs w:val="28"/>
        </w:rPr>
        <w:lastRenderedPageBreak/>
        <w:t>S</w:t>
      </w:r>
      <w:r w:rsidR="00471C2C" w:rsidRPr="00F40CBD">
        <w:rPr>
          <w:rFonts w:ascii="Calibri" w:eastAsiaTheme="majorEastAsia" w:hAnsi="Calibri" w:cstheme="majorBidi"/>
          <w:b/>
          <w:bCs/>
          <w:sz w:val="28"/>
          <w:szCs w:val="28"/>
        </w:rPr>
        <w:t>AŽETAK</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0"/>
        <w:gridCol w:w="2882"/>
      </w:tblGrid>
      <w:tr w:rsidR="00D91613" w:rsidRPr="007C7920" w14:paraId="4E9AEE04" w14:textId="77777777" w:rsidTr="001D76DC">
        <w:tc>
          <w:tcPr>
            <w:tcW w:w="6345" w:type="dxa"/>
          </w:tcPr>
          <w:p w14:paraId="63E59553" w14:textId="09349390" w:rsidR="00D91613" w:rsidRPr="00F40CBD" w:rsidRDefault="00E80720" w:rsidP="00E92750">
            <w:r w:rsidRPr="00F40CBD">
              <w:t>Datum pristupanja Sporazumu gradonačelnika</w:t>
            </w:r>
          </w:p>
        </w:tc>
        <w:tc>
          <w:tcPr>
            <w:tcW w:w="2943" w:type="dxa"/>
          </w:tcPr>
          <w:p w14:paraId="799E727C" w14:textId="35833FBE" w:rsidR="00D91613" w:rsidRPr="00F40CBD" w:rsidRDefault="00E80720" w:rsidP="00E92750">
            <w:pPr>
              <w:jc w:val="right"/>
            </w:pPr>
            <w:r w:rsidRPr="00F40CBD">
              <w:t>30.10.2008.</w:t>
            </w:r>
          </w:p>
        </w:tc>
      </w:tr>
      <w:tr w:rsidR="00D91613" w:rsidRPr="007C7920" w14:paraId="5014931B" w14:textId="77777777" w:rsidTr="001D76DC">
        <w:tc>
          <w:tcPr>
            <w:tcW w:w="6345" w:type="dxa"/>
          </w:tcPr>
          <w:p w14:paraId="28A9E9BE" w14:textId="47640AE1" w:rsidR="00D91613" w:rsidRPr="00F40CBD" w:rsidRDefault="00FD1E5F" w:rsidP="00E92750">
            <w:r w:rsidRPr="00F40CBD">
              <w:rPr>
                <w:rFonts w:cstheme="minorHAnsi"/>
              </w:rPr>
              <w:t>Datum prihvaćanja na Gradskoj skupštini Grada Zagreba</w:t>
            </w:r>
          </w:p>
        </w:tc>
        <w:tc>
          <w:tcPr>
            <w:tcW w:w="2943" w:type="dxa"/>
          </w:tcPr>
          <w:p w14:paraId="1978F325" w14:textId="7E90536E" w:rsidR="00D91613" w:rsidRPr="00F40CBD" w:rsidRDefault="00F40CBD" w:rsidP="00E92750">
            <w:pPr>
              <w:jc w:val="right"/>
            </w:pPr>
            <w:r w:rsidRPr="00F40CBD">
              <w:t>20</w:t>
            </w:r>
            <w:r w:rsidR="00FB740C" w:rsidRPr="00F40CBD">
              <w:t>.04.2010.</w:t>
            </w:r>
          </w:p>
        </w:tc>
      </w:tr>
      <w:tr w:rsidR="00D33963" w:rsidRPr="007C7920" w14:paraId="3335F441" w14:textId="77777777" w:rsidTr="001D76DC">
        <w:tc>
          <w:tcPr>
            <w:tcW w:w="6345" w:type="dxa"/>
          </w:tcPr>
          <w:p w14:paraId="4A3F0A5C" w14:textId="1B6E2A85" w:rsidR="00D33963" w:rsidRPr="00F40CBD" w:rsidRDefault="00D33963" w:rsidP="00E92750">
            <w:pPr>
              <w:rPr>
                <w:rFonts w:cstheme="minorHAnsi"/>
              </w:rPr>
            </w:pPr>
            <w:r w:rsidRPr="00F40CBD">
              <w:rPr>
                <w:rFonts w:cstheme="minorHAnsi"/>
              </w:rPr>
              <w:t>Predloženi indikativni cilj smanjenja emisije CO</w:t>
            </w:r>
            <w:r w:rsidRPr="00F40CBD">
              <w:rPr>
                <w:rFonts w:cstheme="minorHAnsi"/>
                <w:vertAlign w:val="subscript"/>
              </w:rPr>
              <w:t>2</w:t>
            </w:r>
            <w:r w:rsidRPr="00F40CBD">
              <w:rPr>
                <w:rFonts w:cstheme="minorHAnsi"/>
              </w:rPr>
              <w:t xml:space="preserve"> do 2020. </w:t>
            </w:r>
            <w:r w:rsidR="00784717" w:rsidRPr="00F40CBD">
              <w:rPr>
                <w:rFonts w:cstheme="minorHAnsi"/>
              </w:rPr>
              <w:t>g</w:t>
            </w:r>
            <w:r w:rsidRPr="00F40CBD">
              <w:rPr>
                <w:rFonts w:cstheme="minorHAnsi"/>
              </w:rPr>
              <w:t>odine</w:t>
            </w:r>
            <w:r w:rsidR="00784717" w:rsidRPr="00F40CBD">
              <w:rPr>
                <w:rFonts w:cstheme="minorHAnsi"/>
              </w:rPr>
              <w:t xml:space="preserve"> u %</w:t>
            </w:r>
          </w:p>
        </w:tc>
        <w:tc>
          <w:tcPr>
            <w:tcW w:w="2943" w:type="dxa"/>
          </w:tcPr>
          <w:p w14:paraId="6F7D4110" w14:textId="59F645AD" w:rsidR="00D33963" w:rsidRPr="00F40CBD" w:rsidRDefault="00D33963" w:rsidP="00E92750">
            <w:pPr>
              <w:jc w:val="right"/>
            </w:pPr>
            <w:r w:rsidRPr="00F40CBD">
              <w:t>21%</w:t>
            </w:r>
          </w:p>
        </w:tc>
      </w:tr>
      <w:tr w:rsidR="003A1100" w:rsidRPr="007C7920" w14:paraId="03A39235" w14:textId="77777777" w:rsidTr="001D76DC">
        <w:tc>
          <w:tcPr>
            <w:tcW w:w="6345" w:type="dxa"/>
          </w:tcPr>
          <w:p w14:paraId="571FFA32" w14:textId="21A8235B" w:rsidR="003A1100" w:rsidRPr="00F40CBD" w:rsidRDefault="00784717" w:rsidP="00E92750">
            <w:pPr>
              <w:rPr>
                <w:rFonts w:cstheme="minorHAnsi"/>
              </w:rPr>
            </w:pPr>
            <w:r w:rsidRPr="00F40CBD">
              <w:rPr>
                <w:rFonts w:cstheme="minorHAnsi"/>
              </w:rPr>
              <w:t>Predloženi indik</w:t>
            </w:r>
            <w:r w:rsidR="000823A0" w:rsidRPr="00F40CBD">
              <w:rPr>
                <w:rFonts w:cstheme="minorHAnsi"/>
              </w:rPr>
              <w:t>ativni cilj smanjenja emisije do 2020. godine (t CO</w:t>
            </w:r>
            <w:r w:rsidR="000823A0" w:rsidRPr="00F40CBD">
              <w:rPr>
                <w:rFonts w:cstheme="minorHAnsi"/>
                <w:vertAlign w:val="subscript"/>
              </w:rPr>
              <w:t>2</w:t>
            </w:r>
            <w:r w:rsidR="000823A0" w:rsidRPr="00F40CBD">
              <w:rPr>
                <w:rFonts w:cstheme="minorHAnsi"/>
              </w:rPr>
              <w:t>)</w:t>
            </w:r>
          </w:p>
        </w:tc>
        <w:tc>
          <w:tcPr>
            <w:tcW w:w="2943" w:type="dxa"/>
          </w:tcPr>
          <w:p w14:paraId="00CE4116" w14:textId="57F788FE" w:rsidR="003A1100" w:rsidRPr="00F40CBD" w:rsidRDefault="006569FC" w:rsidP="00E92750">
            <w:pPr>
              <w:jc w:val="right"/>
              <w:rPr>
                <w:rFonts w:cs="Arial"/>
                <w:bCs/>
                <w:color w:val="333333"/>
              </w:rPr>
            </w:pPr>
            <w:r w:rsidRPr="00F40CBD">
              <w:rPr>
                <w:rFonts w:cs="Arial"/>
                <w:bCs/>
                <w:color w:val="333333"/>
              </w:rPr>
              <w:t>587 170,69</w:t>
            </w:r>
          </w:p>
        </w:tc>
      </w:tr>
      <w:tr w:rsidR="00BA59B5" w:rsidRPr="007C7920" w14:paraId="32761144" w14:textId="77777777" w:rsidTr="001D76DC">
        <w:tc>
          <w:tcPr>
            <w:tcW w:w="6345" w:type="dxa"/>
          </w:tcPr>
          <w:p w14:paraId="3F443402" w14:textId="77777777" w:rsidR="00BA59B5" w:rsidRPr="007C7920" w:rsidRDefault="00BA59B5" w:rsidP="00E92750">
            <w:pPr>
              <w:rPr>
                <w:rFonts w:cstheme="minorHAnsi"/>
                <w:highlight w:val="yellow"/>
              </w:rPr>
            </w:pPr>
          </w:p>
        </w:tc>
        <w:tc>
          <w:tcPr>
            <w:tcW w:w="2943" w:type="dxa"/>
          </w:tcPr>
          <w:p w14:paraId="368BF656" w14:textId="77777777" w:rsidR="00BA59B5" w:rsidRPr="007C7920" w:rsidRDefault="00BA59B5" w:rsidP="00E92750">
            <w:pPr>
              <w:jc w:val="right"/>
              <w:rPr>
                <w:rFonts w:cs="Arial"/>
                <w:bCs/>
                <w:color w:val="333333"/>
                <w:highlight w:val="yellow"/>
              </w:rPr>
            </w:pPr>
          </w:p>
        </w:tc>
      </w:tr>
      <w:tr w:rsidR="00D91613" w:rsidRPr="007C7920" w14:paraId="185B94E1" w14:textId="77777777" w:rsidTr="001D76DC">
        <w:tc>
          <w:tcPr>
            <w:tcW w:w="6345" w:type="dxa"/>
          </w:tcPr>
          <w:p w14:paraId="405C4348" w14:textId="792B7A0D" w:rsidR="00D91613" w:rsidRPr="00F40CBD" w:rsidRDefault="00752A44" w:rsidP="00E92750">
            <w:r w:rsidRPr="00F40CBD">
              <w:t>Referentna godina za izradu energetskih analiza</w:t>
            </w:r>
            <w:r w:rsidR="008D124B" w:rsidRPr="00F40CBD">
              <w:t xml:space="preserve"> i inventara emisija CO</w:t>
            </w:r>
            <w:r w:rsidR="008D124B" w:rsidRPr="00F40CBD">
              <w:rPr>
                <w:vertAlign w:val="subscript"/>
              </w:rPr>
              <w:t>2</w:t>
            </w:r>
          </w:p>
        </w:tc>
        <w:tc>
          <w:tcPr>
            <w:tcW w:w="2943" w:type="dxa"/>
          </w:tcPr>
          <w:p w14:paraId="2E8DFE25" w14:textId="57985E82" w:rsidR="00D91613" w:rsidRPr="00F40CBD" w:rsidRDefault="00752A44" w:rsidP="00E92750">
            <w:pPr>
              <w:jc w:val="right"/>
            </w:pPr>
            <w:r w:rsidRPr="00F40CBD">
              <w:t>2008.</w:t>
            </w:r>
          </w:p>
        </w:tc>
      </w:tr>
      <w:tr w:rsidR="00752A44" w:rsidRPr="007C7920" w14:paraId="5DBEC053" w14:textId="77777777" w:rsidTr="001D76DC">
        <w:tc>
          <w:tcPr>
            <w:tcW w:w="6345" w:type="dxa"/>
          </w:tcPr>
          <w:p w14:paraId="69F86730" w14:textId="13F64647" w:rsidR="00752A44" w:rsidRPr="00F40CBD" w:rsidRDefault="00752A44" w:rsidP="00E92750">
            <w:r w:rsidRPr="00F40CBD">
              <w:t>Kontrolna godina za izradu energetskih analiza</w:t>
            </w:r>
            <w:r w:rsidR="008D124B" w:rsidRPr="00F40CBD">
              <w:t xml:space="preserve"> i inventara emisija CO</w:t>
            </w:r>
            <w:r w:rsidR="008D124B" w:rsidRPr="00F40CBD">
              <w:rPr>
                <w:vertAlign w:val="subscript"/>
              </w:rPr>
              <w:t>2</w:t>
            </w:r>
          </w:p>
        </w:tc>
        <w:tc>
          <w:tcPr>
            <w:tcW w:w="2943" w:type="dxa"/>
          </w:tcPr>
          <w:p w14:paraId="799B815D" w14:textId="656B1833" w:rsidR="00752A44" w:rsidRPr="00F40CBD" w:rsidRDefault="00752A44" w:rsidP="00E92750">
            <w:pPr>
              <w:jc w:val="right"/>
            </w:pPr>
            <w:r w:rsidRPr="00F40CBD">
              <w:t>2015.</w:t>
            </w:r>
          </w:p>
        </w:tc>
      </w:tr>
      <w:tr w:rsidR="00512221" w:rsidRPr="007C7920" w14:paraId="55ACDCF0" w14:textId="77777777" w:rsidTr="001D76DC">
        <w:tc>
          <w:tcPr>
            <w:tcW w:w="6345" w:type="dxa"/>
          </w:tcPr>
          <w:p w14:paraId="16E4267A" w14:textId="77777777" w:rsidR="00512221" w:rsidRPr="007C7920" w:rsidRDefault="00512221" w:rsidP="00E92750">
            <w:pPr>
              <w:rPr>
                <w:highlight w:val="yellow"/>
              </w:rPr>
            </w:pPr>
          </w:p>
        </w:tc>
        <w:tc>
          <w:tcPr>
            <w:tcW w:w="2943" w:type="dxa"/>
          </w:tcPr>
          <w:p w14:paraId="49A4E332" w14:textId="77777777" w:rsidR="00512221" w:rsidRPr="007C7920" w:rsidRDefault="00512221" w:rsidP="00E92750">
            <w:pPr>
              <w:jc w:val="right"/>
              <w:rPr>
                <w:highlight w:val="yellow"/>
              </w:rPr>
            </w:pPr>
          </w:p>
        </w:tc>
      </w:tr>
      <w:tr w:rsidR="00125094" w:rsidRPr="007C7920" w14:paraId="670435AA" w14:textId="77777777" w:rsidTr="001D76DC">
        <w:tc>
          <w:tcPr>
            <w:tcW w:w="6345" w:type="dxa"/>
          </w:tcPr>
          <w:p w14:paraId="6F961663" w14:textId="15EC59EB" w:rsidR="00125094" w:rsidRPr="00926F21" w:rsidRDefault="00125094" w:rsidP="00E92750">
            <w:r w:rsidRPr="00926F21">
              <w:t>P</w:t>
            </w:r>
            <w:r w:rsidR="00A67308" w:rsidRPr="00926F21">
              <w:t>regled pokazatelja za 2008.</w:t>
            </w:r>
            <w:r w:rsidRPr="00926F21">
              <w:t xml:space="preserve"> godinu:</w:t>
            </w:r>
          </w:p>
        </w:tc>
        <w:tc>
          <w:tcPr>
            <w:tcW w:w="2943" w:type="dxa"/>
          </w:tcPr>
          <w:p w14:paraId="6BE5B957" w14:textId="77777777" w:rsidR="00125094" w:rsidRPr="00926F21" w:rsidRDefault="00125094" w:rsidP="00E92750">
            <w:pPr>
              <w:jc w:val="right"/>
            </w:pPr>
          </w:p>
        </w:tc>
      </w:tr>
      <w:tr w:rsidR="0058411D" w:rsidRPr="007C7920" w14:paraId="32C36AD3" w14:textId="77777777" w:rsidTr="001D76DC">
        <w:tc>
          <w:tcPr>
            <w:tcW w:w="6345" w:type="dxa"/>
          </w:tcPr>
          <w:p w14:paraId="79F79948" w14:textId="563121AF" w:rsidR="0058411D" w:rsidRPr="00926F21" w:rsidRDefault="00BA59B5" w:rsidP="00E92750">
            <w:r w:rsidRPr="00926F21">
              <w:t>Broj kućanstava</w:t>
            </w:r>
          </w:p>
        </w:tc>
        <w:tc>
          <w:tcPr>
            <w:tcW w:w="2943" w:type="dxa"/>
          </w:tcPr>
          <w:p w14:paraId="2AC06A86" w14:textId="4AADA69C" w:rsidR="0058411D" w:rsidRPr="00926F21" w:rsidRDefault="0058411D" w:rsidP="00E92750">
            <w:pPr>
              <w:jc w:val="right"/>
            </w:pPr>
            <w:r w:rsidRPr="00926F21">
              <w:t>280 354</w:t>
            </w:r>
          </w:p>
        </w:tc>
      </w:tr>
      <w:tr w:rsidR="00752A44" w:rsidRPr="00EB3A7A" w14:paraId="33130F77" w14:textId="77777777" w:rsidTr="001D76DC">
        <w:tc>
          <w:tcPr>
            <w:tcW w:w="6345" w:type="dxa"/>
          </w:tcPr>
          <w:p w14:paraId="1B365E90" w14:textId="35E62099" w:rsidR="00752A44" w:rsidRPr="00926F21" w:rsidRDefault="008D124B" w:rsidP="00E92750">
            <w:r w:rsidRPr="00926F21">
              <w:t>Površina kućanstava (m</w:t>
            </w:r>
            <w:r w:rsidRPr="00926F21">
              <w:rPr>
                <w:vertAlign w:val="superscript"/>
              </w:rPr>
              <w:t>2</w:t>
            </w:r>
            <w:r w:rsidR="00125094" w:rsidRPr="00926F21">
              <w:t>)</w:t>
            </w:r>
          </w:p>
        </w:tc>
        <w:tc>
          <w:tcPr>
            <w:tcW w:w="2943" w:type="dxa"/>
          </w:tcPr>
          <w:p w14:paraId="0FD680AC" w14:textId="02DD86CB" w:rsidR="00752A44" w:rsidRPr="00EB3A7A" w:rsidRDefault="0058411D" w:rsidP="00E92750">
            <w:pPr>
              <w:jc w:val="right"/>
            </w:pPr>
            <w:r w:rsidRPr="00EB3A7A">
              <w:t>18 533 107</w:t>
            </w:r>
          </w:p>
        </w:tc>
      </w:tr>
      <w:tr w:rsidR="00125094" w:rsidRPr="007C7920" w14:paraId="1F9D33A5" w14:textId="77777777" w:rsidTr="001D76DC">
        <w:tc>
          <w:tcPr>
            <w:tcW w:w="6345" w:type="dxa"/>
          </w:tcPr>
          <w:p w14:paraId="4D2504C4" w14:textId="5E150A7B" w:rsidR="00125094" w:rsidRPr="00926F21" w:rsidRDefault="00125094" w:rsidP="00E92750">
            <w:r w:rsidRPr="00926F21">
              <w:t>Broj objekata komercijal</w:t>
            </w:r>
            <w:r w:rsidR="00BA59B5" w:rsidRPr="00926F21">
              <w:t>nih i uslužnih djelatnosti</w:t>
            </w:r>
          </w:p>
        </w:tc>
        <w:tc>
          <w:tcPr>
            <w:tcW w:w="2943" w:type="dxa"/>
          </w:tcPr>
          <w:p w14:paraId="2034AB52" w14:textId="0788BE3D" w:rsidR="00125094" w:rsidRPr="00926F21" w:rsidRDefault="0058411D" w:rsidP="00E92750">
            <w:pPr>
              <w:jc w:val="right"/>
            </w:pPr>
            <w:r w:rsidRPr="00926F21">
              <w:t>19 893</w:t>
            </w:r>
          </w:p>
        </w:tc>
      </w:tr>
      <w:tr w:rsidR="00125094" w:rsidRPr="007C7920" w14:paraId="27B3E488" w14:textId="77777777" w:rsidTr="001D76DC">
        <w:tc>
          <w:tcPr>
            <w:tcW w:w="6345" w:type="dxa"/>
          </w:tcPr>
          <w:p w14:paraId="3361A844" w14:textId="7BB812F0" w:rsidR="00125094" w:rsidRPr="00926F21" w:rsidRDefault="00125094" w:rsidP="00E92750">
            <w:r w:rsidRPr="00926F21">
              <w:t>Površina objekata (m</w:t>
            </w:r>
            <w:r w:rsidRPr="00926F21">
              <w:rPr>
                <w:vertAlign w:val="superscript"/>
              </w:rPr>
              <w:t>2</w:t>
            </w:r>
            <w:r w:rsidRPr="00926F21">
              <w:t>) kom</w:t>
            </w:r>
            <w:r w:rsidR="00512221" w:rsidRPr="00926F21">
              <w:t>ercijalnog i uslužn</w:t>
            </w:r>
            <w:r w:rsidR="00BA59B5" w:rsidRPr="00926F21">
              <w:t>ih djelatnosti</w:t>
            </w:r>
          </w:p>
        </w:tc>
        <w:tc>
          <w:tcPr>
            <w:tcW w:w="2943" w:type="dxa"/>
          </w:tcPr>
          <w:p w14:paraId="44811949" w14:textId="23F6EF40" w:rsidR="00125094" w:rsidRPr="00926F21" w:rsidRDefault="0058411D" w:rsidP="00E92750">
            <w:pPr>
              <w:jc w:val="right"/>
            </w:pPr>
            <w:r w:rsidRPr="00926F21">
              <w:t>8 041 291</w:t>
            </w:r>
          </w:p>
        </w:tc>
      </w:tr>
      <w:tr w:rsidR="00125094" w:rsidRPr="007C7920" w14:paraId="32DEC233" w14:textId="77777777" w:rsidTr="001D76DC">
        <w:tc>
          <w:tcPr>
            <w:tcW w:w="6345" w:type="dxa"/>
          </w:tcPr>
          <w:p w14:paraId="2EF18F58" w14:textId="77777777" w:rsidR="00125094" w:rsidRPr="00A67308" w:rsidRDefault="00125094" w:rsidP="00E92750"/>
        </w:tc>
        <w:tc>
          <w:tcPr>
            <w:tcW w:w="2943" w:type="dxa"/>
          </w:tcPr>
          <w:p w14:paraId="0414F3EF" w14:textId="77777777" w:rsidR="00125094" w:rsidRPr="00A67308" w:rsidRDefault="00125094" w:rsidP="00E92750">
            <w:pPr>
              <w:jc w:val="right"/>
            </w:pPr>
          </w:p>
        </w:tc>
      </w:tr>
      <w:tr w:rsidR="00125094" w:rsidRPr="007C7920" w14:paraId="1B53B186" w14:textId="77777777" w:rsidTr="001D76DC">
        <w:tc>
          <w:tcPr>
            <w:tcW w:w="6345" w:type="dxa"/>
          </w:tcPr>
          <w:p w14:paraId="49300D48" w14:textId="1106CD11" w:rsidR="00125094" w:rsidRPr="00A67308" w:rsidRDefault="00A67308" w:rsidP="00E92750">
            <w:r>
              <w:t>Pregled pokazatelja za 2015.</w:t>
            </w:r>
            <w:r w:rsidR="00BA59B5" w:rsidRPr="00A67308">
              <w:t xml:space="preserve"> godinu</w:t>
            </w:r>
          </w:p>
        </w:tc>
        <w:tc>
          <w:tcPr>
            <w:tcW w:w="2943" w:type="dxa"/>
          </w:tcPr>
          <w:p w14:paraId="537A7126" w14:textId="77777777" w:rsidR="00125094" w:rsidRPr="00A67308" w:rsidRDefault="00125094" w:rsidP="00E92750">
            <w:pPr>
              <w:jc w:val="right"/>
            </w:pPr>
          </w:p>
        </w:tc>
      </w:tr>
      <w:tr w:rsidR="00356572" w:rsidRPr="007C7920" w14:paraId="1D3565B3" w14:textId="77777777" w:rsidTr="001D76DC">
        <w:tc>
          <w:tcPr>
            <w:tcW w:w="6345" w:type="dxa"/>
          </w:tcPr>
          <w:p w14:paraId="3825D2F9" w14:textId="248B430B" w:rsidR="00356572" w:rsidRPr="00A67308" w:rsidRDefault="00356572" w:rsidP="00E92750">
            <w:r w:rsidRPr="00A67308">
              <w:t>Broj kućanstava</w:t>
            </w:r>
          </w:p>
        </w:tc>
        <w:tc>
          <w:tcPr>
            <w:tcW w:w="2943" w:type="dxa"/>
          </w:tcPr>
          <w:p w14:paraId="1E1B6D1B" w14:textId="0D97CD9F" w:rsidR="00356572" w:rsidRPr="00A67308" w:rsidRDefault="00356572" w:rsidP="00E92750">
            <w:pPr>
              <w:jc w:val="right"/>
            </w:pPr>
            <w:r w:rsidRPr="00A67308">
              <w:t>360 601</w:t>
            </w:r>
          </w:p>
        </w:tc>
      </w:tr>
      <w:tr w:rsidR="00752A44" w:rsidRPr="007C7920" w14:paraId="24921751" w14:textId="77777777" w:rsidTr="001D76DC">
        <w:tc>
          <w:tcPr>
            <w:tcW w:w="6345" w:type="dxa"/>
          </w:tcPr>
          <w:p w14:paraId="7AA2B65D" w14:textId="491FE33C" w:rsidR="00752A44" w:rsidRPr="00A67308" w:rsidRDefault="008D124B" w:rsidP="00E92750">
            <w:r w:rsidRPr="00A67308">
              <w:t>Površina kućanstava (m</w:t>
            </w:r>
            <w:r w:rsidRPr="00A67308">
              <w:rPr>
                <w:vertAlign w:val="superscript"/>
              </w:rPr>
              <w:t>2</w:t>
            </w:r>
            <w:r w:rsidR="00512221" w:rsidRPr="00A67308">
              <w:t>)</w:t>
            </w:r>
          </w:p>
        </w:tc>
        <w:tc>
          <w:tcPr>
            <w:tcW w:w="2943" w:type="dxa"/>
          </w:tcPr>
          <w:p w14:paraId="4F3AF9E8" w14:textId="1CA8C470" w:rsidR="00752A44" w:rsidRPr="00A67308" w:rsidRDefault="00356572" w:rsidP="00E92750">
            <w:pPr>
              <w:jc w:val="right"/>
            </w:pPr>
            <w:r w:rsidRPr="00A67308">
              <w:t>25 979 962</w:t>
            </w:r>
          </w:p>
        </w:tc>
      </w:tr>
      <w:tr w:rsidR="00512221" w:rsidRPr="007C7920" w14:paraId="0D6A538C" w14:textId="77777777" w:rsidTr="001D76DC">
        <w:tc>
          <w:tcPr>
            <w:tcW w:w="6345" w:type="dxa"/>
          </w:tcPr>
          <w:p w14:paraId="5C3FD2F4" w14:textId="7F4E6F86" w:rsidR="00512221" w:rsidRPr="00A67308" w:rsidRDefault="00512221" w:rsidP="00E92750">
            <w:r w:rsidRPr="00A67308">
              <w:t>Broj objekata komercijal</w:t>
            </w:r>
            <w:r w:rsidR="00BA59B5" w:rsidRPr="00A67308">
              <w:t>nih i uslužnih djelatnosti</w:t>
            </w:r>
          </w:p>
        </w:tc>
        <w:tc>
          <w:tcPr>
            <w:tcW w:w="2943" w:type="dxa"/>
          </w:tcPr>
          <w:p w14:paraId="178CBE39" w14:textId="13B81153" w:rsidR="00512221" w:rsidRPr="00A67308" w:rsidRDefault="00356572" w:rsidP="00E92750">
            <w:pPr>
              <w:jc w:val="right"/>
            </w:pPr>
            <w:r w:rsidRPr="00A67308">
              <w:t>27 452</w:t>
            </w:r>
          </w:p>
        </w:tc>
      </w:tr>
      <w:tr w:rsidR="00512221" w:rsidRPr="007C7920" w14:paraId="13A80C36" w14:textId="77777777" w:rsidTr="001D76DC">
        <w:tc>
          <w:tcPr>
            <w:tcW w:w="6345" w:type="dxa"/>
          </w:tcPr>
          <w:p w14:paraId="295E8216" w14:textId="0AE59098" w:rsidR="00512221" w:rsidRPr="00A67308" w:rsidRDefault="00512221" w:rsidP="00E92750">
            <w:r w:rsidRPr="00A67308">
              <w:t>Površina objekata (m</w:t>
            </w:r>
            <w:r w:rsidRPr="00A67308">
              <w:rPr>
                <w:vertAlign w:val="superscript"/>
              </w:rPr>
              <w:t>2</w:t>
            </w:r>
            <w:r w:rsidRPr="00A67308">
              <w:t>) kom</w:t>
            </w:r>
            <w:r w:rsidR="008B632E" w:rsidRPr="00A67308">
              <w:t>ercijalnih</w:t>
            </w:r>
            <w:r w:rsidRPr="00A67308">
              <w:t xml:space="preserve"> i uslužnih djelatnosti</w:t>
            </w:r>
          </w:p>
        </w:tc>
        <w:tc>
          <w:tcPr>
            <w:tcW w:w="2943" w:type="dxa"/>
          </w:tcPr>
          <w:p w14:paraId="29B158CA" w14:textId="177D5859" w:rsidR="00512221" w:rsidRPr="00A67308" w:rsidRDefault="00356572" w:rsidP="00E92750">
            <w:pPr>
              <w:jc w:val="right"/>
            </w:pPr>
            <w:r w:rsidRPr="00A67308">
              <w:t>10 377 926</w:t>
            </w:r>
          </w:p>
        </w:tc>
      </w:tr>
      <w:tr w:rsidR="00512221" w:rsidRPr="007C7920" w14:paraId="7A24A8CE" w14:textId="77777777" w:rsidTr="001D76DC">
        <w:tc>
          <w:tcPr>
            <w:tcW w:w="6345" w:type="dxa"/>
          </w:tcPr>
          <w:p w14:paraId="67FF340C" w14:textId="77777777" w:rsidR="00512221" w:rsidRPr="007C7920" w:rsidRDefault="00512221" w:rsidP="00E92750">
            <w:pPr>
              <w:rPr>
                <w:highlight w:val="yellow"/>
              </w:rPr>
            </w:pPr>
          </w:p>
        </w:tc>
        <w:tc>
          <w:tcPr>
            <w:tcW w:w="2943" w:type="dxa"/>
          </w:tcPr>
          <w:p w14:paraId="447C931D" w14:textId="77777777" w:rsidR="00512221" w:rsidRPr="007C7920" w:rsidRDefault="00512221" w:rsidP="00E92750">
            <w:pPr>
              <w:jc w:val="right"/>
              <w:rPr>
                <w:highlight w:val="yellow"/>
              </w:rPr>
            </w:pPr>
          </w:p>
        </w:tc>
      </w:tr>
      <w:tr w:rsidR="00D91613" w:rsidRPr="007C7920" w14:paraId="1FFE2762" w14:textId="77777777" w:rsidTr="001D76DC">
        <w:tc>
          <w:tcPr>
            <w:tcW w:w="6345" w:type="dxa"/>
          </w:tcPr>
          <w:p w14:paraId="0C6B4180" w14:textId="77E9B62E" w:rsidR="00D91613" w:rsidRPr="000F73F3" w:rsidRDefault="00752A44" w:rsidP="00E92750">
            <w:r w:rsidRPr="000F73F3">
              <w:t xml:space="preserve">Pregled rezultata </w:t>
            </w:r>
            <w:r w:rsidR="000F73F3" w:rsidRPr="000F73F3">
              <w:t>energetske analize u</w:t>
            </w:r>
            <w:r w:rsidRPr="000F73F3">
              <w:t xml:space="preserve"> 2008. godini:</w:t>
            </w:r>
          </w:p>
        </w:tc>
        <w:tc>
          <w:tcPr>
            <w:tcW w:w="2943" w:type="dxa"/>
          </w:tcPr>
          <w:p w14:paraId="09BC831A" w14:textId="77777777" w:rsidR="00D91613" w:rsidRPr="000F73F3" w:rsidRDefault="00D91613" w:rsidP="00E92750"/>
        </w:tc>
      </w:tr>
      <w:tr w:rsidR="00D91613" w:rsidRPr="007C7920" w14:paraId="231CD42C" w14:textId="77777777" w:rsidTr="001D76DC">
        <w:tc>
          <w:tcPr>
            <w:tcW w:w="6345" w:type="dxa"/>
          </w:tcPr>
          <w:p w14:paraId="74399126" w14:textId="1B5F2840" w:rsidR="00D91613" w:rsidRPr="000F73F3" w:rsidRDefault="00752A44" w:rsidP="00EE7021">
            <w:pPr>
              <w:pStyle w:val="ListParagraph"/>
              <w:numPr>
                <w:ilvl w:val="0"/>
                <w:numId w:val="38"/>
              </w:numPr>
            </w:pPr>
            <w:r w:rsidRPr="000F73F3">
              <w:t>Energetska</w:t>
            </w:r>
            <w:r w:rsidR="005455DB" w:rsidRPr="000F73F3">
              <w:t xml:space="preserve"> potrošnja u sektoru zgradarstvo</w:t>
            </w:r>
            <w:r w:rsidRPr="000F73F3">
              <w:t xml:space="preserve"> (MWh)</w:t>
            </w:r>
          </w:p>
        </w:tc>
        <w:tc>
          <w:tcPr>
            <w:tcW w:w="2943" w:type="dxa"/>
          </w:tcPr>
          <w:p w14:paraId="5F8241A2" w14:textId="6123E616" w:rsidR="00D91613" w:rsidRPr="000F73F3" w:rsidRDefault="00192E65" w:rsidP="00E92750">
            <w:pPr>
              <w:jc w:val="right"/>
            </w:pPr>
            <w:r>
              <w:t>7 443 455</w:t>
            </w:r>
          </w:p>
        </w:tc>
      </w:tr>
      <w:tr w:rsidR="00D91613" w:rsidRPr="007C7920" w14:paraId="7C4034E2" w14:textId="77777777" w:rsidTr="001D76DC">
        <w:tc>
          <w:tcPr>
            <w:tcW w:w="6345" w:type="dxa"/>
          </w:tcPr>
          <w:p w14:paraId="24045A2D" w14:textId="2C97CF95" w:rsidR="00D91613" w:rsidRPr="000F73F3" w:rsidRDefault="00752A44" w:rsidP="00EE7021">
            <w:pPr>
              <w:pStyle w:val="ListParagraph"/>
              <w:numPr>
                <w:ilvl w:val="0"/>
                <w:numId w:val="38"/>
              </w:numPr>
            </w:pPr>
            <w:r w:rsidRPr="000F73F3">
              <w:t>Energetska potrošnja u sektoru prometa</w:t>
            </w:r>
            <w:r w:rsidR="005455DB" w:rsidRPr="000F73F3">
              <w:t xml:space="preserve"> (MWh)</w:t>
            </w:r>
          </w:p>
        </w:tc>
        <w:tc>
          <w:tcPr>
            <w:tcW w:w="2943" w:type="dxa"/>
          </w:tcPr>
          <w:p w14:paraId="5604410B" w14:textId="61D7BBFE" w:rsidR="00D91613" w:rsidRPr="000F73F3" w:rsidRDefault="00192E65" w:rsidP="00E92750">
            <w:pPr>
              <w:jc w:val="right"/>
            </w:pPr>
            <w:r>
              <w:t>3 909 237</w:t>
            </w:r>
          </w:p>
        </w:tc>
      </w:tr>
      <w:tr w:rsidR="00D91613" w:rsidRPr="007C7920" w14:paraId="490A6CBD" w14:textId="77777777" w:rsidTr="001D76DC">
        <w:tc>
          <w:tcPr>
            <w:tcW w:w="6345" w:type="dxa"/>
          </w:tcPr>
          <w:p w14:paraId="4639C5E6" w14:textId="570340AC" w:rsidR="00D91613" w:rsidRPr="000F73F3" w:rsidRDefault="00752A44" w:rsidP="00EE7021">
            <w:pPr>
              <w:pStyle w:val="ListParagraph"/>
              <w:numPr>
                <w:ilvl w:val="0"/>
                <w:numId w:val="38"/>
              </w:numPr>
            </w:pPr>
            <w:r w:rsidRPr="000F73F3">
              <w:t>Energetska potrošnja u sektoru javne rasvjete</w:t>
            </w:r>
            <w:r w:rsidR="005455DB" w:rsidRPr="000F73F3">
              <w:t xml:space="preserve"> (MWh)</w:t>
            </w:r>
          </w:p>
        </w:tc>
        <w:tc>
          <w:tcPr>
            <w:tcW w:w="2943" w:type="dxa"/>
          </w:tcPr>
          <w:p w14:paraId="3169F5E0" w14:textId="0EA1CDA2" w:rsidR="00D91613" w:rsidRPr="000F73F3" w:rsidRDefault="00192E65" w:rsidP="00E92750">
            <w:pPr>
              <w:jc w:val="right"/>
            </w:pPr>
            <w:r>
              <w:t>90 458</w:t>
            </w:r>
          </w:p>
        </w:tc>
      </w:tr>
      <w:tr w:rsidR="005455DB" w:rsidRPr="007C7920" w14:paraId="3FB45DF3" w14:textId="77777777" w:rsidTr="001D76DC">
        <w:tc>
          <w:tcPr>
            <w:tcW w:w="6345" w:type="dxa"/>
          </w:tcPr>
          <w:p w14:paraId="3083408D" w14:textId="2A187020" w:rsidR="005455DB" w:rsidRPr="000F73F3" w:rsidRDefault="005455DB" w:rsidP="00EE7021">
            <w:pPr>
              <w:pStyle w:val="ListParagraph"/>
              <w:numPr>
                <w:ilvl w:val="0"/>
                <w:numId w:val="38"/>
              </w:numPr>
            </w:pPr>
            <w:r w:rsidRPr="000F73F3">
              <w:t>Ukupna energetska potrošnja (MWh)</w:t>
            </w:r>
          </w:p>
        </w:tc>
        <w:tc>
          <w:tcPr>
            <w:tcW w:w="2943" w:type="dxa"/>
          </w:tcPr>
          <w:p w14:paraId="36504002" w14:textId="28E06ADB" w:rsidR="005455DB" w:rsidRPr="000F73F3" w:rsidRDefault="00192E65" w:rsidP="00E92750">
            <w:pPr>
              <w:jc w:val="right"/>
            </w:pPr>
            <w:r>
              <w:t>11 443 150</w:t>
            </w:r>
          </w:p>
        </w:tc>
      </w:tr>
      <w:tr w:rsidR="005455DB" w:rsidRPr="007C7920" w14:paraId="544F5700" w14:textId="77777777" w:rsidTr="001D76DC">
        <w:tc>
          <w:tcPr>
            <w:tcW w:w="6345" w:type="dxa"/>
          </w:tcPr>
          <w:p w14:paraId="5F0F7D1D" w14:textId="77777777" w:rsidR="005455DB" w:rsidRPr="007C7920" w:rsidRDefault="005455DB" w:rsidP="00E92750">
            <w:pPr>
              <w:rPr>
                <w:highlight w:val="yellow"/>
              </w:rPr>
            </w:pPr>
          </w:p>
        </w:tc>
        <w:tc>
          <w:tcPr>
            <w:tcW w:w="2943" w:type="dxa"/>
          </w:tcPr>
          <w:p w14:paraId="703FA2A4" w14:textId="77777777" w:rsidR="005455DB" w:rsidRPr="007C7920" w:rsidRDefault="005455DB" w:rsidP="00E92750">
            <w:pPr>
              <w:jc w:val="right"/>
              <w:rPr>
                <w:highlight w:val="yellow"/>
              </w:rPr>
            </w:pPr>
          </w:p>
        </w:tc>
      </w:tr>
      <w:tr w:rsidR="00D91613" w:rsidRPr="007C7920" w14:paraId="44578218" w14:textId="77777777" w:rsidTr="001D76DC">
        <w:tc>
          <w:tcPr>
            <w:tcW w:w="6345" w:type="dxa"/>
          </w:tcPr>
          <w:p w14:paraId="2FFA6AC0" w14:textId="54B054CC" w:rsidR="00D91613" w:rsidRPr="00F40CBD" w:rsidRDefault="00046069" w:rsidP="00EE7021">
            <w:pPr>
              <w:pStyle w:val="ListParagraph"/>
              <w:numPr>
                <w:ilvl w:val="0"/>
                <w:numId w:val="38"/>
              </w:numPr>
            </w:pPr>
            <w:r w:rsidRPr="00F40CBD">
              <w:t>Emisija CO</w:t>
            </w:r>
            <w:r w:rsidRPr="00F40CBD">
              <w:rPr>
                <w:vertAlign w:val="subscript"/>
              </w:rPr>
              <w:t>2</w:t>
            </w:r>
            <w:r w:rsidRPr="00F40CBD">
              <w:t xml:space="preserve"> iz sektora zgradarstvo</w:t>
            </w:r>
            <w:r w:rsidR="005455DB" w:rsidRPr="00F40CBD">
              <w:t xml:space="preserve"> (</w:t>
            </w:r>
            <w:r w:rsidR="00E8481C">
              <w:t>k</w:t>
            </w:r>
            <w:r w:rsidR="005455DB" w:rsidRPr="00F40CBD">
              <w:t>t CO</w:t>
            </w:r>
            <w:r w:rsidR="005455DB" w:rsidRPr="00F40CBD">
              <w:rPr>
                <w:vertAlign w:val="subscript"/>
              </w:rPr>
              <w:t>2</w:t>
            </w:r>
            <w:r w:rsidR="005455DB" w:rsidRPr="00F40CBD">
              <w:t>)</w:t>
            </w:r>
          </w:p>
        </w:tc>
        <w:tc>
          <w:tcPr>
            <w:tcW w:w="2943" w:type="dxa"/>
          </w:tcPr>
          <w:p w14:paraId="34DE044B" w14:textId="462C885A" w:rsidR="00D91613" w:rsidRPr="00F40CBD" w:rsidRDefault="00E8481C" w:rsidP="00E92750">
            <w:pPr>
              <w:jc w:val="right"/>
            </w:pPr>
            <w:r>
              <w:t>1 760</w:t>
            </w:r>
          </w:p>
        </w:tc>
      </w:tr>
      <w:tr w:rsidR="008B632E" w:rsidRPr="007C7920" w14:paraId="71EF580F" w14:textId="77777777" w:rsidTr="001D76DC">
        <w:tc>
          <w:tcPr>
            <w:tcW w:w="6345" w:type="dxa"/>
          </w:tcPr>
          <w:p w14:paraId="56F68C52" w14:textId="58458971" w:rsidR="008B632E" w:rsidRPr="00F40CBD" w:rsidRDefault="00046069" w:rsidP="00EE7021">
            <w:pPr>
              <w:pStyle w:val="ListParagraph"/>
              <w:numPr>
                <w:ilvl w:val="0"/>
                <w:numId w:val="38"/>
              </w:numPr>
            </w:pPr>
            <w:r w:rsidRPr="00F40CBD">
              <w:t>Emisija CO</w:t>
            </w:r>
            <w:r w:rsidRPr="00F40CBD">
              <w:rPr>
                <w:vertAlign w:val="subscript"/>
              </w:rPr>
              <w:t>2</w:t>
            </w:r>
            <w:r w:rsidRPr="00F40CBD">
              <w:t xml:space="preserve"> iz sektora promet</w:t>
            </w:r>
            <w:r w:rsidR="005455DB" w:rsidRPr="00F40CBD">
              <w:t xml:space="preserve"> (</w:t>
            </w:r>
            <w:r w:rsidR="00E8481C">
              <w:t>k</w:t>
            </w:r>
            <w:r w:rsidR="005455DB" w:rsidRPr="00F40CBD">
              <w:t>t CO</w:t>
            </w:r>
            <w:r w:rsidR="005455DB" w:rsidRPr="00F40CBD">
              <w:rPr>
                <w:vertAlign w:val="subscript"/>
              </w:rPr>
              <w:t>2</w:t>
            </w:r>
            <w:r w:rsidR="005455DB" w:rsidRPr="00F40CBD">
              <w:t>)</w:t>
            </w:r>
          </w:p>
        </w:tc>
        <w:tc>
          <w:tcPr>
            <w:tcW w:w="2943" w:type="dxa"/>
          </w:tcPr>
          <w:p w14:paraId="4B72107D" w14:textId="510E93E6" w:rsidR="008B632E" w:rsidRPr="00F40CBD" w:rsidRDefault="00E8481C" w:rsidP="00E92750">
            <w:pPr>
              <w:jc w:val="right"/>
            </w:pPr>
            <w:r>
              <w:t>1 005</w:t>
            </w:r>
          </w:p>
        </w:tc>
      </w:tr>
      <w:tr w:rsidR="008B632E" w:rsidRPr="007C7920" w14:paraId="78226920" w14:textId="77777777" w:rsidTr="001D76DC">
        <w:tc>
          <w:tcPr>
            <w:tcW w:w="6345" w:type="dxa"/>
          </w:tcPr>
          <w:p w14:paraId="4642D1E8" w14:textId="2DF1F2BD" w:rsidR="008B632E" w:rsidRPr="00F40CBD" w:rsidRDefault="00046069" w:rsidP="00EE7021">
            <w:pPr>
              <w:pStyle w:val="ListParagraph"/>
              <w:numPr>
                <w:ilvl w:val="0"/>
                <w:numId w:val="38"/>
              </w:numPr>
            </w:pPr>
            <w:r w:rsidRPr="00F40CBD">
              <w:t>Emisija CO</w:t>
            </w:r>
            <w:r w:rsidRPr="00F40CBD">
              <w:rPr>
                <w:vertAlign w:val="subscript"/>
              </w:rPr>
              <w:t>2</w:t>
            </w:r>
            <w:r w:rsidRPr="00F40CBD">
              <w:t xml:space="preserve"> iz sektora javna rasvjeta</w:t>
            </w:r>
            <w:r w:rsidR="005455DB" w:rsidRPr="00F40CBD">
              <w:t xml:space="preserve"> (</w:t>
            </w:r>
            <w:r w:rsidR="00E8481C">
              <w:t>k</w:t>
            </w:r>
            <w:r w:rsidR="005455DB" w:rsidRPr="00F40CBD">
              <w:t>t CO</w:t>
            </w:r>
            <w:r w:rsidR="005455DB" w:rsidRPr="00F40CBD">
              <w:rPr>
                <w:vertAlign w:val="subscript"/>
              </w:rPr>
              <w:t>2</w:t>
            </w:r>
            <w:r w:rsidR="005455DB" w:rsidRPr="00F40CBD">
              <w:t>)</w:t>
            </w:r>
          </w:p>
        </w:tc>
        <w:tc>
          <w:tcPr>
            <w:tcW w:w="2943" w:type="dxa"/>
          </w:tcPr>
          <w:p w14:paraId="0C7B7ACB" w14:textId="2806AE1D" w:rsidR="008B632E" w:rsidRPr="00F40CBD" w:rsidRDefault="00E8481C" w:rsidP="00E92750">
            <w:pPr>
              <w:jc w:val="right"/>
            </w:pPr>
            <w:r>
              <w:t>29</w:t>
            </w:r>
          </w:p>
        </w:tc>
      </w:tr>
      <w:tr w:rsidR="008B632E" w:rsidRPr="007C7920" w14:paraId="7E059F69" w14:textId="77777777" w:rsidTr="001D76DC">
        <w:tc>
          <w:tcPr>
            <w:tcW w:w="6345" w:type="dxa"/>
          </w:tcPr>
          <w:p w14:paraId="424C04DE" w14:textId="71CBEEE4" w:rsidR="008B632E" w:rsidRPr="00F40CBD" w:rsidRDefault="00046069" w:rsidP="00EE7021">
            <w:pPr>
              <w:pStyle w:val="ListParagraph"/>
              <w:numPr>
                <w:ilvl w:val="0"/>
                <w:numId w:val="38"/>
              </w:numPr>
            </w:pPr>
            <w:r w:rsidRPr="00F40CBD">
              <w:t xml:space="preserve">Ukupna emisija </w:t>
            </w:r>
            <w:r w:rsidR="00E8481C">
              <w:t>k</w:t>
            </w:r>
            <w:r w:rsidR="005455DB" w:rsidRPr="00F40CBD">
              <w:t xml:space="preserve">t </w:t>
            </w:r>
            <w:r w:rsidRPr="00F40CBD">
              <w:t>CO</w:t>
            </w:r>
            <w:r w:rsidRPr="00F40CBD">
              <w:rPr>
                <w:vertAlign w:val="subscript"/>
              </w:rPr>
              <w:t>2</w:t>
            </w:r>
          </w:p>
        </w:tc>
        <w:tc>
          <w:tcPr>
            <w:tcW w:w="2943" w:type="dxa"/>
          </w:tcPr>
          <w:p w14:paraId="7963A032" w14:textId="50D3753B" w:rsidR="008B632E" w:rsidRPr="00F40CBD" w:rsidRDefault="00E8481C" w:rsidP="00E92750">
            <w:pPr>
              <w:jc w:val="right"/>
            </w:pPr>
            <w:r>
              <w:t>2 794</w:t>
            </w:r>
          </w:p>
        </w:tc>
      </w:tr>
      <w:tr w:rsidR="00046069" w:rsidRPr="007C7920" w14:paraId="72CAC06C" w14:textId="77777777" w:rsidTr="001D76DC">
        <w:tc>
          <w:tcPr>
            <w:tcW w:w="6345" w:type="dxa"/>
          </w:tcPr>
          <w:p w14:paraId="1ED25EB1" w14:textId="77777777" w:rsidR="00046069" w:rsidRPr="007C7920" w:rsidRDefault="00046069" w:rsidP="00E92750">
            <w:pPr>
              <w:rPr>
                <w:highlight w:val="yellow"/>
              </w:rPr>
            </w:pPr>
          </w:p>
        </w:tc>
        <w:tc>
          <w:tcPr>
            <w:tcW w:w="2943" w:type="dxa"/>
          </w:tcPr>
          <w:p w14:paraId="0787761C" w14:textId="77777777" w:rsidR="00046069" w:rsidRPr="007C7920" w:rsidRDefault="00046069" w:rsidP="00E92750">
            <w:pPr>
              <w:rPr>
                <w:highlight w:val="yellow"/>
              </w:rPr>
            </w:pPr>
          </w:p>
        </w:tc>
      </w:tr>
      <w:tr w:rsidR="00752A44" w:rsidRPr="007C7920" w14:paraId="28A819BC" w14:textId="77777777" w:rsidTr="001D76DC">
        <w:tc>
          <w:tcPr>
            <w:tcW w:w="6345" w:type="dxa"/>
          </w:tcPr>
          <w:p w14:paraId="2F774F01" w14:textId="74B1E454" w:rsidR="00752A44" w:rsidRPr="00B92BE9" w:rsidRDefault="00752A44" w:rsidP="00E92750">
            <w:r w:rsidRPr="00B92BE9">
              <w:t>Pregled rezultata</w:t>
            </w:r>
            <w:r w:rsidR="000F73F3" w:rsidRPr="00B92BE9">
              <w:t xml:space="preserve"> energetske analize u</w:t>
            </w:r>
            <w:r w:rsidRPr="00B92BE9">
              <w:t xml:space="preserve"> 2015. godini:</w:t>
            </w:r>
          </w:p>
        </w:tc>
        <w:tc>
          <w:tcPr>
            <w:tcW w:w="2943" w:type="dxa"/>
          </w:tcPr>
          <w:p w14:paraId="0F1EB8E6" w14:textId="77777777" w:rsidR="00752A44" w:rsidRPr="00B92BE9" w:rsidRDefault="00752A44" w:rsidP="00E92750"/>
        </w:tc>
      </w:tr>
      <w:tr w:rsidR="00752A44" w:rsidRPr="007C7920" w14:paraId="1F01B65F" w14:textId="77777777" w:rsidTr="001D76DC">
        <w:tc>
          <w:tcPr>
            <w:tcW w:w="6345" w:type="dxa"/>
          </w:tcPr>
          <w:p w14:paraId="3FB90398" w14:textId="623FC451" w:rsidR="00752A44" w:rsidRPr="00B92BE9" w:rsidRDefault="00512221" w:rsidP="00EE7021">
            <w:pPr>
              <w:pStyle w:val="ListParagraph"/>
              <w:numPr>
                <w:ilvl w:val="0"/>
                <w:numId w:val="39"/>
              </w:numPr>
            </w:pPr>
            <w:r w:rsidRPr="00B92BE9">
              <w:t>Energetska potrošnja u sektoru zgradarstva (MWh)</w:t>
            </w:r>
          </w:p>
        </w:tc>
        <w:tc>
          <w:tcPr>
            <w:tcW w:w="2943" w:type="dxa"/>
          </w:tcPr>
          <w:p w14:paraId="37CBC2EC" w14:textId="04BC75A7" w:rsidR="00752A44" w:rsidRPr="00B92BE9" w:rsidRDefault="00192E65" w:rsidP="00B92BE9">
            <w:pPr>
              <w:jc w:val="right"/>
            </w:pPr>
            <w:r>
              <w:t>7 722 299</w:t>
            </w:r>
          </w:p>
        </w:tc>
      </w:tr>
      <w:tr w:rsidR="00752A44" w:rsidRPr="007C7920" w14:paraId="6ED0081B" w14:textId="77777777" w:rsidTr="001D76DC">
        <w:tc>
          <w:tcPr>
            <w:tcW w:w="6345" w:type="dxa"/>
          </w:tcPr>
          <w:p w14:paraId="572D9872" w14:textId="618863FC" w:rsidR="00752A44" w:rsidRPr="00B92BE9" w:rsidRDefault="00512221" w:rsidP="00EE7021">
            <w:pPr>
              <w:pStyle w:val="ListParagraph"/>
              <w:numPr>
                <w:ilvl w:val="0"/>
                <w:numId w:val="39"/>
              </w:numPr>
            </w:pPr>
            <w:r w:rsidRPr="00B92BE9">
              <w:t>Energetska potrošnja u sektoru prometa</w:t>
            </w:r>
            <w:r w:rsidR="005455DB" w:rsidRPr="00B92BE9">
              <w:t xml:space="preserve"> (MWh)</w:t>
            </w:r>
          </w:p>
        </w:tc>
        <w:tc>
          <w:tcPr>
            <w:tcW w:w="2943" w:type="dxa"/>
          </w:tcPr>
          <w:p w14:paraId="0B3E4454" w14:textId="476B9284" w:rsidR="00752A44" w:rsidRPr="00B92BE9" w:rsidRDefault="00B92BE9" w:rsidP="00B92BE9">
            <w:pPr>
              <w:jc w:val="right"/>
            </w:pPr>
            <w:r>
              <w:t xml:space="preserve">4 222 </w:t>
            </w:r>
            <w:r w:rsidR="00192E65">
              <w:t>812</w:t>
            </w:r>
          </w:p>
        </w:tc>
      </w:tr>
      <w:tr w:rsidR="00752A44" w:rsidRPr="007C7920" w14:paraId="044E50BB" w14:textId="77777777" w:rsidTr="001D76DC">
        <w:tc>
          <w:tcPr>
            <w:tcW w:w="6345" w:type="dxa"/>
          </w:tcPr>
          <w:p w14:paraId="7C46CCCD" w14:textId="48709596" w:rsidR="00752A44" w:rsidRPr="00B92BE9" w:rsidRDefault="00512221" w:rsidP="00EE7021">
            <w:pPr>
              <w:pStyle w:val="ListParagraph"/>
              <w:numPr>
                <w:ilvl w:val="0"/>
                <w:numId w:val="39"/>
              </w:numPr>
            </w:pPr>
            <w:r w:rsidRPr="00B92BE9">
              <w:t>Energetska potrošnja u sektoru javne rasvjete</w:t>
            </w:r>
            <w:r w:rsidR="005455DB" w:rsidRPr="00B92BE9">
              <w:t xml:space="preserve"> (MWh)</w:t>
            </w:r>
          </w:p>
        </w:tc>
        <w:tc>
          <w:tcPr>
            <w:tcW w:w="2943" w:type="dxa"/>
          </w:tcPr>
          <w:p w14:paraId="432BD9C6" w14:textId="63102EC6" w:rsidR="00752A44" w:rsidRPr="00B92BE9" w:rsidRDefault="00054D0F" w:rsidP="00B92BE9">
            <w:pPr>
              <w:jc w:val="right"/>
            </w:pPr>
            <w:r>
              <w:t xml:space="preserve">84 </w:t>
            </w:r>
            <w:r w:rsidR="00192E65">
              <w:t>189</w:t>
            </w:r>
          </w:p>
        </w:tc>
      </w:tr>
      <w:tr w:rsidR="005455DB" w:rsidRPr="007C7920" w14:paraId="2F7CCB1A" w14:textId="77777777" w:rsidTr="001D76DC">
        <w:tc>
          <w:tcPr>
            <w:tcW w:w="6345" w:type="dxa"/>
          </w:tcPr>
          <w:p w14:paraId="358E92E4" w14:textId="22276992" w:rsidR="005455DB" w:rsidRPr="00B92BE9" w:rsidRDefault="005455DB" w:rsidP="00EE7021">
            <w:pPr>
              <w:pStyle w:val="ListParagraph"/>
              <w:numPr>
                <w:ilvl w:val="0"/>
                <w:numId w:val="39"/>
              </w:numPr>
            </w:pPr>
            <w:r w:rsidRPr="00B92BE9">
              <w:t>Ukupna energetska potrošnja (MWh)</w:t>
            </w:r>
          </w:p>
        </w:tc>
        <w:tc>
          <w:tcPr>
            <w:tcW w:w="2943" w:type="dxa"/>
          </w:tcPr>
          <w:p w14:paraId="39A5FA36" w14:textId="02862C65" w:rsidR="005455DB" w:rsidRPr="00B92BE9" w:rsidRDefault="00B92BE9" w:rsidP="00B92BE9">
            <w:pPr>
              <w:jc w:val="right"/>
            </w:pPr>
            <w:r>
              <w:t xml:space="preserve">12 </w:t>
            </w:r>
            <w:r w:rsidRPr="00B92BE9">
              <w:t>029</w:t>
            </w:r>
            <w:r>
              <w:t xml:space="preserve"> </w:t>
            </w:r>
            <w:r w:rsidR="00192E65">
              <w:t>300</w:t>
            </w:r>
          </w:p>
        </w:tc>
      </w:tr>
      <w:tr w:rsidR="005E0BEE" w:rsidRPr="007C7920" w14:paraId="0CECCA2C" w14:textId="77777777" w:rsidTr="001D76DC">
        <w:tc>
          <w:tcPr>
            <w:tcW w:w="6345" w:type="dxa"/>
          </w:tcPr>
          <w:p w14:paraId="3B217750" w14:textId="77777777" w:rsidR="005E0BEE" w:rsidRPr="00B92BE9" w:rsidRDefault="005E0BEE" w:rsidP="005E0BEE"/>
        </w:tc>
        <w:tc>
          <w:tcPr>
            <w:tcW w:w="2943" w:type="dxa"/>
          </w:tcPr>
          <w:p w14:paraId="0DEB0A0A" w14:textId="77777777" w:rsidR="005E0BEE" w:rsidRPr="00B92BE9" w:rsidRDefault="005E0BEE" w:rsidP="00E92750"/>
        </w:tc>
      </w:tr>
      <w:tr w:rsidR="005455DB" w:rsidRPr="007C7920" w14:paraId="641CF888" w14:textId="77777777" w:rsidTr="001D76DC">
        <w:tc>
          <w:tcPr>
            <w:tcW w:w="6345" w:type="dxa"/>
          </w:tcPr>
          <w:p w14:paraId="7FDEBE6C" w14:textId="38913E40" w:rsidR="005455DB" w:rsidRPr="00B92BE9" w:rsidRDefault="005455DB" w:rsidP="00EE7021">
            <w:pPr>
              <w:pStyle w:val="ListParagraph"/>
              <w:numPr>
                <w:ilvl w:val="0"/>
                <w:numId w:val="39"/>
              </w:numPr>
            </w:pPr>
            <w:r w:rsidRPr="00B92BE9">
              <w:t>Emisija CO</w:t>
            </w:r>
            <w:r w:rsidRPr="00B92BE9">
              <w:rPr>
                <w:vertAlign w:val="subscript"/>
              </w:rPr>
              <w:t>2</w:t>
            </w:r>
            <w:r w:rsidRPr="00B92BE9">
              <w:t xml:space="preserve"> iz sektora zgradarstvo (</w:t>
            </w:r>
            <w:r w:rsidR="00B92BE9">
              <w:t>k</w:t>
            </w:r>
            <w:r w:rsidRPr="00B92BE9">
              <w:t>t CO</w:t>
            </w:r>
            <w:r w:rsidRPr="00B92BE9">
              <w:rPr>
                <w:vertAlign w:val="subscript"/>
              </w:rPr>
              <w:t>2</w:t>
            </w:r>
            <w:r w:rsidRPr="00B92BE9">
              <w:t>)</w:t>
            </w:r>
          </w:p>
        </w:tc>
        <w:tc>
          <w:tcPr>
            <w:tcW w:w="2943" w:type="dxa"/>
          </w:tcPr>
          <w:p w14:paraId="1F3C372A" w14:textId="75007A02" w:rsidR="005455DB" w:rsidRPr="00B92BE9" w:rsidRDefault="001800EA" w:rsidP="00B92BE9">
            <w:pPr>
              <w:jc w:val="right"/>
            </w:pPr>
            <w:r>
              <w:t xml:space="preserve">1 </w:t>
            </w:r>
            <w:r w:rsidR="00B92BE9">
              <w:t>802</w:t>
            </w:r>
          </w:p>
        </w:tc>
      </w:tr>
      <w:tr w:rsidR="00752A44" w:rsidRPr="007C7920" w14:paraId="2CD5A680" w14:textId="77777777" w:rsidTr="001D76DC">
        <w:tc>
          <w:tcPr>
            <w:tcW w:w="6345" w:type="dxa"/>
          </w:tcPr>
          <w:p w14:paraId="599DC622" w14:textId="02D8FDEA" w:rsidR="00752A44" w:rsidRPr="00B92BE9" w:rsidRDefault="005455DB" w:rsidP="00EE7021">
            <w:pPr>
              <w:pStyle w:val="ListParagraph"/>
              <w:numPr>
                <w:ilvl w:val="0"/>
                <w:numId w:val="39"/>
              </w:numPr>
            </w:pPr>
            <w:r w:rsidRPr="00B92BE9">
              <w:t>Emisija CO</w:t>
            </w:r>
            <w:r w:rsidRPr="00B92BE9">
              <w:rPr>
                <w:vertAlign w:val="subscript"/>
              </w:rPr>
              <w:t>2</w:t>
            </w:r>
            <w:r w:rsidRPr="00B92BE9">
              <w:t xml:space="preserve"> iz sektora promet (</w:t>
            </w:r>
            <w:r w:rsidR="00B92BE9">
              <w:t>k</w:t>
            </w:r>
            <w:r w:rsidRPr="00B92BE9">
              <w:t>t CO</w:t>
            </w:r>
            <w:r w:rsidRPr="00B92BE9">
              <w:rPr>
                <w:vertAlign w:val="subscript"/>
              </w:rPr>
              <w:t>2</w:t>
            </w:r>
            <w:r w:rsidRPr="00B92BE9">
              <w:t>)</w:t>
            </w:r>
          </w:p>
        </w:tc>
        <w:tc>
          <w:tcPr>
            <w:tcW w:w="2943" w:type="dxa"/>
          </w:tcPr>
          <w:p w14:paraId="14C6E1EB" w14:textId="64A89108" w:rsidR="00752A44" w:rsidRPr="00B92BE9" w:rsidRDefault="00B92BE9" w:rsidP="00B92BE9">
            <w:pPr>
              <w:jc w:val="right"/>
            </w:pPr>
            <w:r>
              <w:t>1 101</w:t>
            </w:r>
          </w:p>
        </w:tc>
      </w:tr>
      <w:tr w:rsidR="008B632E" w:rsidRPr="007C7920" w14:paraId="2A456A4B" w14:textId="77777777" w:rsidTr="001D76DC">
        <w:tc>
          <w:tcPr>
            <w:tcW w:w="6345" w:type="dxa"/>
          </w:tcPr>
          <w:p w14:paraId="3BF27009" w14:textId="67B78E14" w:rsidR="008B632E" w:rsidRPr="00B92BE9" w:rsidRDefault="005455DB" w:rsidP="00EE7021">
            <w:pPr>
              <w:pStyle w:val="ListParagraph"/>
              <w:numPr>
                <w:ilvl w:val="0"/>
                <w:numId w:val="39"/>
              </w:numPr>
            </w:pPr>
            <w:r w:rsidRPr="00B92BE9">
              <w:t>Emisija CO</w:t>
            </w:r>
            <w:r w:rsidRPr="00B92BE9">
              <w:rPr>
                <w:vertAlign w:val="subscript"/>
              </w:rPr>
              <w:t>2</w:t>
            </w:r>
            <w:r w:rsidRPr="00B92BE9">
              <w:t xml:space="preserve"> iz sektora javna rasvjeta (</w:t>
            </w:r>
            <w:r w:rsidR="00B92BE9">
              <w:t>k</w:t>
            </w:r>
            <w:r w:rsidRPr="00B92BE9">
              <w:t>t CO</w:t>
            </w:r>
            <w:r w:rsidRPr="00B92BE9">
              <w:rPr>
                <w:vertAlign w:val="subscript"/>
              </w:rPr>
              <w:t>2</w:t>
            </w:r>
            <w:r w:rsidRPr="00B92BE9">
              <w:t>)</w:t>
            </w:r>
          </w:p>
        </w:tc>
        <w:tc>
          <w:tcPr>
            <w:tcW w:w="2943" w:type="dxa"/>
          </w:tcPr>
          <w:p w14:paraId="5EC0ECB3" w14:textId="5A1B4184" w:rsidR="008B632E" w:rsidRPr="00B92BE9" w:rsidRDefault="00B92BE9" w:rsidP="00B92BE9">
            <w:pPr>
              <w:jc w:val="right"/>
            </w:pPr>
            <w:r>
              <w:t>27</w:t>
            </w:r>
          </w:p>
        </w:tc>
      </w:tr>
      <w:tr w:rsidR="008B632E" w:rsidRPr="007C7920" w14:paraId="7D1C09E6" w14:textId="77777777" w:rsidTr="001D76DC">
        <w:tc>
          <w:tcPr>
            <w:tcW w:w="6345" w:type="dxa"/>
          </w:tcPr>
          <w:p w14:paraId="7919ABC9" w14:textId="782FA049" w:rsidR="008B632E" w:rsidRPr="00B92BE9" w:rsidRDefault="005455DB" w:rsidP="00EE7021">
            <w:pPr>
              <w:pStyle w:val="ListParagraph"/>
              <w:numPr>
                <w:ilvl w:val="0"/>
                <w:numId w:val="39"/>
              </w:numPr>
            </w:pPr>
            <w:r w:rsidRPr="00B92BE9">
              <w:t xml:space="preserve">Ukupna emisija </w:t>
            </w:r>
            <w:r w:rsidR="00B92BE9">
              <w:t>k</w:t>
            </w:r>
            <w:r w:rsidRPr="00B92BE9">
              <w:t>t CO</w:t>
            </w:r>
            <w:r w:rsidRPr="00B92BE9">
              <w:rPr>
                <w:vertAlign w:val="subscript"/>
              </w:rPr>
              <w:t>2</w:t>
            </w:r>
          </w:p>
        </w:tc>
        <w:tc>
          <w:tcPr>
            <w:tcW w:w="2943" w:type="dxa"/>
          </w:tcPr>
          <w:p w14:paraId="68E039F3" w14:textId="6B03A4E5" w:rsidR="008B632E" w:rsidRPr="00B92BE9" w:rsidRDefault="00B92BE9" w:rsidP="00B92BE9">
            <w:pPr>
              <w:jc w:val="right"/>
            </w:pPr>
            <w:r>
              <w:t>2 930</w:t>
            </w:r>
          </w:p>
        </w:tc>
      </w:tr>
      <w:tr w:rsidR="008B632E" w:rsidRPr="007C7920" w14:paraId="3BB45351" w14:textId="77777777" w:rsidTr="001D76DC">
        <w:tc>
          <w:tcPr>
            <w:tcW w:w="6345" w:type="dxa"/>
          </w:tcPr>
          <w:p w14:paraId="31F68D83" w14:textId="77777777" w:rsidR="008B632E" w:rsidRPr="00B92BE9" w:rsidRDefault="008B632E" w:rsidP="00E92750"/>
        </w:tc>
        <w:tc>
          <w:tcPr>
            <w:tcW w:w="2943" w:type="dxa"/>
          </w:tcPr>
          <w:p w14:paraId="5A9FB374" w14:textId="77777777" w:rsidR="008B632E" w:rsidRPr="00B92BE9" w:rsidRDefault="008B632E" w:rsidP="00E92750"/>
        </w:tc>
      </w:tr>
      <w:tr w:rsidR="008B632E" w:rsidRPr="007C7920" w14:paraId="0C3AE013" w14:textId="77777777" w:rsidTr="001D76DC">
        <w:tc>
          <w:tcPr>
            <w:tcW w:w="6345" w:type="dxa"/>
          </w:tcPr>
          <w:p w14:paraId="004E3C15" w14:textId="669A44EB" w:rsidR="008B632E" w:rsidRPr="005977A3" w:rsidRDefault="005977A3" w:rsidP="00E92750">
            <w:r w:rsidRPr="005977A3">
              <w:t>Analiza uspješnosti, ostvareno smanjenje emisije, kt CO</w:t>
            </w:r>
            <w:r w:rsidRPr="005977A3">
              <w:rPr>
                <w:vertAlign w:val="subscript"/>
              </w:rPr>
              <w:t xml:space="preserve">2 </w:t>
            </w:r>
          </w:p>
        </w:tc>
        <w:tc>
          <w:tcPr>
            <w:tcW w:w="2943" w:type="dxa"/>
          </w:tcPr>
          <w:p w14:paraId="54639AEA" w14:textId="6B045F64" w:rsidR="00A744F0" w:rsidRPr="005977A3" w:rsidRDefault="00D06193" w:rsidP="00A744F0">
            <w:pPr>
              <w:jc w:val="right"/>
            </w:pPr>
            <w:r>
              <w:t>303</w:t>
            </w:r>
          </w:p>
        </w:tc>
      </w:tr>
      <w:tr w:rsidR="005455DB" w:rsidRPr="007C7920" w14:paraId="70E1E93A" w14:textId="77777777" w:rsidTr="001D76DC">
        <w:tc>
          <w:tcPr>
            <w:tcW w:w="6345" w:type="dxa"/>
          </w:tcPr>
          <w:p w14:paraId="6B26318F" w14:textId="529649F4" w:rsidR="005455DB" w:rsidRPr="005977A3" w:rsidRDefault="00A744F0" w:rsidP="00E92750">
            <w:r>
              <w:t>Udio u postavljenom cilju</w:t>
            </w:r>
            <w:r w:rsidR="005977A3" w:rsidRPr="005977A3">
              <w:t xml:space="preserve"> CO</w:t>
            </w:r>
            <w:r w:rsidR="005977A3" w:rsidRPr="005977A3">
              <w:rPr>
                <w:vertAlign w:val="subscript"/>
              </w:rPr>
              <w:t>2</w:t>
            </w:r>
            <w:r>
              <w:rPr>
                <w:vertAlign w:val="subscript"/>
              </w:rPr>
              <w:t>,</w:t>
            </w:r>
            <w:r w:rsidRPr="00A744F0">
              <w:t xml:space="preserve"> %</w:t>
            </w:r>
            <w:r w:rsidR="005977A3">
              <w:rPr>
                <w:vertAlign w:val="subscript"/>
              </w:rPr>
              <w:t xml:space="preserve"> </w:t>
            </w:r>
          </w:p>
        </w:tc>
        <w:tc>
          <w:tcPr>
            <w:tcW w:w="2943" w:type="dxa"/>
          </w:tcPr>
          <w:p w14:paraId="33481F34" w14:textId="1B41E4BB" w:rsidR="005455DB" w:rsidRPr="005977A3" w:rsidRDefault="00FB374C" w:rsidP="005977A3">
            <w:pPr>
              <w:jc w:val="right"/>
            </w:pPr>
            <w:r>
              <w:t>51,60</w:t>
            </w:r>
          </w:p>
        </w:tc>
      </w:tr>
    </w:tbl>
    <w:p w14:paraId="3B2E663F" w14:textId="77777777" w:rsidR="00D91613" w:rsidRPr="007C7920" w:rsidRDefault="00D91613" w:rsidP="00E92750">
      <w:pPr>
        <w:spacing w:line="240" w:lineRule="auto"/>
        <w:rPr>
          <w:highlight w:val="yellow"/>
        </w:rPr>
      </w:pPr>
    </w:p>
    <w:p w14:paraId="6D34370B" w14:textId="189E6589" w:rsidR="004160FA" w:rsidRPr="007C7920" w:rsidRDefault="00454FCE" w:rsidP="00EE7021">
      <w:pPr>
        <w:pStyle w:val="Heading1"/>
        <w:numPr>
          <w:ilvl w:val="0"/>
          <w:numId w:val="37"/>
        </w:numPr>
        <w:spacing w:before="0" w:after="240" w:line="240" w:lineRule="auto"/>
        <w:jc w:val="both"/>
        <w:rPr>
          <w:rFonts w:eastAsia="Times New Roman"/>
          <w:b/>
        </w:rPr>
      </w:pPr>
      <w:bookmarkStart w:id="4" w:name="_Toc468345337"/>
      <w:r w:rsidRPr="007C7920">
        <w:rPr>
          <w:rFonts w:eastAsia="Times New Roman"/>
          <w:b/>
        </w:rPr>
        <w:lastRenderedPageBreak/>
        <w:t>U</w:t>
      </w:r>
      <w:r w:rsidR="005F1453" w:rsidRPr="007C7920">
        <w:rPr>
          <w:rFonts w:eastAsia="Times New Roman"/>
          <w:b/>
        </w:rPr>
        <w:t>VOD</w:t>
      </w:r>
      <w:bookmarkEnd w:id="2"/>
      <w:bookmarkEnd w:id="3"/>
      <w:bookmarkEnd w:id="4"/>
    </w:p>
    <w:p w14:paraId="0142E40A" w14:textId="31A73876" w:rsidR="00CB3ED1" w:rsidRPr="009F77D0" w:rsidRDefault="00471C2C" w:rsidP="00E92750">
      <w:pPr>
        <w:pStyle w:val="Heading2"/>
        <w:spacing w:after="240"/>
        <w:rPr>
          <w:rFonts w:eastAsia="Calibri"/>
        </w:rPr>
      </w:pPr>
      <w:bookmarkStart w:id="5" w:name="_Toc468345338"/>
      <w:r w:rsidRPr="009F77D0">
        <w:rPr>
          <w:rFonts w:eastAsia="Calibri"/>
        </w:rPr>
        <w:t>ŠTO JE AKCIJSKI PLAN</w:t>
      </w:r>
      <w:r w:rsidR="00CB3ED1" w:rsidRPr="009F77D0">
        <w:rPr>
          <w:rFonts w:eastAsia="Calibri"/>
        </w:rPr>
        <w:t xml:space="preserve"> </w:t>
      </w:r>
      <w:r w:rsidRPr="009F77D0">
        <w:rPr>
          <w:rFonts w:eastAsia="Calibri"/>
        </w:rPr>
        <w:t>ENERGETSKI ODRŽIVOG RAZVITKA GRADA ZAGREBA</w:t>
      </w:r>
      <w:r w:rsidR="007C7920" w:rsidRPr="009F77D0">
        <w:rPr>
          <w:rFonts w:eastAsia="Calibri"/>
        </w:rPr>
        <w:t xml:space="preserve"> </w:t>
      </w:r>
      <w:r w:rsidR="00732DDA">
        <w:rPr>
          <w:rFonts w:eastAsia="Calibri"/>
        </w:rPr>
        <w:t>–</w:t>
      </w:r>
      <w:r w:rsidR="007C7920" w:rsidRPr="009F77D0">
        <w:rPr>
          <w:rFonts w:eastAsia="Calibri"/>
        </w:rPr>
        <w:t xml:space="preserve"> </w:t>
      </w:r>
      <w:r w:rsidR="00CB3ED1" w:rsidRPr="009F77D0">
        <w:rPr>
          <w:rFonts w:eastAsia="Calibri"/>
        </w:rPr>
        <w:t>SEAP</w:t>
      </w:r>
      <w:r w:rsidR="00732DDA">
        <w:rPr>
          <w:rFonts w:eastAsia="Calibri"/>
        </w:rPr>
        <w:t>?</w:t>
      </w:r>
      <w:bookmarkEnd w:id="5"/>
    </w:p>
    <w:p w14:paraId="703AD6A3" w14:textId="50C375B7" w:rsidR="00CB3ED1" w:rsidRPr="00F87476" w:rsidRDefault="00CB3ED1" w:rsidP="00E92750">
      <w:pPr>
        <w:spacing w:line="240" w:lineRule="auto"/>
        <w:jc w:val="both"/>
        <w:rPr>
          <w:rFonts w:cstheme="minorHAnsi"/>
        </w:rPr>
      </w:pPr>
      <w:r w:rsidRPr="009F77D0">
        <w:rPr>
          <w:rFonts w:cstheme="minorHAnsi"/>
        </w:rPr>
        <w:t>Akcijski plan energetski održivog razvitka Grada Zagreba</w:t>
      </w:r>
      <w:r w:rsidRPr="009F77D0">
        <w:rPr>
          <w:rFonts w:cstheme="minorHAnsi"/>
          <w:i/>
          <w:vertAlign w:val="superscript"/>
        </w:rPr>
        <w:footnoteReference w:id="1"/>
      </w:r>
      <w:r w:rsidRPr="009F77D0">
        <w:rPr>
          <w:rFonts w:cstheme="minorHAnsi"/>
        </w:rPr>
        <w:t xml:space="preserve"> (</w:t>
      </w:r>
      <w:r w:rsidRPr="009F77D0">
        <w:rPr>
          <w:rFonts w:cstheme="minorHAnsi"/>
          <w:b/>
        </w:rPr>
        <w:t>dalje u tekstu: Akcijski plan</w:t>
      </w:r>
      <w:r w:rsidRPr="009F77D0">
        <w:rPr>
          <w:rFonts w:cstheme="minorHAnsi"/>
        </w:rPr>
        <w:t>)</w:t>
      </w:r>
      <w:r w:rsidRPr="009F77D0">
        <w:rPr>
          <w:rFonts w:cstheme="minorHAnsi"/>
          <w:i/>
        </w:rPr>
        <w:t xml:space="preserve"> </w:t>
      </w:r>
      <w:r w:rsidRPr="009F77D0">
        <w:rPr>
          <w:rFonts w:cstheme="minorHAnsi"/>
        </w:rPr>
        <w:t xml:space="preserve">prihvaćen </w:t>
      </w:r>
      <w:r w:rsidR="009F7B8F" w:rsidRPr="009F77D0">
        <w:rPr>
          <w:rFonts w:cstheme="minorHAnsi"/>
        </w:rPr>
        <w:t>je na</w:t>
      </w:r>
      <w:r w:rsidRPr="009F77D0">
        <w:rPr>
          <w:rFonts w:cstheme="minorHAnsi"/>
        </w:rPr>
        <w:t xml:space="preserve"> Grads</w:t>
      </w:r>
      <w:r w:rsidR="009F7B8F" w:rsidRPr="009F77D0">
        <w:rPr>
          <w:rFonts w:cstheme="minorHAnsi"/>
        </w:rPr>
        <w:t>koj skupštini</w:t>
      </w:r>
      <w:r w:rsidRPr="009F77D0">
        <w:rPr>
          <w:rFonts w:cstheme="minorHAnsi"/>
        </w:rPr>
        <w:t xml:space="preserve"> Grada Zagreba </w:t>
      </w:r>
      <w:r w:rsidR="009F77D0" w:rsidRPr="009F77D0">
        <w:rPr>
          <w:rFonts w:cstheme="minorHAnsi"/>
          <w:b/>
        </w:rPr>
        <w:t>20</w:t>
      </w:r>
      <w:r w:rsidR="009F7B8F" w:rsidRPr="009F77D0">
        <w:rPr>
          <w:rFonts w:cstheme="minorHAnsi"/>
          <w:b/>
        </w:rPr>
        <w:t>. travnja 2010</w:t>
      </w:r>
      <w:r w:rsidR="009F7B8F" w:rsidRPr="009F77D0">
        <w:rPr>
          <w:rFonts w:cstheme="minorHAnsi"/>
        </w:rPr>
        <w:t>., a</w:t>
      </w:r>
      <w:r w:rsidRPr="009F77D0">
        <w:rPr>
          <w:rFonts w:cstheme="minorHAnsi"/>
        </w:rPr>
        <w:t xml:space="preserve"> slijedi iz potpisanog Sporazuma gradonačelnika (</w:t>
      </w:r>
      <w:r w:rsidRPr="00066D84">
        <w:rPr>
          <w:rFonts w:cstheme="minorHAnsi"/>
          <w:i/>
          <w:lang w:val="en-US"/>
        </w:rPr>
        <w:t>Covenant of Mayors</w:t>
      </w:r>
      <w:r w:rsidRPr="009F77D0">
        <w:rPr>
          <w:rFonts w:cstheme="minorHAnsi"/>
        </w:rPr>
        <w:t>)</w:t>
      </w:r>
      <w:r w:rsidRPr="009F77D0">
        <w:rPr>
          <w:rFonts w:cstheme="minorHAnsi"/>
          <w:vertAlign w:val="superscript"/>
        </w:rPr>
        <w:footnoteReference w:id="2"/>
      </w:r>
      <w:r w:rsidRPr="009F77D0">
        <w:rPr>
          <w:rFonts w:cstheme="minorHAnsi"/>
        </w:rPr>
        <w:t xml:space="preserve"> prihvaćenog od Gradske skupštine Grada Zagreba 30. listopada 2008., potpisivanjem kojeg se gradonačelnici obvezuju na provedbu programa 20/20/20 i primjenu mnogobrojnih mjera energetske učinkovitosti kojima će u konačnici do 2020. pridonijeti ispunjavanju četiriju osnovnih ciljeva Europske energetske politike iz 2007.: smanjenju emisije stakleničkih plinova za 20%, povećanju energetske učinkovitosti za 20%, povećanju udjela obnovljivih </w:t>
      </w:r>
      <w:r w:rsidRPr="00F87476">
        <w:rPr>
          <w:rFonts w:cstheme="minorHAnsi"/>
        </w:rPr>
        <w:t>izvora energije na 20%, povećanju udjela biogoriva u prometu na 10%.</w:t>
      </w:r>
    </w:p>
    <w:p w14:paraId="2F3157B7" w14:textId="4A0F07EB" w:rsidR="00A057BF" w:rsidRPr="00F87476" w:rsidRDefault="009F7B8F" w:rsidP="00E92750">
      <w:pPr>
        <w:spacing w:line="240" w:lineRule="auto"/>
        <w:jc w:val="both"/>
        <w:rPr>
          <w:rFonts w:cstheme="minorHAnsi"/>
        </w:rPr>
      </w:pPr>
      <w:r w:rsidRPr="00F87476">
        <w:rPr>
          <w:rFonts w:cstheme="minorHAnsi"/>
        </w:rPr>
        <w:t xml:space="preserve">Akcijski plan predstavlja </w:t>
      </w:r>
      <w:r w:rsidR="006D4295" w:rsidRPr="00F87476">
        <w:rPr>
          <w:rFonts w:cstheme="minorHAnsi"/>
        </w:rPr>
        <w:t>ključni</w:t>
      </w:r>
      <w:r w:rsidRPr="00F87476">
        <w:rPr>
          <w:rFonts w:cstheme="minorHAnsi"/>
        </w:rPr>
        <w:t xml:space="preserve"> dokument u sklopu kojeg je na bazi prikupljenih i analiziranih podataka o zatečenom stanju energetske potrošnje</w:t>
      </w:r>
      <w:r w:rsidR="00A84971" w:rsidRPr="00F87476">
        <w:rPr>
          <w:rFonts w:cstheme="minorHAnsi"/>
        </w:rPr>
        <w:t xml:space="preserve"> </w:t>
      </w:r>
      <w:r w:rsidR="00A057BF" w:rsidRPr="00F87476">
        <w:rPr>
          <w:rFonts w:cstheme="minorHAnsi"/>
        </w:rPr>
        <w:t>izrađen Referentni inventar emisije CO</w:t>
      </w:r>
      <w:r w:rsidR="00A057BF" w:rsidRPr="00F87476">
        <w:rPr>
          <w:rFonts w:cstheme="minorHAnsi"/>
          <w:vertAlign w:val="subscript"/>
        </w:rPr>
        <w:t xml:space="preserve">2 </w:t>
      </w:r>
      <w:r w:rsidR="006830E8" w:rsidRPr="00F87476">
        <w:rPr>
          <w:rFonts w:cstheme="minorHAnsi"/>
        </w:rPr>
        <w:t>(</w:t>
      </w:r>
      <w:r w:rsidR="00066D84" w:rsidRPr="00066D84">
        <w:rPr>
          <w:rFonts w:cstheme="minorHAnsi"/>
          <w:i/>
          <w:lang w:val="en-US"/>
        </w:rPr>
        <w:t xml:space="preserve">Baseline Emission Inventory - </w:t>
      </w:r>
      <w:r w:rsidR="006830E8" w:rsidRPr="00066D84">
        <w:rPr>
          <w:rFonts w:cstheme="minorHAnsi"/>
          <w:i/>
          <w:lang w:val="en-US"/>
        </w:rPr>
        <w:t>BEI</w:t>
      </w:r>
      <w:r w:rsidR="006830E8" w:rsidRPr="00F87476">
        <w:rPr>
          <w:rFonts w:cstheme="minorHAnsi"/>
        </w:rPr>
        <w:t xml:space="preserve">) </w:t>
      </w:r>
      <w:r w:rsidR="00A057BF" w:rsidRPr="00F87476">
        <w:rPr>
          <w:rFonts w:cstheme="minorHAnsi"/>
        </w:rPr>
        <w:t>za 2008. godinu.</w:t>
      </w:r>
      <w:r w:rsidR="00F87476" w:rsidRPr="00F87476">
        <w:rPr>
          <w:rFonts w:cstheme="minorHAnsi"/>
        </w:rPr>
        <w:t xml:space="preserve"> Referentni inventar </w:t>
      </w:r>
      <w:r w:rsidR="006D4295" w:rsidRPr="00F87476">
        <w:rPr>
          <w:rFonts w:cstheme="minorHAnsi"/>
        </w:rPr>
        <w:t>obuhvatio</w:t>
      </w:r>
      <w:r w:rsidR="00F87476" w:rsidRPr="00F87476">
        <w:rPr>
          <w:rFonts w:cstheme="minorHAnsi"/>
        </w:rPr>
        <w:t xml:space="preserve"> je</w:t>
      </w:r>
      <w:r w:rsidR="006D4295" w:rsidRPr="00F87476">
        <w:rPr>
          <w:rFonts w:cstheme="minorHAnsi"/>
        </w:rPr>
        <w:t xml:space="preserve"> tri glavna sektora finalne potrošnje energije: zgrada</w:t>
      </w:r>
      <w:r w:rsidR="00A3174C">
        <w:rPr>
          <w:rFonts w:cstheme="minorHAnsi"/>
        </w:rPr>
        <w:t>rstvo, promet i javnu rasvjetu.</w:t>
      </w:r>
    </w:p>
    <w:p w14:paraId="4288D55E" w14:textId="00C2D058" w:rsidR="00165CF8" w:rsidRPr="004B626D" w:rsidRDefault="006D4295" w:rsidP="00E92750">
      <w:pPr>
        <w:spacing w:line="240" w:lineRule="auto"/>
        <w:jc w:val="both"/>
        <w:rPr>
          <w:rFonts w:cstheme="minorHAnsi"/>
        </w:rPr>
      </w:pPr>
      <w:r w:rsidRPr="00F87476">
        <w:rPr>
          <w:rFonts w:cstheme="minorHAnsi"/>
        </w:rPr>
        <w:t xml:space="preserve">Na temelju izrađenog Referentnog inventara koji je iznosio </w:t>
      </w:r>
      <w:r w:rsidRPr="00F87476">
        <w:rPr>
          <w:rFonts w:cstheme="minorHAnsi"/>
          <w:b/>
        </w:rPr>
        <w:t>2 794 kt CO</w:t>
      </w:r>
      <w:r w:rsidRPr="00F87476">
        <w:rPr>
          <w:rFonts w:cstheme="minorHAnsi"/>
          <w:b/>
          <w:vertAlign w:val="subscript"/>
        </w:rPr>
        <w:t>2</w:t>
      </w:r>
      <w:r w:rsidRPr="00F87476">
        <w:rPr>
          <w:rFonts w:cstheme="minorHAnsi"/>
        </w:rPr>
        <w:t xml:space="preserve"> postavljen je indikativni cilj </w:t>
      </w:r>
      <w:r w:rsidRPr="004B626D">
        <w:rPr>
          <w:rFonts w:cstheme="minorHAnsi"/>
        </w:rPr>
        <w:t>smanjenja emisije CO</w:t>
      </w:r>
      <w:r w:rsidRPr="004B626D">
        <w:rPr>
          <w:rFonts w:cstheme="minorHAnsi"/>
          <w:vertAlign w:val="subscript"/>
        </w:rPr>
        <w:t>2</w:t>
      </w:r>
      <w:r w:rsidR="00741CF8">
        <w:rPr>
          <w:rFonts w:cstheme="minorHAnsi"/>
        </w:rPr>
        <w:t xml:space="preserve"> od 21% do 2020.</w:t>
      </w:r>
      <w:r w:rsidRPr="004B626D">
        <w:rPr>
          <w:rFonts w:cstheme="minorHAnsi"/>
        </w:rPr>
        <w:t xml:space="preserve"> u odnosu na 2008. godinu. P</w:t>
      </w:r>
      <w:r w:rsidR="00165CF8" w:rsidRPr="004B626D">
        <w:rPr>
          <w:rFonts w:cstheme="minorHAnsi"/>
        </w:rPr>
        <w:t>ostavljen indikativni cilj smanjenja emisije CO</w:t>
      </w:r>
      <w:r w:rsidR="00165CF8" w:rsidRPr="004B626D">
        <w:rPr>
          <w:rFonts w:cstheme="minorHAnsi"/>
          <w:vertAlign w:val="subscript"/>
        </w:rPr>
        <w:t>2</w:t>
      </w:r>
      <w:r w:rsidR="00165CF8" w:rsidRPr="004B626D">
        <w:rPr>
          <w:rFonts w:cstheme="minorHAnsi"/>
        </w:rPr>
        <w:t xml:space="preserve"> od 21% za Grad Zagreb</w:t>
      </w:r>
      <w:r w:rsidRPr="004B626D">
        <w:rPr>
          <w:rFonts w:cstheme="minorHAnsi"/>
        </w:rPr>
        <w:t xml:space="preserve"> </w:t>
      </w:r>
      <w:r w:rsidR="00165CF8" w:rsidRPr="004B626D">
        <w:rPr>
          <w:rFonts w:cstheme="minorHAnsi"/>
        </w:rPr>
        <w:t xml:space="preserve">iznosi </w:t>
      </w:r>
      <w:r w:rsidR="006569FC" w:rsidRPr="004B626D">
        <w:rPr>
          <w:rFonts w:cstheme="minorHAnsi"/>
          <w:b/>
        </w:rPr>
        <w:t xml:space="preserve">587 </w:t>
      </w:r>
      <w:r w:rsidRPr="004B626D">
        <w:rPr>
          <w:rFonts w:cstheme="minorHAnsi"/>
          <w:b/>
        </w:rPr>
        <w:t>k</w:t>
      </w:r>
      <w:r w:rsidR="00165CF8" w:rsidRPr="004B626D">
        <w:rPr>
          <w:rFonts w:cstheme="minorHAnsi"/>
          <w:b/>
        </w:rPr>
        <w:t>t CO</w:t>
      </w:r>
      <w:r w:rsidR="00165CF8" w:rsidRPr="004B626D">
        <w:rPr>
          <w:rFonts w:cstheme="minorHAnsi"/>
          <w:b/>
          <w:vertAlign w:val="subscript"/>
        </w:rPr>
        <w:t>2</w:t>
      </w:r>
      <w:r w:rsidR="00165CF8" w:rsidRPr="004B626D">
        <w:rPr>
          <w:rFonts w:cstheme="minorHAnsi"/>
        </w:rPr>
        <w:t>.</w:t>
      </w:r>
    </w:p>
    <w:p w14:paraId="50B804FC" w14:textId="41A48CCF" w:rsidR="00165CF8" w:rsidRPr="004B626D" w:rsidRDefault="00165CF8" w:rsidP="00E92750">
      <w:pPr>
        <w:spacing w:line="240" w:lineRule="auto"/>
        <w:jc w:val="both"/>
        <w:rPr>
          <w:rFonts w:cstheme="minorHAnsi"/>
        </w:rPr>
      </w:pPr>
      <w:r w:rsidRPr="004B626D">
        <w:rPr>
          <w:rFonts w:cstheme="minorHAnsi"/>
        </w:rPr>
        <w:t xml:space="preserve">U sklopu Akcijskog plana </w:t>
      </w:r>
      <w:r w:rsidR="009F7B8F" w:rsidRPr="004B626D">
        <w:rPr>
          <w:rFonts w:cstheme="minorHAnsi"/>
        </w:rPr>
        <w:t xml:space="preserve">identificirane </w:t>
      </w:r>
      <w:r w:rsidRPr="004B626D">
        <w:rPr>
          <w:rFonts w:cstheme="minorHAnsi"/>
        </w:rPr>
        <w:t xml:space="preserve">su </w:t>
      </w:r>
      <w:r w:rsidR="009F7B8F" w:rsidRPr="004B626D">
        <w:rPr>
          <w:rFonts w:cstheme="minorHAnsi"/>
        </w:rPr>
        <w:t xml:space="preserve">i dane precizne i jasne odrednice za provedbu projekata energetskih ušteda, primjene mjera energetske učinkovitosti, korištenja obnovljivih izvora energije i ekološko prihvatljivih goriva na gradskoj razini, a </w:t>
      </w:r>
      <w:r w:rsidR="00A84971" w:rsidRPr="004B626D">
        <w:rPr>
          <w:rFonts w:cstheme="minorHAnsi"/>
        </w:rPr>
        <w:t>čijom primjenom će se</w:t>
      </w:r>
      <w:r w:rsidR="009F7B8F" w:rsidRPr="004B626D">
        <w:rPr>
          <w:rFonts w:cstheme="minorHAnsi"/>
        </w:rPr>
        <w:t xml:space="preserve"> </w:t>
      </w:r>
      <w:r w:rsidR="00A84971" w:rsidRPr="004B626D">
        <w:rPr>
          <w:rFonts w:cstheme="minorHAnsi"/>
        </w:rPr>
        <w:t>ostvariti postavljeni</w:t>
      </w:r>
      <w:r w:rsidRPr="004B626D">
        <w:rPr>
          <w:rFonts w:cstheme="minorHAnsi"/>
        </w:rPr>
        <w:t xml:space="preserve"> </w:t>
      </w:r>
      <w:r w:rsidR="006D4295" w:rsidRPr="004B626D">
        <w:rPr>
          <w:rFonts w:cstheme="minorHAnsi"/>
        </w:rPr>
        <w:t xml:space="preserve">indikativni cilj </w:t>
      </w:r>
      <w:r w:rsidRPr="004B626D">
        <w:rPr>
          <w:rFonts w:cstheme="minorHAnsi"/>
        </w:rPr>
        <w:t>smanjenja emisije CO</w:t>
      </w:r>
      <w:r w:rsidRPr="004B626D">
        <w:rPr>
          <w:rFonts w:cstheme="minorHAnsi"/>
          <w:vertAlign w:val="subscript"/>
        </w:rPr>
        <w:t>2</w:t>
      </w:r>
      <w:r w:rsidRPr="004B626D">
        <w:rPr>
          <w:rFonts w:cstheme="minorHAnsi"/>
        </w:rPr>
        <w:t xml:space="preserve"> do 2020. godine</w:t>
      </w:r>
      <w:r w:rsidR="009F7B8F" w:rsidRPr="004B626D">
        <w:rPr>
          <w:rFonts w:cstheme="minorHAnsi"/>
        </w:rPr>
        <w:t>.</w:t>
      </w:r>
      <w:r w:rsidR="00522106" w:rsidRPr="004B626D">
        <w:rPr>
          <w:rFonts w:cstheme="minorHAnsi"/>
        </w:rPr>
        <w:t xml:space="preserve"> </w:t>
      </w:r>
      <w:r w:rsidR="004B626D" w:rsidRPr="004B626D">
        <w:rPr>
          <w:rFonts w:cstheme="minorHAnsi"/>
        </w:rPr>
        <w:t>Za sve</w:t>
      </w:r>
      <w:r w:rsidRPr="004B626D">
        <w:rPr>
          <w:rFonts w:cstheme="minorHAnsi"/>
        </w:rPr>
        <w:t xml:space="preserve"> mjere</w:t>
      </w:r>
      <w:r w:rsidR="004B626D" w:rsidRPr="004B626D">
        <w:rPr>
          <w:rFonts w:cstheme="minorHAnsi"/>
        </w:rPr>
        <w:t xml:space="preserve"> je</w:t>
      </w:r>
      <w:r w:rsidRPr="004B626D">
        <w:rPr>
          <w:rFonts w:cstheme="minorHAnsi"/>
        </w:rPr>
        <w:t xml:space="preserve"> predviđena vremenska d</w:t>
      </w:r>
      <w:r w:rsidR="00522106" w:rsidRPr="004B626D">
        <w:rPr>
          <w:rFonts w:cstheme="minorHAnsi"/>
        </w:rPr>
        <w:t xml:space="preserve">inamika provedbe, predloženi </w:t>
      </w:r>
      <w:r w:rsidRPr="004B626D">
        <w:rPr>
          <w:rFonts w:cstheme="minorHAnsi"/>
        </w:rPr>
        <w:t>nositelji provedbe aktivnosti, procijenjeni su troškovi (jedinični ili ukupni po mjeri), uštede (% ili kWh, litre goriva), odnosno potencijal smanjenja emisije (t CO</w:t>
      </w:r>
      <w:r w:rsidRPr="004B626D">
        <w:rPr>
          <w:rFonts w:cstheme="minorHAnsi"/>
          <w:vertAlign w:val="subscript"/>
        </w:rPr>
        <w:t>2</w:t>
      </w:r>
      <w:r w:rsidR="00522106" w:rsidRPr="004B626D">
        <w:rPr>
          <w:rFonts w:cstheme="minorHAnsi"/>
        </w:rPr>
        <w:t>) te pripadajući troškovi (HRK</w:t>
      </w:r>
      <w:r w:rsidRPr="004B626D">
        <w:rPr>
          <w:rFonts w:cstheme="minorHAnsi"/>
        </w:rPr>
        <w:t>/t CO</w:t>
      </w:r>
      <w:r w:rsidRPr="004B626D">
        <w:rPr>
          <w:rFonts w:cstheme="minorHAnsi"/>
          <w:vertAlign w:val="subscript"/>
        </w:rPr>
        <w:t>2</w:t>
      </w:r>
      <w:r w:rsidR="006D4295" w:rsidRPr="004B626D">
        <w:rPr>
          <w:rFonts w:cstheme="minorHAnsi"/>
        </w:rPr>
        <w:t>).</w:t>
      </w:r>
    </w:p>
    <w:p w14:paraId="3DEAD434" w14:textId="0F62EBA7" w:rsidR="000B3F43" w:rsidRDefault="00EE5325" w:rsidP="00E92750">
      <w:pPr>
        <w:spacing w:line="240" w:lineRule="auto"/>
        <w:jc w:val="both"/>
        <w:rPr>
          <w:rFonts w:cstheme="minorHAnsi"/>
          <w:b/>
        </w:rPr>
      </w:pPr>
      <w:r w:rsidRPr="004B626D">
        <w:rPr>
          <w:rFonts w:cstheme="minorHAnsi"/>
        </w:rPr>
        <w:t>U svrhu ocjene uspješnosti provedbe Akcijskog plana</w:t>
      </w:r>
      <w:r w:rsidR="007314C7">
        <w:rPr>
          <w:rFonts w:cstheme="minorHAnsi"/>
        </w:rPr>
        <w:t>,</w:t>
      </w:r>
      <w:r w:rsidRPr="004B626D">
        <w:rPr>
          <w:rFonts w:cstheme="minorHAnsi"/>
        </w:rPr>
        <w:t xml:space="preserve"> Grad Zagreb obvezan</w:t>
      </w:r>
      <w:r w:rsidR="007314C7">
        <w:rPr>
          <w:rFonts w:cstheme="minorHAnsi"/>
        </w:rPr>
        <w:t xml:space="preserve"> je</w:t>
      </w:r>
      <w:r w:rsidRPr="004B626D">
        <w:rPr>
          <w:rFonts w:cstheme="minorHAnsi"/>
        </w:rPr>
        <w:t xml:space="preserve"> </w:t>
      </w:r>
      <w:r w:rsidR="007314C7" w:rsidRPr="00EB622D">
        <w:rPr>
          <w:rFonts w:cstheme="minorHAnsi"/>
          <w:b/>
        </w:rPr>
        <w:t>minimalno svake dvije</w:t>
      </w:r>
      <w:r w:rsidR="007314C7">
        <w:rPr>
          <w:rFonts w:cstheme="minorHAnsi"/>
          <w:b/>
        </w:rPr>
        <w:t xml:space="preserve"> godine</w:t>
      </w:r>
      <w:r w:rsidR="007314C7" w:rsidRPr="00EB622D">
        <w:rPr>
          <w:rFonts w:cstheme="minorHAnsi"/>
          <w:b/>
        </w:rPr>
        <w:t xml:space="preserve"> </w:t>
      </w:r>
      <w:r w:rsidR="007314C7" w:rsidRPr="007314C7">
        <w:rPr>
          <w:rFonts w:cstheme="minorHAnsi"/>
        </w:rPr>
        <w:t xml:space="preserve">izraditi Analizu uspješnosti implementacije mjera i aktivnosti predloženih u Akcijskom planu te </w:t>
      </w:r>
      <w:r w:rsidR="00F2722C" w:rsidRPr="00EB622D">
        <w:rPr>
          <w:rFonts w:cstheme="minorHAnsi"/>
          <w:b/>
        </w:rPr>
        <w:t xml:space="preserve">minimalno </w:t>
      </w:r>
      <w:r w:rsidR="007314C7">
        <w:rPr>
          <w:rFonts w:cstheme="minorHAnsi"/>
          <w:b/>
        </w:rPr>
        <w:t>svake četiri godine</w:t>
      </w:r>
      <w:r w:rsidRPr="00EB622D">
        <w:rPr>
          <w:rFonts w:cstheme="minorHAnsi"/>
          <w:b/>
        </w:rPr>
        <w:t xml:space="preserve"> </w:t>
      </w:r>
      <w:r w:rsidRPr="007314C7">
        <w:rPr>
          <w:rFonts w:cstheme="minorHAnsi"/>
        </w:rPr>
        <w:t>izraditi Kontrolni inventar emisije CO</w:t>
      </w:r>
      <w:r w:rsidRPr="007314C7">
        <w:rPr>
          <w:rFonts w:cstheme="minorHAnsi"/>
          <w:vertAlign w:val="subscript"/>
        </w:rPr>
        <w:t>2</w:t>
      </w:r>
      <w:r w:rsidR="00066D84" w:rsidRPr="007314C7">
        <w:rPr>
          <w:rFonts w:cstheme="minorHAnsi"/>
          <w:vertAlign w:val="subscript"/>
        </w:rPr>
        <w:t xml:space="preserve"> </w:t>
      </w:r>
      <w:r w:rsidR="00066D84" w:rsidRPr="007314C7">
        <w:rPr>
          <w:rFonts w:cstheme="minorHAnsi"/>
        </w:rPr>
        <w:t>(</w:t>
      </w:r>
      <w:r w:rsidR="00066D84" w:rsidRPr="007314C7">
        <w:rPr>
          <w:rFonts w:cstheme="minorHAnsi"/>
          <w:i/>
          <w:lang w:val="en-US"/>
        </w:rPr>
        <w:t>Monitoring Emission Inventory – MEI</w:t>
      </w:r>
      <w:r w:rsidR="00BF7CCD">
        <w:rPr>
          <w:rFonts w:cstheme="minorHAnsi"/>
        </w:rPr>
        <w:t>)</w:t>
      </w:r>
      <w:r w:rsidR="004875E9">
        <w:rPr>
          <w:rStyle w:val="FootnoteReference"/>
        </w:rPr>
        <w:footnoteReference w:id="3"/>
      </w:r>
      <w:r w:rsidR="00BF7CCD">
        <w:rPr>
          <w:rFonts w:cstheme="minorHAnsi"/>
          <w:b/>
        </w:rPr>
        <w:t xml:space="preserve"> – </w:t>
      </w:r>
      <w:r w:rsidR="00BF7CCD" w:rsidRPr="00BF7CCD">
        <w:rPr>
          <w:rFonts w:cstheme="minorHAnsi"/>
        </w:rPr>
        <w:t>zajednički naziv</w:t>
      </w:r>
      <w:r w:rsidR="000450E1">
        <w:rPr>
          <w:rFonts w:cstheme="minorHAnsi"/>
        </w:rPr>
        <w:t xml:space="preserve"> opisanih obveza je</w:t>
      </w:r>
      <w:r w:rsidR="00BF7CCD">
        <w:rPr>
          <w:rFonts w:cstheme="minorHAnsi"/>
          <w:b/>
        </w:rPr>
        <w:t xml:space="preserve"> </w:t>
      </w:r>
      <w:r w:rsidR="000450E1">
        <w:rPr>
          <w:rFonts w:cstheme="minorHAnsi"/>
          <w:b/>
        </w:rPr>
        <w:t xml:space="preserve">- </w:t>
      </w:r>
      <w:r w:rsidR="00BF7CCD">
        <w:rPr>
          <w:rFonts w:cstheme="minorHAnsi"/>
          <w:b/>
        </w:rPr>
        <w:t xml:space="preserve">Revizija Akcijskog plana. </w:t>
      </w:r>
    </w:p>
    <w:p w14:paraId="5170D987" w14:textId="55318C43" w:rsidR="000B3F43" w:rsidRPr="004B626D" w:rsidRDefault="000B3F43" w:rsidP="00E92750">
      <w:pPr>
        <w:spacing w:line="240" w:lineRule="auto"/>
        <w:jc w:val="both"/>
        <w:rPr>
          <w:rFonts w:cstheme="minorHAnsi"/>
        </w:rPr>
      </w:pPr>
      <w:r w:rsidRPr="004B626D">
        <w:rPr>
          <w:rFonts w:cstheme="minorHAnsi"/>
        </w:rPr>
        <w:t>U</w:t>
      </w:r>
      <w:r w:rsidR="008B6BF3" w:rsidRPr="004B626D">
        <w:rPr>
          <w:rFonts w:cstheme="minorHAnsi"/>
        </w:rPr>
        <w:t xml:space="preserve"> sklopu ovog dokumenta bit</w:t>
      </w:r>
      <w:r w:rsidR="004558D3">
        <w:rPr>
          <w:rFonts w:cstheme="minorHAnsi"/>
        </w:rPr>
        <w:t xml:space="preserve"> će izrađen</w:t>
      </w:r>
      <w:r w:rsidRPr="004B626D">
        <w:rPr>
          <w:rFonts w:cstheme="minorHAnsi"/>
        </w:rPr>
        <w:t xml:space="preserve"> Kontrolni inventar emisije CO</w:t>
      </w:r>
      <w:r w:rsidRPr="004B626D">
        <w:rPr>
          <w:rFonts w:cstheme="minorHAnsi"/>
          <w:vertAlign w:val="subscript"/>
        </w:rPr>
        <w:t>2</w:t>
      </w:r>
      <w:r w:rsidRPr="004B626D">
        <w:rPr>
          <w:rFonts w:cstheme="minorHAnsi"/>
        </w:rPr>
        <w:t xml:space="preserve"> za 2015. godinu</w:t>
      </w:r>
      <w:r w:rsidR="008B6BF3" w:rsidRPr="004B626D">
        <w:rPr>
          <w:rFonts w:cstheme="minorHAnsi"/>
        </w:rPr>
        <w:t xml:space="preserve"> i pregled Analize uspješnosti implementacije mjera i aktivnosti do zaključno 31. prosinca 2015. godine.</w:t>
      </w:r>
    </w:p>
    <w:p w14:paraId="073094EA" w14:textId="79666870" w:rsidR="00A25C74" w:rsidRPr="004B626D" w:rsidRDefault="00EE4FCC" w:rsidP="00E92750">
      <w:pPr>
        <w:pStyle w:val="Heading2"/>
        <w:spacing w:after="240"/>
      </w:pPr>
      <w:bookmarkStart w:id="6" w:name="_Toc468345339"/>
      <w:r w:rsidRPr="004B626D">
        <w:t>R</w:t>
      </w:r>
      <w:r w:rsidR="00EA50CD">
        <w:t>AZVITAK</w:t>
      </w:r>
      <w:r w:rsidR="00A00650" w:rsidRPr="004B626D">
        <w:t xml:space="preserve"> </w:t>
      </w:r>
      <w:r w:rsidR="00EA50CD">
        <w:t>EU INICIJATIVE</w:t>
      </w:r>
      <w:r w:rsidR="00B277B2" w:rsidRPr="004B626D">
        <w:t xml:space="preserve"> S</w:t>
      </w:r>
      <w:r w:rsidR="00EA50CD">
        <w:t>PRORAZUM GRADONAČELNIKA</w:t>
      </w:r>
      <w:bookmarkEnd w:id="6"/>
    </w:p>
    <w:p w14:paraId="02776A8A" w14:textId="23054F2D" w:rsidR="00CB3ED1" w:rsidRPr="004B626D" w:rsidRDefault="00262474" w:rsidP="00E92750">
      <w:pPr>
        <w:pStyle w:val="Obinitekst2"/>
        <w:spacing w:line="240" w:lineRule="auto"/>
        <w:jc w:val="both"/>
      </w:pPr>
      <w:r w:rsidRPr="004B626D">
        <w:rPr>
          <w:rFonts w:asciiTheme="minorHAnsi" w:hAnsiTheme="minorHAnsi" w:cstheme="minorHAnsi"/>
          <w:lang w:val="hr-HR"/>
        </w:rPr>
        <w:t>Grad Zagreb je jedan od prvih europskih glavnih gradova koji je pris</w:t>
      </w:r>
      <w:r w:rsidR="00ED2A1B">
        <w:rPr>
          <w:rFonts w:asciiTheme="minorHAnsi" w:hAnsiTheme="minorHAnsi" w:cstheme="minorHAnsi"/>
          <w:lang w:val="hr-HR"/>
        </w:rPr>
        <w:t>tupio Sporazumu gradonačelnika</w:t>
      </w:r>
      <w:r w:rsidRPr="004B626D">
        <w:rPr>
          <w:rFonts w:asciiTheme="minorHAnsi" w:hAnsiTheme="minorHAnsi" w:cstheme="minorHAnsi"/>
          <w:lang w:val="hr-HR"/>
        </w:rPr>
        <w:t>, velikoj inicijativi Europske komisije pokrenutoj u siječnju 2008. godine, sa ciljem povezivanja ener</w:t>
      </w:r>
      <w:r w:rsidR="00FE4A37" w:rsidRPr="004B626D">
        <w:rPr>
          <w:rFonts w:asciiTheme="minorHAnsi" w:hAnsiTheme="minorHAnsi" w:cstheme="minorHAnsi"/>
          <w:lang w:val="hr-HR"/>
        </w:rPr>
        <w:t>getski osviještenih</w:t>
      </w:r>
      <w:r w:rsidRPr="004B626D">
        <w:rPr>
          <w:rFonts w:asciiTheme="minorHAnsi" w:hAnsiTheme="minorHAnsi" w:cstheme="minorHAnsi"/>
          <w:lang w:val="hr-HR"/>
        </w:rPr>
        <w:t xml:space="preserve"> gradova u trajnu mrežu za kontinuiranu razmjenu iskustava učinkovit</w:t>
      </w:r>
      <w:r w:rsidR="00FE4A37" w:rsidRPr="004B626D">
        <w:rPr>
          <w:rFonts w:asciiTheme="minorHAnsi" w:hAnsiTheme="minorHAnsi" w:cstheme="minorHAnsi"/>
          <w:lang w:val="hr-HR"/>
        </w:rPr>
        <w:t>og korištenja energije, primjenu</w:t>
      </w:r>
      <w:r w:rsidRPr="004B626D">
        <w:rPr>
          <w:rFonts w:asciiTheme="minorHAnsi" w:hAnsiTheme="minorHAnsi" w:cstheme="minorHAnsi"/>
          <w:lang w:val="hr-HR"/>
        </w:rPr>
        <w:t xml:space="preserve"> m</w:t>
      </w:r>
      <w:r w:rsidR="00FE4A37" w:rsidRPr="004B626D">
        <w:rPr>
          <w:rFonts w:asciiTheme="minorHAnsi" w:hAnsiTheme="minorHAnsi" w:cstheme="minorHAnsi"/>
          <w:lang w:val="hr-HR"/>
        </w:rPr>
        <w:t xml:space="preserve">jera energetske učinkovitosti, </w:t>
      </w:r>
      <w:r w:rsidRPr="004B626D">
        <w:rPr>
          <w:rFonts w:asciiTheme="minorHAnsi" w:hAnsiTheme="minorHAnsi" w:cstheme="minorHAnsi"/>
          <w:lang w:val="hr-HR"/>
        </w:rPr>
        <w:t>obnovljivih izvora energije i ekološko prihvatljivih goriva u</w:t>
      </w:r>
      <w:r w:rsidR="00FE4A37" w:rsidRPr="004B626D">
        <w:rPr>
          <w:rFonts w:asciiTheme="minorHAnsi" w:hAnsiTheme="minorHAnsi" w:cstheme="minorHAnsi"/>
          <w:lang w:val="hr-HR"/>
        </w:rPr>
        <w:t xml:space="preserve"> urbanim sredinama i smanjenju</w:t>
      </w:r>
      <w:r w:rsidRPr="004B626D">
        <w:rPr>
          <w:rFonts w:asciiTheme="minorHAnsi" w:hAnsiTheme="minorHAnsi" w:cstheme="minorHAnsi"/>
          <w:lang w:val="hr-HR"/>
        </w:rPr>
        <w:t xml:space="preserve"> emisija CO</w:t>
      </w:r>
      <w:r w:rsidRPr="004B626D">
        <w:rPr>
          <w:rFonts w:asciiTheme="minorHAnsi" w:hAnsiTheme="minorHAnsi" w:cstheme="minorHAnsi"/>
          <w:vertAlign w:val="subscript"/>
          <w:lang w:val="hr-HR"/>
        </w:rPr>
        <w:t>2</w:t>
      </w:r>
      <w:r w:rsidR="00760A97" w:rsidRPr="004B626D">
        <w:rPr>
          <w:rFonts w:asciiTheme="minorHAnsi" w:hAnsiTheme="minorHAnsi" w:cstheme="minorHAnsi"/>
          <w:lang w:val="hr-HR"/>
        </w:rPr>
        <w:t xml:space="preserve"> </w:t>
      </w:r>
      <w:r w:rsidR="00FE4A37" w:rsidRPr="004B626D">
        <w:rPr>
          <w:rFonts w:asciiTheme="minorHAnsi" w:hAnsiTheme="minorHAnsi" w:cstheme="minorHAnsi"/>
          <w:lang w:val="hr-HR"/>
        </w:rPr>
        <w:t>najmanje</w:t>
      </w:r>
      <w:r w:rsidR="00760A97" w:rsidRPr="004B626D">
        <w:rPr>
          <w:rFonts w:asciiTheme="minorHAnsi" w:hAnsiTheme="minorHAnsi" w:cstheme="minorHAnsi"/>
          <w:lang w:val="hr-HR"/>
        </w:rPr>
        <w:t xml:space="preserve"> za</w:t>
      </w:r>
      <w:r w:rsidR="00FE4A37" w:rsidRPr="004B626D">
        <w:rPr>
          <w:rFonts w:asciiTheme="minorHAnsi" w:hAnsiTheme="minorHAnsi" w:cstheme="minorHAnsi"/>
          <w:lang w:val="hr-HR"/>
        </w:rPr>
        <w:t xml:space="preserve"> 20%.</w:t>
      </w:r>
    </w:p>
    <w:p w14:paraId="6DCD887B" w14:textId="23BDA77A" w:rsidR="00A25C74" w:rsidRPr="004B626D" w:rsidRDefault="00E72771" w:rsidP="00E92750">
      <w:pPr>
        <w:spacing w:line="240" w:lineRule="auto"/>
        <w:jc w:val="both"/>
        <w:rPr>
          <w:rFonts w:ascii="Calibri" w:eastAsia="Times New Roman" w:hAnsi="Calibri" w:cs="Arial"/>
        </w:rPr>
      </w:pPr>
      <w:r w:rsidRPr="004B626D">
        <w:rPr>
          <w:rFonts w:ascii="Calibri" w:eastAsia="Calibri" w:hAnsi="Calibri" w:cs="Times New Roman"/>
        </w:rPr>
        <w:lastRenderedPageBreak/>
        <w:t>Do</w:t>
      </w:r>
      <w:r w:rsidR="000724D3">
        <w:rPr>
          <w:rFonts w:ascii="Calibri" w:eastAsia="Calibri" w:hAnsi="Calibri" w:cs="Times New Roman"/>
        </w:rPr>
        <w:t xml:space="preserve"> </w:t>
      </w:r>
      <w:r w:rsidR="00E049D9" w:rsidRPr="004B626D">
        <w:rPr>
          <w:rFonts w:ascii="Calibri" w:eastAsia="Calibri" w:hAnsi="Calibri" w:cs="Times New Roman"/>
        </w:rPr>
        <w:t xml:space="preserve">sredine </w:t>
      </w:r>
      <w:r w:rsidRPr="004B626D">
        <w:rPr>
          <w:rFonts w:ascii="Calibri" w:eastAsia="Calibri" w:hAnsi="Calibri" w:cs="Times New Roman"/>
        </w:rPr>
        <w:t>studenog</w:t>
      </w:r>
      <w:r w:rsidR="00A00650" w:rsidRPr="004B626D">
        <w:rPr>
          <w:rFonts w:ascii="Calibri" w:eastAsia="Calibri" w:hAnsi="Calibri" w:cs="Times New Roman"/>
        </w:rPr>
        <w:t xml:space="preserve"> 2016. godine Sporazum je potpisalo 7</w:t>
      </w:r>
      <w:r w:rsidR="00D21ED5" w:rsidRPr="004B626D">
        <w:rPr>
          <w:rFonts w:ascii="Calibri" w:eastAsia="Calibri" w:hAnsi="Calibri" w:cs="Times New Roman"/>
        </w:rPr>
        <w:t>8</w:t>
      </w:r>
      <w:r w:rsidR="00A00650" w:rsidRPr="004B626D">
        <w:rPr>
          <w:rFonts w:ascii="Calibri" w:eastAsia="Calibri" w:hAnsi="Calibri" w:cs="Times New Roman"/>
        </w:rPr>
        <w:t xml:space="preserve"> hrvatskih gradova i općina.</w:t>
      </w:r>
    </w:p>
    <w:p w14:paraId="00F9CEB9" w14:textId="3B8BA56E" w:rsidR="00A25C74" w:rsidRPr="00066D84" w:rsidRDefault="00A00650" w:rsidP="00E92750">
      <w:pPr>
        <w:spacing w:after="0" w:line="240" w:lineRule="auto"/>
        <w:jc w:val="both"/>
        <w:rPr>
          <w:rFonts w:ascii="Calibri" w:eastAsia="Times New Roman" w:hAnsi="Calibri" w:cs="Arial"/>
        </w:rPr>
      </w:pPr>
      <w:r w:rsidRPr="00066D84">
        <w:rPr>
          <w:rFonts w:ascii="Calibri" w:eastAsia="Times New Roman" w:hAnsi="Calibri" w:cs="Arial"/>
        </w:rPr>
        <w:t xml:space="preserve">Značaj i uspjeh </w:t>
      </w:r>
      <w:r w:rsidR="00A25C74" w:rsidRPr="00066D84">
        <w:rPr>
          <w:rFonts w:ascii="Calibri" w:eastAsia="Times New Roman" w:hAnsi="Calibri" w:cs="Arial"/>
        </w:rPr>
        <w:t xml:space="preserve">inicijative Sporazuma </w:t>
      </w:r>
      <w:r w:rsidRPr="00066D84">
        <w:rPr>
          <w:rFonts w:ascii="Calibri" w:eastAsia="Times New Roman" w:hAnsi="Calibri" w:cs="Arial"/>
        </w:rPr>
        <w:t>potvrđuju sljedeći pokazatelji</w:t>
      </w:r>
      <w:r w:rsidR="00A25C74" w:rsidRPr="00066D84">
        <w:rPr>
          <w:rStyle w:val="FootnoteReference"/>
          <w:rFonts w:ascii="Calibri" w:eastAsia="Times New Roman" w:hAnsi="Calibri"/>
        </w:rPr>
        <w:footnoteReference w:id="4"/>
      </w:r>
      <w:r w:rsidR="00A25C74" w:rsidRPr="00066D84">
        <w:rPr>
          <w:rFonts w:ascii="Calibri" w:eastAsia="Times New Roman" w:hAnsi="Calibri" w:cs="Arial"/>
        </w:rPr>
        <w:t>:</w:t>
      </w:r>
    </w:p>
    <w:p w14:paraId="0A7C4263" w14:textId="33215E99" w:rsidR="00A25C74" w:rsidRPr="00066D84" w:rsidRDefault="00A25C74" w:rsidP="00E92750">
      <w:pPr>
        <w:pStyle w:val="ListParagraph"/>
        <w:numPr>
          <w:ilvl w:val="0"/>
          <w:numId w:val="14"/>
        </w:numPr>
        <w:spacing w:after="0" w:line="240" w:lineRule="auto"/>
        <w:jc w:val="both"/>
        <w:rPr>
          <w:rFonts w:eastAsia="Times New Roman" w:cs="Arial"/>
        </w:rPr>
      </w:pPr>
      <w:r w:rsidRPr="00066D84">
        <w:rPr>
          <w:rFonts w:eastAsia="Times New Roman" w:cs="Arial"/>
        </w:rPr>
        <w:t xml:space="preserve">Broj gradova/općina potpisnika </w:t>
      </w:r>
      <w:r w:rsidR="00D21ED5" w:rsidRPr="00066D84">
        <w:rPr>
          <w:rFonts w:eastAsia="Times New Roman" w:cs="Arial"/>
        </w:rPr>
        <w:t>Sporazuma gradonačelnika – 7</w:t>
      </w:r>
      <w:r w:rsidR="00760A97" w:rsidRPr="00066D84">
        <w:rPr>
          <w:rFonts w:eastAsia="Times New Roman" w:cs="Arial"/>
        </w:rPr>
        <w:t xml:space="preserve"> </w:t>
      </w:r>
      <w:r w:rsidR="00D21ED5" w:rsidRPr="00066D84">
        <w:rPr>
          <w:rFonts w:eastAsia="Times New Roman" w:cs="Arial"/>
        </w:rPr>
        <w:t>111</w:t>
      </w:r>
      <w:r w:rsidRPr="00066D84">
        <w:rPr>
          <w:rFonts w:eastAsia="Times New Roman" w:cs="Arial"/>
        </w:rPr>
        <w:t>;</w:t>
      </w:r>
    </w:p>
    <w:p w14:paraId="5C0B85C3" w14:textId="1C6A5FDE" w:rsidR="00A25C74" w:rsidRPr="00066D84" w:rsidRDefault="00A25C74" w:rsidP="00E92750">
      <w:pPr>
        <w:pStyle w:val="ListParagraph"/>
        <w:numPr>
          <w:ilvl w:val="0"/>
          <w:numId w:val="14"/>
        </w:numPr>
        <w:spacing w:after="0" w:line="240" w:lineRule="auto"/>
        <w:jc w:val="both"/>
        <w:rPr>
          <w:rFonts w:eastAsia="Times New Roman" w:cs="Arial"/>
        </w:rPr>
      </w:pPr>
      <w:r w:rsidRPr="00066D84">
        <w:rPr>
          <w:rFonts w:eastAsia="Times New Roman" w:cs="Arial"/>
        </w:rPr>
        <w:t>Broj stanovnika u gradovima/općinama potpisnicima</w:t>
      </w:r>
      <w:r w:rsidR="00D21ED5" w:rsidRPr="00066D84">
        <w:rPr>
          <w:rFonts w:eastAsia="Times New Roman" w:cs="Arial"/>
        </w:rPr>
        <w:t xml:space="preserve"> Sporazuma – 219</w:t>
      </w:r>
      <w:r w:rsidR="00760A97" w:rsidRPr="00066D84">
        <w:rPr>
          <w:rFonts w:eastAsia="Times New Roman" w:cs="Arial"/>
        </w:rPr>
        <w:t xml:space="preserve"> </w:t>
      </w:r>
      <w:r w:rsidR="00D21ED5" w:rsidRPr="00066D84">
        <w:rPr>
          <w:rFonts w:eastAsia="Times New Roman" w:cs="Arial"/>
        </w:rPr>
        <w:t>629 749</w:t>
      </w:r>
      <w:r w:rsidRPr="00066D84">
        <w:rPr>
          <w:rFonts w:eastAsia="Times New Roman" w:cs="Arial"/>
        </w:rPr>
        <w:t>;</w:t>
      </w:r>
    </w:p>
    <w:p w14:paraId="41177F37" w14:textId="38D8F457" w:rsidR="00A25C74" w:rsidRPr="00066D84" w:rsidRDefault="00A25C74" w:rsidP="00E92750">
      <w:pPr>
        <w:pStyle w:val="ListParagraph"/>
        <w:numPr>
          <w:ilvl w:val="0"/>
          <w:numId w:val="14"/>
        </w:numPr>
        <w:spacing w:after="0" w:line="240" w:lineRule="auto"/>
        <w:jc w:val="both"/>
        <w:rPr>
          <w:rFonts w:eastAsia="Times New Roman" w:cs="Arial"/>
        </w:rPr>
      </w:pPr>
      <w:r w:rsidRPr="00066D84">
        <w:rPr>
          <w:rFonts w:eastAsia="Times New Roman" w:cs="Arial"/>
        </w:rPr>
        <w:t>Broj prihvaćenih Ak</w:t>
      </w:r>
      <w:r w:rsidR="00897049">
        <w:rPr>
          <w:rFonts w:eastAsia="Times New Roman" w:cs="Arial"/>
        </w:rPr>
        <w:t>cijskih planova</w:t>
      </w:r>
      <w:r w:rsidR="00D21ED5" w:rsidRPr="00066D84">
        <w:rPr>
          <w:rFonts w:eastAsia="Times New Roman" w:cs="Arial"/>
        </w:rPr>
        <w:t xml:space="preserve"> gradova/općina – 5</w:t>
      </w:r>
      <w:r w:rsidR="00760A97" w:rsidRPr="00066D84">
        <w:rPr>
          <w:rFonts w:eastAsia="Times New Roman" w:cs="Arial"/>
        </w:rPr>
        <w:t xml:space="preserve"> </w:t>
      </w:r>
      <w:r w:rsidR="00D21ED5" w:rsidRPr="00066D84">
        <w:rPr>
          <w:rFonts w:eastAsia="Times New Roman" w:cs="Arial"/>
        </w:rPr>
        <w:t>586</w:t>
      </w:r>
      <w:r w:rsidRPr="00066D84">
        <w:rPr>
          <w:rFonts w:eastAsia="Times New Roman" w:cs="Arial"/>
        </w:rPr>
        <w:t>;</w:t>
      </w:r>
    </w:p>
    <w:p w14:paraId="3D783C65" w14:textId="77E5C228" w:rsidR="00A25C74" w:rsidRPr="00066D84" w:rsidRDefault="00A25C74" w:rsidP="00E92750">
      <w:pPr>
        <w:pStyle w:val="ListParagraph"/>
        <w:numPr>
          <w:ilvl w:val="0"/>
          <w:numId w:val="14"/>
        </w:numPr>
        <w:spacing w:line="240" w:lineRule="auto"/>
        <w:jc w:val="both"/>
        <w:rPr>
          <w:rFonts w:eastAsia="Times New Roman" w:cs="Arial"/>
        </w:rPr>
      </w:pPr>
      <w:r w:rsidRPr="00066D84">
        <w:rPr>
          <w:rFonts w:eastAsia="Times New Roman" w:cs="Arial"/>
        </w:rPr>
        <w:t>Broj koordinatora Sporazuma (</w:t>
      </w:r>
      <w:r w:rsidRPr="00066D84">
        <w:rPr>
          <w:rFonts w:eastAsia="Times New Roman" w:cs="Arial"/>
          <w:i/>
          <w:lang w:val="en-US"/>
        </w:rPr>
        <w:t>eng. Covenant coordinator</w:t>
      </w:r>
      <w:r w:rsidRPr="00066D84">
        <w:rPr>
          <w:rFonts w:eastAsia="Times New Roman" w:cs="Arial"/>
        </w:rPr>
        <w:t>)</w:t>
      </w:r>
      <w:r w:rsidR="00AA064F" w:rsidRPr="00066D84">
        <w:rPr>
          <w:rStyle w:val="FootnoteReference"/>
          <w:rFonts w:eastAsia="Times New Roman"/>
        </w:rPr>
        <w:footnoteReference w:id="5"/>
      </w:r>
      <w:r w:rsidR="00D21ED5" w:rsidRPr="00066D84">
        <w:rPr>
          <w:rFonts w:eastAsia="Times New Roman" w:cs="Arial"/>
        </w:rPr>
        <w:t xml:space="preserve"> – 191.</w:t>
      </w:r>
    </w:p>
    <w:p w14:paraId="0FD305F7" w14:textId="416140EF" w:rsidR="00A25C74" w:rsidRPr="00EA50CD" w:rsidRDefault="00A25C74" w:rsidP="00E92750">
      <w:pPr>
        <w:spacing w:line="240" w:lineRule="auto"/>
        <w:jc w:val="both"/>
        <w:rPr>
          <w:rFonts w:ascii="Calibri" w:eastAsia="Calibri" w:hAnsi="Calibri" w:cs="Calibri"/>
          <w:color w:val="000000"/>
        </w:rPr>
      </w:pPr>
      <w:r w:rsidRPr="00EA50CD">
        <w:rPr>
          <w:rFonts w:ascii="Calibri" w:eastAsia="Calibri" w:hAnsi="Calibri" w:cs="Calibri"/>
          <w:color w:val="000000"/>
        </w:rPr>
        <w:t>Inicijativa Sporazum gradonačelnika je sigurno jedna od najbrže rastućih inicijativa Europske unije. Broj gradova/općina potpisnika ra</w:t>
      </w:r>
      <w:r w:rsidR="00F4746E" w:rsidRPr="00EA50CD">
        <w:rPr>
          <w:rFonts w:ascii="Calibri" w:eastAsia="Calibri" w:hAnsi="Calibri" w:cs="Calibri"/>
          <w:color w:val="000000"/>
        </w:rPr>
        <w:t xml:space="preserve">ste iz dana u dan. Uz više od 6 </w:t>
      </w:r>
      <w:r w:rsidRPr="00EA50CD">
        <w:rPr>
          <w:rFonts w:ascii="Calibri" w:eastAsia="Calibri" w:hAnsi="Calibri" w:cs="Calibri"/>
          <w:color w:val="000000"/>
        </w:rPr>
        <w:t>600 europskih gradova, inicijativi su se pridružili i gradovi iz Argentine, Novog Zelanda, Maro</w:t>
      </w:r>
      <w:r w:rsidR="00760A97" w:rsidRPr="00EA50CD">
        <w:rPr>
          <w:rFonts w:ascii="Calibri" w:eastAsia="Calibri" w:hAnsi="Calibri" w:cs="Calibri"/>
          <w:color w:val="000000"/>
        </w:rPr>
        <w:t>ka, Palestine i drugih zemalja.</w:t>
      </w:r>
    </w:p>
    <w:p w14:paraId="348C5A1A" w14:textId="7E88008D" w:rsidR="00A25C74" w:rsidRPr="00EA50CD" w:rsidRDefault="00A25C74" w:rsidP="00E92750">
      <w:pPr>
        <w:spacing w:line="240" w:lineRule="auto"/>
        <w:jc w:val="both"/>
        <w:rPr>
          <w:rFonts w:ascii="Calibri" w:eastAsia="Calibri" w:hAnsi="Calibri" w:cs="Times New Roman"/>
        </w:rPr>
      </w:pPr>
      <w:r w:rsidRPr="00EA50CD">
        <w:rPr>
          <w:rFonts w:ascii="Calibri" w:eastAsia="Calibri" w:hAnsi="Calibri" w:cs="Times New Roman"/>
        </w:rPr>
        <w:t xml:space="preserve">19. ožujka </w:t>
      </w:r>
      <w:r w:rsidR="000F64C5" w:rsidRPr="00EA50CD">
        <w:rPr>
          <w:rFonts w:ascii="Calibri" w:eastAsia="Calibri" w:hAnsi="Calibri" w:cs="Times New Roman"/>
        </w:rPr>
        <w:t>2015</w:t>
      </w:r>
      <w:r w:rsidRPr="00EA50CD">
        <w:rPr>
          <w:rFonts w:ascii="Calibri" w:eastAsia="Calibri" w:hAnsi="Calibri" w:cs="Times New Roman"/>
        </w:rPr>
        <w:t>. godine u sklopu Sporazuma gradonačelnika je pokrenuta nova inicijativa</w:t>
      </w:r>
      <w:r w:rsidR="00AA064F" w:rsidRPr="00EA50CD">
        <w:rPr>
          <w:rFonts w:ascii="Calibri" w:eastAsia="Calibri" w:hAnsi="Calibri" w:cs="Times New Roman"/>
        </w:rPr>
        <w:t xml:space="preserve"> -</w:t>
      </w:r>
      <w:r w:rsidRPr="00EA50CD">
        <w:rPr>
          <w:rFonts w:ascii="Times New Roman" w:eastAsia="Times New Roman" w:hAnsi="Times New Roman" w:cs="Times New Roman"/>
          <w:sz w:val="24"/>
          <w:szCs w:val="24"/>
          <w:lang w:eastAsia="hr-HR"/>
        </w:rPr>
        <w:t xml:space="preserve"> </w:t>
      </w:r>
      <w:r w:rsidRPr="00EA50CD">
        <w:rPr>
          <w:rFonts w:ascii="Calibri" w:eastAsia="Calibri" w:hAnsi="Calibri" w:cs="Times New Roman"/>
          <w:i/>
        </w:rPr>
        <w:t>Mayors Adapt</w:t>
      </w:r>
      <w:r w:rsidRPr="00EA50CD">
        <w:rPr>
          <w:rFonts w:ascii="Calibri" w:eastAsia="Calibri" w:hAnsi="Calibri" w:cs="Times New Roman"/>
        </w:rPr>
        <w:t xml:space="preserve"> u cilju pružanja podrške gradskim upravama i strukturama u prilagođavanju klimatskim promjenama koje su sve izraženije i s kojima se gradovi neposredno suočavaju. Upravo su zato gradovi ključni za uspješnu adaptaciju klimatskim promjenama i jako je važno postaviti okvir za pokretanje aktivnosti i provedbu nužnih mjera.</w:t>
      </w:r>
    </w:p>
    <w:p w14:paraId="4BFB5CE7" w14:textId="74CAFAEE" w:rsidR="00A25C74" w:rsidRPr="00EA50CD" w:rsidRDefault="00AA064F" w:rsidP="00E92750">
      <w:pPr>
        <w:spacing w:line="240" w:lineRule="auto"/>
        <w:jc w:val="both"/>
        <w:rPr>
          <w:rFonts w:ascii="Calibri" w:eastAsia="Times New Roman" w:hAnsi="Calibri" w:cs="Arial"/>
        </w:rPr>
      </w:pPr>
      <w:r w:rsidRPr="00EA50CD">
        <w:rPr>
          <w:rFonts w:ascii="Calibri" w:eastAsia="Calibri" w:hAnsi="Calibri" w:cs="Times New Roman"/>
        </w:rPr>
        <w:t>O</w:t>
      </w:r>
      <w:r w:rsidR="00A25C74" w:rsidRPr="00EA50CD">
        <w:rPr>
          <w:rFonts w:ascii="Calibri" w:eastAsia="Calibri" w:hAnsi="Calibri" w:cs="Times New Roman"/>
        </w:rPr>
        <w:t>bjedinjavanje dvije inicijative u jedinstvenu inicijativu Sporazuma gradonačelnika koji se prilagođavaju klimatskim promjenama (</w:t>
      </w:r>
      <w:r w:rsidR="00A25C74" w:rsidRPr="00EA50CD">
        <w:rPr>
          <w:rFonts w:ascii="Calibri" w:eastAsia="Calibri" w:hAnsi="Calibri" w:cs="Times New Roman"/>
          <w:lang w:val="en-US"/>
        </w:rPr>
        <w:t xml:space="preserve">eng. </w:t>
      </w:r>
      <w:r w:rsidR="00A25C74" w:rsidRPr="00EA50CD">
        <w:rPr>
          <w:rFonts w:ascii="Calibri" w:eastAsia="Calibri" w:hAnsi="Calibri" w:cs="Times New Roman"/>
          <w:i/>
          <w:lang w:val="en-US"/>
        </w:rPr>
        <w:t>Coven</w:t>
      </w:r>
      <w:r w:rsidRPr="00EA50CD">
        <w:rPr>
          <w:rFonts w:ascii="Calibri" w:eastAsia="Calibri" w:hAnsi="Calibri" w:cs="Times New Roman"/>
          <w:i/>
          <w:lang w:val="en-US"/>
        </w:rPr>
        <w:t>ant of Mayors and Mayors Adapt I</w:t>
      </w:r>
      <w:r w:rsidR="00A25C74" w:rsidRPr="00EA50CD">
        <w:rPr>
          <w:rFonts w:ascii="Calibri" w:eastAsia="Calibri" w:hAnsi="Calibri" w:cs="Times New Roman"/>
          <w:i/>
          <w:lang w:val="en-US"/>
        </w:rPr>
        <w:t>nitiative</w:t>
      </w:r>
      <w:r w:rsidR="00A25C74" w:rsidRPr="00EA50CD">
        <w:rPr>
          <w:rFonts w:ascii="Calibri" w:eastAsia="Calibri" w:hAnsi="Calibri" w:cs="Times New Roman"/>
        </w:rPr>
        <w:t xml:space="preserve">) službeno </w:t>
      </w:r>
      <w:r w:rsidRPr="00EA50CD">
        <w:rPr>
          <w:rFonts w:ascii="Calibri" w:eastAsia="Calibri" w:hAnsi="Calibri" w:cs="Times New Roman"/>
        </w:rPr>
        <w:t xml:space="preserve">je </w:t>
      </w:r>
      <w:r w:rsidR="00A25C74" w:rsidRPr="00EA50CD">
        <w:rPr>
          <w:rFonts w:ascii="Calibri" w:eastAsia="Calibri" w:hAnsi="Calibri" w:cs="Times New Roman"/>
        </w:rPr>
        <w:t>pokrenut</w:t>
      </w:r>
      <w:r w:rsidRPr="00EA50CD">
        <w:rPr>
          <w:rFonts w:ascii="Calibri" w:eastAsia="Calibri" w:hAnsi="Calibri" w:cs="Times New Roman"/>
        </w:rPr>
        <w:t>o</w:t>
      </w:r>
      <w:r w:rsidR="00A25C74" w:rsidRPr="00EA50CD">
        <w:rPr>
          <w:rFonts w:ascii="Calibri" w:eastAsia="Calibri" w:hAnsi="Calibri" w:cs="Times New Roman"/>
        </w:rPr>
        <w:t xml:space="preserve"> na svečanoj ceremoniji održanoj 15. listopada 2015. godine u </w:t>
      </w:r>
      <w:r w:rsidR="00A25C74" w:rsidRPr="00EA50CD">
        <w:rPr>
          <w:rFonts w:ascii="Calibri" w:eastAsia="Times New Roman" w:hAnsi="Calibri" w:cs="Arial"/>
        </w:rPr>
        <w:t>Velikoj dvorani</w:t>
      </w:r>
      <w:r w:rsidRPr="00EA50CD">
        <w:rPr>
          <w:rFonts w:ascii="Calibri" w:eastAsia="Times New Roman" w:hAnsi="Calibri" w:cs="Arial"/>
        </w:rPr>
        <w:t xml:space="preserve"> Europskog parlamenta u Bruxellesu. </w:t>
      </w:r>
      <w:r w:rsidR="00A25C74" w:rsidRPr="00EA50CD">
        <w:rPr>
          <w:rFonts w:ascii="Calibri" w:eastAsia="Times New Roman" w:hAnsi="Calibri" w:cs="Arial"/>
        </w:rPr>
        <w:t>Nova inicijativa postavlja sljedeće ciljeve:</w:t>
      </w:r>
    </w:p>
    <w:p w14:paraId="0527E51C" w14:textId="77777777" w:rsidR="00A25C74" w:rsidRPr="00EA50CD" w:rsidRDefault="00A25C74" w:rsidP="00E92750">
      <w:pPr>
        <w:numPr>
          <w:ilvl w:val="0"/>
          <w:numId w:val="13"/>
        </w:numPr>
        <w:spacing w:after="0" w:line="240" w:lineRule="auto"/>
        <w:contextualSpacing/>
        <w:jc w:val="both"/>
        <w:rPr>
          <w:rFonts w:ascii="Calibri" w:eastAsia="Calibri" w:hAnsi="Calibri" w:cs="Times New Roman"/>
        </w:rPr>
      </w:pPr>
      <w:r w:rsidRPr="00EA50CD">
        <w:rPr>
          <w:rFonts w:ascii="Calibri" w:eastAsia="Calibri" w:hAnsi="Calibri" w:cs="Times New Roman"/>
        </w:rPr>
        <w:t>Smanjenje emisija CO</w:t>
      </w:r>
      <w:r w:rsidRPr="00EA50CD">
        <w:rPr>
          <w:rFonts w:ascii="Calibri" w:eastAsia="Calibri" w:hAnsi="Calibri" w:cs="Times New Roman"/>
          <w:vertAlign w:val="subscript"/>
        </w:rPr>
        <w:t>2</w:t>
      </w:r>
      <w:r w:rsidRPr="00EA50CD">
        <w:rPr>
          <w:rFonts w:ascii="Calibri" w:eastAsia="Calibri" w:hAnsi="Calibri" w:cs="Times New Roman"/>
        </w:rPr>
        <w:t xml:space="preserve"> za najmanje 40% do 2030. godine;</w:t>
      </w:r>
    </w:p>
    <w:p w14:paraId="668D18D2" w14:textId="77777777" w:rsidR="00A25C74" w:rsidRPr="00EA50CD" w:rsidRDefault="00A25C74" w:rsidP="00E92750">
      <w:pPr>
        <w:numPr>
          <w:ilvl w:val="0"/>
          <w:numId w:val="13"/>
        </w:numPr>
        <w:spacing w:after="0" w:line="240" w:lineRule="auto"/>
        <w:contextualSpacing/>
        <w:jc w:val="both"/>
        <w:rPr>
          <w:rFonts w:ascii="Calibri" w:eastAsia="Calibri" w:hAnsi="Calibri" w:cs="Times New Roman"/>
        </w:rPr>
      </w:pPr>
      <w:r w:rsidRPr="00EA50CD">
        <w:rPr>
          <w:rFonts w:ascii="Calibri" w:eastAsia="Calibri" w:hAnsi="Calibri" w:cs="Times New Roman"/>
        </w:rPr>
        <w:t>Zajednička provedba aktivnosti i mjera ublažavanja i prilagođavanja klimatskim promjenama u sklopu jedinstvene, objedinjenje, nove CoM inicijative;</w:t>
      </w:r>
    </w:p>
    <w:p w14:paraId="3F60C8C5" w14:textId="77777777" w:rsidR="00CB3ED1" w:rsidRPr="009B0130" w:rsidRDefault="00A25C74" w:rsidP="00E92750">
      <w:pPr>
        <w:numPr>
          <w:ilvl w:val="0"/>
          <w:numId w:val="13"/>
        </w:numPr>
        <w:spacing w:line="240" w:lineRule="auto"/>
        <w:ind w:left="714" w:hanging="357"/>
        <w:jc w:val="both"/>
        <w:rPr>
          <w:rFonts w:ascii="Calibri" w:eastAsia="Times New Roman" w:hAnsi="Calibri" w:cs="Times New Roman"/>
          <w:b/>
          <w:bCs/>
          <w:sz w:val="24"/>
          <w:szCs w:val="26"/>
        </w:rPr>
      </w:pPr>
      <w:r w:rsidRPr="00EA50CD">
        <w:rPr>
          <w:rFonts w:ascii="Calibri" w:eastAsia="Calibri" w:hAnsi="Calibri" w:cs="Times New Roman"/>
        </w:rPr>
        <w:t xml:space="preserve">Prelazak s EU na globalnu razinu – nova CoM inicijativa će obuhvatiti gradove i općine na </w:t>
      </w:r>
      <w:r w:rsidRPr="009B0130">
        <w:rPr>
          <w:rFonts w:ascii="Calibri" w:eastAsia="Calibri" w:hAnsi="Calibri" w:cs="Times New Roman"/>
        </w:rPr>
        <w:t>svim kontinentima stvarajući globalnu mrežu gradova spremnih na borbu za očuvanje Zemlje.</w:t>
      </w:r>
    </w:p>
    <w:p w14:paraId="631772B9" w14:textId="57140DE2" w:rsidR="00B277B2" w:rsidRPr="009B0130" w:rsidRDefault="00711032" w:rsidP="00E92750">
      <w:pPr>
        <w:pStyle w:val="Heading2"/>
        <w:spacing w:after="240"/>
        <w:rPr>
          <w:szCs w:val="24"/>
        </w:rPr>
      </w:pPr>
      <w:bookmarkStart w:id="7" w:name="_Toc468345340"/>
      <w:r w:rsidRPr="009B0130">
        <w:rPr>
          <w:szCs w:val="24"/>
        </w:rPr>
        <w:t>C</w:t>
      </w:r>
      <w:r w:rsidR="009B0130" w:rsidRPr="009B0130">
        <w:rPr>
          <w:szCs w:val="24"/>
        </w:rPr>
        <w:t>ILJEVI REVIZIJE AKCIJSKOG PLAN</w:t>
      </w:r>
      <w:r w:rsidR="009B0130">
        <w:rPr>
          <w:szCs w:val="24"/>
        </w:rPr>
        <w:t>A</w:t>
      </w:r>
      <w:bookmarkEnd w:id="7"/>
    </w:p>
    <w:p w14:paraId="3E14368B" w14:textId="52F98368" w:rsidR="00957207" w:rsidRPr="009B0130" w:rsidRDefault="0095413B" w:rsidP="00E92750">
      <w:pPr>
        <w:spacing w:after="0" w:line="240" w:lineRule="auto"/>
        <w:jc w:val="both"/>
        <w:rPr>
          <w:rFonts w:ascii="Calibri" w:eastAsia="Calibri" w:hAnsi="Calibri" w:cs="Times New Roman"/>
          <w:lang w:eastAsia="hr-HR"/>
        </w:rPr>
      </w:pPr>
      <w:r w:rsidRPr="009B0130">
        <w:rPr>
          <w:rFonts w:ascii="Calibri" w:eastAsia="Calibri" w:hAnsi="Calibri" w:cs="Times New Roman"/>
          <w:lang w:eastAsia="hr-HR"/>
        </w:rPr>
        <w:t>Pregled ciljeva</w:t>
      </w:r>
      <w:r w:rsidR="00C74F14" w:rsidRPr="009B0130">
        <w:rPr>
          <w:rFonts w:ascii="Calibri" w:eastAsia="Calibri" w:hAnsi="Calibri" w:cs="Times New Roman"/>
          <w:lang w:eastAsia="hr-HR"/>
        </w:rPr>
        <w:t xml:space="preserve"> Revizije A</w:t>
      </w:r>
      <w:r w:rsidR="00855C3B" w:rsidRPr="009B0130">
        <w:rPr>
          <w:rFonts w:ascii="Calibri" w:eastAsia="Calibri" w:hAnsi="Calibri" w:cs="Times New Roman"/>
          <w:lang w:eastAsia="hr-HR"/>
        </w:rPr>
        <w:t>kcijsko</w:t>
      </w:r>
      <w:r w:rsidR="00C74F14" w:rsidRPr="009B0130">
        <w:rPr>
          <w:rFonts w:ascii="Calibri" w:eastAsia="Calibri" w:hAnsi="Calibri" w:cs="Times New Roman"/>
          <w:lang w:eastAsia="hr-HR"/>
        </w:rPr>
        <w:t>g plana</w:t>
      </w:r>
      <w:r w:rsidR="00957207">
        <w:rPr>
          <w:rFonts w:ascii="Calibri" w:eastAsia="Calibri" w:hAnsi="Calibri" w:cs="Times New Roman"/>
          <w:lang w:eastAsia="hr-HR"/>
        </w:rPr>
        <w:t xml:space="preserve"> prema </w:t>
      </w:r>
      <w:r w:rsidR="00957207" w:rsidRPr="009B0130">
        <w:rPr>
          <w:rFonts w:ascii="Calibri" w:eastAsia="Calibri" w:hAnsi="Calibri" w:cs="Times New Roman"/>
        </w:rPr>
        <w:t>EC Priručniku za praćenje i izvještavanje o provedbi Akcijskog plana</w:t>
      </w:r>
      <w:r w:rsidR="00957207">
        <w:rPr>
          <w:rFonts w:ascii="Calibri" w:eastAsia="Calibri" w:hAnsi="Calibri" w:cs="Times New Roman"/>
        </w:rPr>
        <w:t xml:space="preserve"> dan je u nastavku</w:t>
      </w:r>
      <w:r w:rsidR="00957207" w:rsidRPr="009B0130">
        <w:rPr>
          <w:rFonts w:ascii="Calibri" w:eastAsia="Calibri" w:hAnsi="Calibri" w:cs="Times New Roman"/>
          <w:vertAlign w:val="superscript"/>
        </w:rPr>
        <w:footnoteReference w:id="6"/>
      </w:r>
      <w:r w:rsidR="00957207" w:rsidRPr="009B0130">
        <w:rPr>
          <w:rFonts w:ascii="Calibri" w:eastAsia="Calibri" w:hAnsi="Calibri" w:cs="Times New Roman"/>
        </w:rPr>
        <w:t>;</w:t>
      </w:r>
    </w:p>
    <w:p w14:paraId="0ECB128F" w14:textId="77777777" w:rsidR="00957207" w:rsidRPr="00957207" w:rsidRDefault="00957207" w:rsidP="00E92750">
      <w:pPr>
        <w:numPr>
          <w:ilvl w:val="0"/>
          <w:numId w:val="15"/>
        </w:numPr>
        <w:spacing w:after="0" w:line="240" w:lineRule="auto"/>
        <w:jc w:val="both"/>
        <w:rPr>
          <w:rFonts w:ascii="Calibri" w:eastAsia="Calibri" w:hAnsi="Calibri" w:cs="Times New Roman"/>
          <w:lang w:eastAsia="hr-HR"/>
        </w:rPr>
      </w:pPr>
      <w:r w:rsidRPr="00957207">
        <w:rPr>
          <w:rFonts w:ascii="Calibri" w:eastAsia="Calibri" w:hAnsi="Calibri" w:cs="Times New Roman"/>
          <w:lang w:eastAsia="hr-HR"/>
        </w:rPr>
        <w:t>Izraditi Kontrolni inventar emisije CO</w:t>
      </w:r>
      <w:r w:rsidRPr="00957207">
        <w:rPr>
          <w:rFonts w:ascii="Calibri" w:eastAsia="Calibri" w:hAnsi="Calibri" w:cs="Times New Roman"/>
          <w:vertAlign w:val="subscript"/>
          <w:lang w:eastAsia="hr-HR"/>
        </w:rPr>
        <w:t>2</w:t>
      </w:r>
      <w:r w:rsidRPr="00957207">
        <w:rPr>
          <w:rFonts w:ascii="Calibri" w:eastAsia="Calibri" w:hAnsi="Calibri" w:cs="Times New Roman"/>
          <w:lang w:eastAsia="hr-HR"/>
        </w:rPr>
        <w:t xml:space="preserve"> za 2015. godinu;</w:t>
      </w:r>
    </w:p>
    <w:p w14:paraId="1F93C3C7" w14:textId="77777777" w:rsidR="00957207" w:rsidRPr="00957207" w:rsidRDefault="00957207" w:rsidP="00E92750">
      <w:pPr>
        <w:numPr>
          <w:ilvl w:val="0"/>
          <w:numId w:val="15"/>
        </w:numPr>
        <w:spacing w:after="0" w:line="240" w:lineRule="auto"/>
        <w:jc w:val="both"/>
        <w:rPr>
          <w:rFonts w:ascii="Calibri" w:eastAsia="Calibri" w:hAnsi="Calibri" w:cs="Times New Roman"/>
          <w:lang w:eastAsia="hr-HR"/>
        </w:rPr>
      </w:pPr>
      <w:r w:rsidRPr="00957207">
        <w:rPr>
          <w:rFonts w:ascii="Calibri" w:eastAsia="Calibri" w:hAnsi="Calibri" w:cs="Times New Roman"/>
        </w:rPr>
        <w:t>Usporediti Referentni i Kontrolni inventar emisije CO</w:t>
      </w:r>
      <w:r w:rsidRPr="00957207">
        <w:rPr>
          <w:rFonts w:ascii="Calibri" w:eastAsia="Calibri" w:hAnsi="Calibri" w:cs="Times New Roman"/>
          <w:vertAlign w:val="subscript"/>
        </w:rPr>
        <w:t>2</w:t>
      </w:r>
      <w:r w:rsidRPr="00957207">
        <w:rPr>
          <w:rFonts w:ascii="Calibri" w:eastAsia="Calibri" w:hAnsi="Calibri" w:cs="Times New Roman"/>
        </w:rPr>
        <w:t>;</w:t>
      </w:r>
    </w:p>
    <w:p w14:paraId="276F3494" w14:textId="0F11E10B" w:rsidR="00855C3B" w:rsidRDefault="00711032" w:rsidP="00E92750">
      <w:pPr>
        <w:numPr>
          <w:ilvl w:val="0"/>
          <w:numId w:val="15"/>
        </w:numPr>
        <w:spacing w:after="0" w:line="240" w:lineRule="auto"/>
        <w:jc w:val="both"/>
        <w:rPr>
          <w:rFonts w:ascii="Calibri" w:eastAsia="Calibri" w:hAnsi="Calibri" w:cs="Times New Roman"/>
          <w:lang w:eastAsia="hr-HR"/>
        </w:rPr>
      </w:pPr>
      <w:r w:rsidRPr="009B0130">
        <w:rPr>
          <w:rFonts w:ascii="Calibri" w:eastAsia="Calibri" w:hAnsi="Calibri" w:cs="Times New Roman"/>
          <w:lang w:eastAsia="hr-HR"/>
        </w:rPr>
        <w:t xml:space="preserve">Analizirati </w:t>
      </w:r>
      <w:r w:rsidR="009B0130">
        <w:rPr>
          <w:rFonts w:ascii="Calibri" w:eastAsia="Calibri" w:hAnsi="Calibri" w:cs="Times New Roman"/>
          <w:lang w:eastAsia="hr-HR"/>
        </w:rPr>
        <w:t xml:space="preserve">uspješnost </w:t>
      </w:r>
      <w:r w:rsidR="00957207">
        <w:rPr>
          <w:rFonts w:ascii="Calibri" w:eastAsia="Calibri" w:hAnsi="Calibri" w:cs="Times New Roman"/>
          <w:lang w:eastAsia="hr-HR"/>
        </w:rPr>
        <w:t>implementacije</w:t>
      </w:r>
      <w:r w:rsidRPr="009B0130">
        <w:rPr>
          <w:rFonts w:ascii="Calibri" w:eastAsia="Calibri" w:hAnsi="Calibri" w:cs="Times New Roman"/>
          <w:lang w:eastAsia="hr-HR"/>
        </w:rPr>
        <w:t xml:space="preserve"> </w:t>
      </w:r>
      <w:r w:rsidR="00855C3B" w:rsidRPr="009B0130">
        <w:rPr>
          <w:rFonts w:ascii="Calibri" w:eastAsia="Calibri" w:hAnsi="Calibri" w:cs="Times New Roman"/>
        </w:rPr>
        <w:t>mjera za smanjenje emisija CO</w:t>
      </w:r>
      <w:r w:rsidR="00855C3B" w:rsidRPr="009B0130">
        <w:rPr>
          <w:rFonts w:ascii="Calibri" w:eastAsia="Calibri" w:hAnsi="Calibri" w:cs="Times New Roman"/>
          <w:vertAlign w:val="subscript"/>
        </w:rPr>
        <w:t>2</w:t>
      </w:r>
      <w:r w:rsidR="00855C3B" w:rsidRPr="009B0130">
        <w:rPr>
          <w:rFonts w:ascii="Calibri" w:eastAsia="Calibri" w:hAnsi="Calibri" w:cs="Times New Roman"/>
        </w:rPr>
        <w:t xml:space="preserve"> p</w:t>
      </w:r>
      <w:r w:rsidR="000009FB" w:rsidRPr="009B0130">
        <w:rPr>
          <w:rFonts w:ascii="Calibri" w:eastAsia="Calibri" w:hAnsi="Calibri" w:cs="Times New Roman"/>
        </w:rPr>
        <w:t>redloženih u Akcijskom planu</w:t>
      </w:r>
      <w:r w:rsidR="00957207">
        <w:rPr>
          <w:rFonts w:ascii="Calibri" w:eastAsia="Calibri" w:hAnsi="Calibri" w:cs="Times New Roman"/>
        </w:rPr>
        <w:t>;</w:t>
      </w:r>
    </w:p>
    <w:p w14:paraId="3BF328FB" w14:textId="5761C729" w:rsidR="00A74C01" w:rsidRPr="009B0130" w:rsidRDefault="00A74C01" w:rsidP="00E92750">
      <w:pPr>
        <w:numPr>
          <w:ilvl w:val="0"/>
          <w:numId w:val="15"/>
        </w:numPr>
        <w:spacing w:after="0" w:line="240" w:lineRule="auto"/>
        <w:jc w:val="both"/>
        <w:rPr>
          <w:rFonts w:ascii="Calibri" w:eastAsia="Calibri" w:hAnsi="Calibri" w:cs="Times New Roman"/>
          <w:lang w:eastAsia="hr-HR"/>
        </w:rPr>
      </w:pPr>
      <w:r>
        <w:rPr>
          <w:rFonts w:ascii="Calibri" w:eastAsia="Calibri" w:hAnsi="Calibri" w:cs="Times New Roman"/>
        </w:rPr>
        <w:t>Izračunati ostvareno smanjenje emisije CO</w:t>
      </w:r>
      <w:r w:rsidRPr="00A74C01">
        <w:rPr>
          <w:rFonts w:ascii="Calibri" w:eastAsia="Calibri" w:hAnsi="Calibri" w:cs="Times New Roman"/>
          <w:vertAlign w:val="subscript"/>
        </w:rPr>
        <w:t>2</w:t>
      </w:r>
      <w:r>
        <w:rPr>
          <w:rFonts w:ascii="Calibri" w:eastAsia="Calibri" w:hAnsi="Calibri" w:cs="Times New Roman"/>
        </w:rPr>
        <w:t xml:space="preserve"> na osnovu implementiranih mjera i aktivnosti;</w:t>
      </w:r>
    </w:p>
    <w:p w14:paraId="6EF2A899" w14:textId="65E62629" w:rsidR="00C74F14" w:rsidRPr="009B0130" w:rsidRDefault="00C74F14" w:rsidP="00E92750">
      <w:pPr>
        <w:numPr>
          <w:ilvl w:val="0"/>
          <w:numId w:val="15"/>
        </w:numPr>
        <w:spacing w:after="0" w:line="240" w:lineRule="auto"/>
        <w:jc w:val="both"/>
        <w:rPr>
          <w:rFonts w:ascii="Calibri" w:eastAsia="Calibri" w:hAnsi="Calibri" w:cs="Times New Roman"/>
          <w:lang w:eastAsia="hr-HR"/>
        </w:rPr>
      </w:pPr>
      <w:r w:rsidRPr="009B0130">
        <w:rPr>
          <w:rFonts w:ascii="Calibri" w:eastAsia="Calibri" w:hAnsi="Calibri" w:cs="Times New Roman"/>
        </w:rPr>
        <w:t>Provesti Analizu uspješnosti provedb</w:t>
      </w:r>
      <w:r w:rsidR="009B0130" w:rsidRPr="009B0130">
        <w:rPr>
          <w:rFonts w:ascii="Calibri" w:eastAsia="Calibri" w:hAnsi="Calibri" w:cs="Times New Roman"/>
        </w:rPr>
        <w:t xml:space="preserve">e Akcijskog plana </w:t>
      </w:r>
      <w:r w:rsidR="00EF5B29">
        <w:rPr>
          <w:rFonts w:ascii="Calibri" w:eastAsia="Calibri" w:hAnsi="Calibri" w:cs="Times New Roman"/>
        </w:rPr>
        <w:t>„na pola puta“</w:t>
      </w:r>
      <w:r w:rsidR="00EF5B29">
        <w:rPr>
          <w:rStyle w:val="FootnoteReference"/>
          <w:rFonts w:ascii="Calibri" w:eastAsia="Calibri" w:hAnsi="Calibri"/>
        </w:rPr>
        <w:footnoteReference w:id="7"/>
      </w:r>
      <w:r w:rsidR="00EF5B29">
        <w:rPr>
          <w:rFonts w:ascii="Calibri" w:eastAsia="Calibri" w:hAnsi="Calibri" w:cs="Times New Roman"/>
        </w:rPr>
        <w:t xml:space="preserve"> </w:t>
      </w:r>
      <w:r w:rsidR="009B0130" w:rsidRPr="009B0130">
        <w:rPr>
          <w:rFonts w:ascii="Calibri" w:eastAsia="Calibri" w:hAnsi="Calibri" w:cs="Times New Roman"/>
        </w:rPr>
        <w:t>(</w:t>
      </w:r>
      <w:r w:rsidR="002162CC">
        <w:rPr>
          <w:rFonts w:ascii="Calibri" w:eastAsia="Calibri" w:hAnsi="Calibri" w:cs="Times New Roman"/>
        </w:rPr>
        <w:t>izračun</w:t>
      </w:r>
      <w:r w:rsidR="00A74C01">
        <w:rPr>
          <w:rFonts w:ascii="Calibri" w:eastAsia="Calibri" w:hAnsi="Calibri" w:cs="Times New Roman"/>
        </w:rPr>
        <w:t xml:space="preserve"> </w:t>
      </w:r>
      <w:r w:rsidR="009B0130" w:rsidRPr="009B0130">
        <w:rPr>
          <w:rFonts w:ascii="Calibri" w:eastAsia="Calibri" w:hAnsi="Calibri" w:cs="Times New Roman"/>
        </w:rPr>
        <w:t>% ostvarenog</w:t>
      </w:r>
      <w:r w:rsidRPr="009B0130">
        <w:rPr>
          <w:rFonts w:ascii="Calibri" w:eastAsia="Calibri" w:hAnsi="Calibri" w:cs="Times New Roman"/>
        </w:rPr>
        <w:t xml:space="preserve"> postavljeno</w:t>
      </w:r>
      <w:r w:rsidR="009B0130" w:rsidRPr="009B0130">
        <w:rPr>
          <w:rFonts w:ascii="Calibri" w:eastAsia="Calibri" w:hAnsi="Calibri" w:cs="Times New Roman"/>
        </w:rPr>
        <w:t xml:space="preserve">g indikativnog cilja smanjenja </w:t>
      </w:r>
      <w:r w:rsidR="002162CC">
        <w:rPr>
          <w:rFonts w:ascii="Calibri" w:eastAsia="Calibri" w:hAnsi="Calibri" w:cs="Times New Roman"/>
        </w:rPr>
        <w:t>CO</w:t>
      </w:r>
      <w:r w:rsidR="002162CC" w:rsidRPr="002162CC">
        <w:rPr>
          <w:rFonts w:ascii="Calibri" w:eastAsia="Calibri" w:hAnsi="Calibri" w:cs="Times New Roman"/>
          <w:vertAlign w:val="subscript"/>
        </w:rPr>
        <w:t>2</w:t>
      </w:r>
      <w:r w:rsidRPr="009B0130">
        <w:rPr>
          <w:rFonts w:ascii="Calibri" w:eastAsia="Calibri" w:hAnsi="Calibri" w:cs="Times New Roman"/>
        </w:rPr>
        <w:t>);</w:t>
      </w:r>
    </w:p>
    <w:p w14:paraId="3B041DC2" w14:textId="62A27C43" w:rsidR="00C74F14" w:rsidRPr="00EF5B29" w:rsidRDefault="002162CC" w:rsidP="00E92750">
      <w:pPr>
        <w:numPr>
          <w:ilvl w:val="0"/>
          <w:numId w:val="15"/>
        </w:numPr>
        <w:spacing w:after="0" w:line="240" w:lineRule="auto"/>
        <w:jc w:val="both"/>
        <w:rPr>
          <w:rFonts w:ascii="Calibri" w:eastAsia="Calibri" w:hAnsi="Calibri" w:cs="Times New Roman"/>
          <w:b/>
          <w:lang w:eastAsia="hr-HR"/>
        </w:rPr>
      </w:pPr>
      <w:r>
        <w:rPr>
          <w:rFonts w:ascii="Calibri" w:eastAsia="Calibri" w:hAnsi="Calibri" w:cs="Times New Roman"/>
        </w:rPr>
        <w:lastRenderedPageBreak/>
        <w:t>Napraviti P</w:t>
      </w:r>
      <w:r w:rsidR="00C74F14" w:rsidRPr="009B0130">
        <w:rPr>
          <w:rFonts w:ascii="Calibri" w:eastAsia="Calibri" w:hAnsi="Calibri" w:cs="Times New Roman"/>
        </w:rPr>
        <w:t xml:space="preserve">rojekcije </w:t>
      </w:r>
      <w:r w:rsidR="00EF5B29">
        <w:rPr>
          <w:rFonts w:ascii="Calibri" w:eastAsia="Calibri" w:hAnsi="Calibri" w:cs="Times New Roman"/>
        </w:rPr>
        <w:t>očekivanog smanjenja emisije CO</w:t>
      </w:r>
      <w:r w:rsidR="00EF5B29" w:rsidRPr="00EF5B29">
        <w:rPr>
          <w:rFonts w:ascii="Calibri" w:eastAsia="Calibri" w:hAnsi="Calibri" w:cs="Times New Roman"/>
          <w:vertAlign w:val="subscript"/>
        </w:rPr>
        <w:t>2</w:t>
      </w:r>
      <w:r w:rsidR="00C74F14" w:rsidRPr="009B0130">
        <w:rPr>
          <w:rFonts w:ascii="Calibri" w:eastAsia="Calibri" w:hAnsi="Calibri" w:cs="Times New Roman"/>
        </w:rPr>
        <w:t xml:space="preserve"> u 2020. godini </w:t>
      </w:r>
      <w:r w:rsidR="00957207">
        <w:rPr>
          <w:rFonts w:ascii="Calibri" w:eastAsia="Calibri" w:hAnsi="Calibri" w:cs="Times New Roman"/>
        </w:rPr>
        <w:t xml:space="preserve">na osnovu </w:t>
      </w:r>
      <w:r w:rsidR="00EF5B29">
        <w:rPr>
          <w:rFonts w:ascii="Calibri" w:eastAsia="Calibri" w:hAnsi="Calibri" w:cs="Times New Roman"/>
        </w:rPr>
        <w:t>mjera i aktivnosti čija je implementacija završena ili u fazi provedbe</w:t>
      </w:r>
      <w:r>
        <w:rPr>
          <w:rFonts w:ascii="Calibri" w:eastAsia="Calibri" w:hAnsi="Calibri" w:cs="Times New Roman"/>
        </w:rPr>
        <w:t xml:space="preserve"> – </w:t>
      </w:r>
      <w:r w:rsidRPr="00EF5B29">
        <w:rPr>
          <w:rFonts w:ascii="Calibri" w:eastAsia="Calibri" w:hAnsi="Calibri" w:cs="Times New Roman"/>
          <w:b/>
        </w:rPr>
        <w:t>odgovor na pitanje da li će Grad Zagreb ispuniti postavljen indikativni cilj smanjenja emisije CO</w:t>
      </w:r>
      <w:r w:rsidRPr="00EF5B29">
        <w:rPr>
          <w:rFonts w:ascii="Calibri" w:eastAsia="Calibri" w:hAnsi="Calibri" w:cs="Times New Roman"/>
          <w:b/>
          <w:vertAlign w:val="subscript"/>
        </w:rPr>
        <w:t xml:space="preserve">2 </w:t>
      </w:r>
      <w:r w:rsidRPr="00EF5B29">
        <w:rPr>
          <w:rFonts w:ascii="Calibri" w:eastAsia="Calibri" w:hAnsi="Calibri" w:cs="Times New Roman"/>
          <w:b/>
        </w:rPr>
        <w:t>od 21% u odnosu na 2008. godinu;</w:t>
      </w:r>
    </w:p>
    <w:p w14:paraId="66019BDC" w14:textId="5B735B26" w:rsidR="00B061BB" w:rsidRPr="00B061BB" w:rsidRDefault="00855C3B" w:rsidP="00E92750">
      <w:pPr>
        <w:numPr>
          <w:ilvl w:val="0"/>
          <w:numId w:val="15"/>
        </w:numPr>
        <w:spacing w:after="0" w:line="240" w:lineRule="auto"/>
        <w:jc w:val="both"/>
        <w:rPr>
          <w:rFonts w:ascii="Calibri" w:eastAsia="Calibri" w:hAnsi="Calibri" w:cs="Times New Roman"/>
          <w:lang w:eastAsia="hr-HR"/>
        </w:rPr>
      </w:pPr>
      <w:r w:rsidRPr="00B061BB">
        <w:rPr>
          <w:rFonts w:ascii="Calibri" w:eastAsia="Calibri" w:hAnsi="Calibri" w:cs="Times New Roman"/>
        </w:rPr>
        <w:t xml:space="preserve">Predložiti nove mehanizme financiranja projekata energetske učinkovitosti i korištenja obnovljivih izvora u svim sektorima energetske potrošnje Grada </w:t>
      </w:r>
      <w:r w:rsidR="000F64C5" w:rsidRPr="00B061BB">
        <w:rPr>
          <w:rFonts w:ascii="Calibri" w:eastAsia="Calibri" w:hAnsi="Calibri" w:cs="Times New Roman"/>
        </w:rPr>
        <w:t>Zagreba</w:t>
      </w:r>
      <w:r w:rsidR="00B061BB" w:rsidRPr="00B061BB">
        <w:rPr>
          <w:rFonts w:ascii="Calibri" w:eastAsia="Calibri" w:hAnsi="Calibri" w:cs="Times New Roman"/>
        </w:rPr>
        <w:t xml:space="preserve"> i</w:t>
      </w:r>
    </w:p>
    <w:p w14:paraId="7CF6B36C" w14:textId="66C53AAF" w:rsidR="00957207" w:rsidRPr="00B061BB" w:rsidRDefault="00957207" w:rsidP="00E92750">
      <w:pPr>
        <w:numPr>
          <w:ilvl w:val="0"/>
          <w:numId w:val="15"/>
        </w:numPr>
        <w:spacing w:line="240" w:lineRule="auto"/>
        <w:jc w:val="both"/>
        <w:rPr>
          <w:rFonts w:ascii="Calibri" w:eastAsia="Calibri" w:hAnsi="Calibri" w:cs="Times New Roman"/>
          <w:lang w:eastAsia="hr-HR"/>
        </w:rPr>
      </w:pPr>
      <w:r w:rsidRPr="00B061BB">
        <w:rPr>
          <w:rFonts w:ascii="Calibri" w:eastAsia="Calibri" w:hAnsi="Calibri" w:cs="Times New Roman"/>
          <w:lang w:eastAsia="hr-HR"/>
        </w:rPr>
        <w:t>Ispuniti obvezu o praćenju i kontroli provedbe Akcijskog plana prema uvjetima pristupanja Sporazumu gradonačelnika.</w:t>
      </w:r>
    </w:p>
    <w:p w14:paraId="769662C0" w14:textId="5D0BAE0D" w:rsidR="00855C3B" w:rsidRPr="00B061BB" w:rsidRDefault="00855C3B" w:rsidP="00E92750">
      <w:pPr>
        <w:spacing w:line="240" w:lineRule="auto"/>
        <w:jc w:val="both"/>
        <w:rPr>
          <w:rFonts w:ascii="Calibri" w:eastAsia="Calibri" w:hAnsi="Calibri" w:cs="Times New Roman"/>
          <w:lang w:eastAsia="hr-HR"/>
        </w:rPr>
      </w:pPr>
      <w:r w:rsidRPr="00B061BB">
        <w:rPr>
          <w:rFonts w:ascii="Calibri" w:eastAsia="Calibri" w:hAnsi="Calibri" w:cs="Times New Roman"/>
          <w:lang w:eastAsia="hr-HR"/>
        </w:rPr>
        <w:t xml:space="preserve">Uspješnim ispunjenjem postavljenih ciljeva, znatno će se unaprijediti energetski razvitak Grada </w:t>
      </w:r>
      <w:r w:rsidR="000F64C5" w:rsidRPr="00B061BB">
        <w:rPr>
          <w:rFonts w:ascii="Calibri" w:eastAsia="Calibri" w:hAnsi="Calibri" w:cs="Times New Roman"/>
          <w:lang w:eastAsia="hr-HR"/>
        </w:rPr>
        <w:t>Zagreba</w:t>
      </w:r>
      <w:r w:rsidRPr="00B061BB">
        <w:rPr>
          <w:rFonts w:ascii="Calibri" w:eastAsia="Calibri" w:hAnsi="Calibri" w:cs="Times New Roman"/>
          <w:lang w:eastAsia="hr-HR"/>
        </w:rPr>
        <w:t xml:space="preserve"> od čega će direktnu ili indirektnu korist imati svi njegovi građani.</w:t>
      </w:r>
      <w:r w:rsidR="009B0130" w:rsidRPr="00B061BB">
        <w:rPr>
          <w:rFonts w:ascii="Calibri" w:eastAsia="Calibri" w:hAnsi="Calibri" w:cs="Times New Roman"/>
          <w:lang w:eastAsia="hr-HR"/>
        </w:rPr>
        <w:t xml:space="preserve"> </w:t>
      </w:r>
    </w:p>
    <w:p w14:paraId="02574CBD" w14:textId="38DCBDB8" w:rsidR="002409AF" w:rsidRPr="00AA230E" w:rsidRDefault="00B277B2" w:rsidP="00E92750">
      <w:pPr>
        <w:pStyle w:val="Heading2"/>
        <w:spacing w:after="240"/>
        <w:rPr>
          <w:rFonts w:cstheme="majorBidi"/>
          <w:szCs w:val="24"/>
        </w:rPr>
      </w:pPr>
      <w:bookmarkStart w:id="8" w:name="_Toc468345341"/>
      <w:r w:rsidRPr="00AA230E">
        <w:rPr>
          <w:szCs w:val="24"/>
        </w:rPr>
        <w:t>E</w:t>
      </w:r>
      <w:r w:rsidR="00CA6880">
        <w:rPr>
          <w:szCs w:val="24"/>
        </w:rPr>
        <w:t>NER</w:t>
      </w:r>
      <w:r w:rsidR="00AA230E" w:rsidRPr="00AA230E">
        <w:rPr>
          <w:szCs w:val="24"/>
        </w:rPr>
        <w:t>G</w:t>
      </w:r>
      <w:r w:rsidR="00CA6880">
        <w:rPr>
          <w:szCs w:val="24"/>
        </w:rPr>
        <w:t>E</w:t>
      </w:r>
      <w:r w:rsidR="00AA230E" w:rsidRPr="00AA230E">
        <w:rPr>
          <w:szCs w:val="24"/>
        </w:rPr>
        <w:t>TSKA POLITIKA GRADA ZAGREBA</w:t>
      </w:r>
      <w:bookmarkEnd w:id="8"/>
    </w:p>
    <w:p w14:paraId="6A279698" w14:textId="1829EE3F" w:rsidR="00306087" w:rsidRPr="00AA230E" w:rsidRDefault="007F3FCE" w:rsidP="00E92750">
      <w:pPr>
        <w:autoSpaceDE w:val="0"/>
        <w:autoSpaceDN w:val="0"/>
        <w:adjustRightInd w:val="0"/>
        <w:spacing w:line="240" w:lineRule="auto"/>
        <w:jc w:val="both"/>
      </w:pPr>
      <w:r w:rsidRPr="00AA230E">
        <w:rPr>
          <w:rFonts w:ascii="Calibri" w:eastAsia="Calibri" w:hAnsi="Calibri" w:cs="Times New Roman"/>
        </w:rPr>
        <w:t xml:space="preserve">Energetska politika Grada </w:t>
      </w:r>
      <w:r w:rsidR="000F64C5" w:rsidRPr="00AA230E">
        <w:rPr>
          <w:rFonts w:ascii="Calibri" w:eastAsia="Calibri" w:hAnsi="Calibri" w:cs="Times New Roman"/>
        </w:rPr>
        <w:t>Zagreba</w:t>
      </w:r>
      <w:r w:rsidRPr="00AA230E">
        <w:rPr>
          <w:rFonts w:ascii="Calibri" w:eastAsia="Calibri" w:hAnsi="Calibri" w:cs="Times New Roman"/>
        </w:rPr>
        <w:t xml:space="preserve"> dugi je niz godina usmjerena prema održivom energetskom razvitku gradskog područja baziranom na načelima zaštite okoliša, energetske učinkovitosti, korištenja obnovljivih izvora energije i održive gradnje. Grad </w:t>
      </w:r>
      <w:r w:rsidR="000F64C5" w:rsidRPr="00AA230E">
        <w:rPr>
          <w:rFonts w:ascii="Calibri" w:eastAsia="Calibri" w:hAnsi="Calibri" w:cs="Times New Roman"/>
        </w:rPr>
        <w:t>Zagreb</w:t>
      </w:r>
      <w:r w:rsidRPr="00AA230E">
        <w:rPr>
          <w:rFonts w:ascii="Calibri" w:eastAsia="Calibri" w:hAnsi="Calibri" w:cs="Times New Roman"/>
        </w:rPr>
        <w:t xml:space="preserve"> pristupio je</w:t>
      </w:r>
      <w:r w:rsidR="00CC64F7" w:rsidRPr="00AA230E">
        <w:rPr>
          <w:rFonts w:ascii="Calibri" w:eastAsia="Calibri" w:hAnsi="Calibri" w:cs="Times New Roman"/>
        </w:rPr>
        <w:t xml:space="preserve"> Sporazumu</w:t>
      </w:r>
      <w:r w:rsidR="006D2BE8" w:rsidRPr="00AA230E">
        <w:rPr>
          <w:rFonts w:ascii="Calibri" w:eastAsia="Calibri" w:hAnsi="Calibri" w:cs="Times New Roman"/>
        </w:rPr>
        <w:t xml:space="preserve"> gradonačelnika još 30. listopada</w:t>
      </w:r>
      <w:r w:rsidR="00CC64F7" w:rsidRPr="00AA230E">
        <w:rPr>
          <w:rFonts w:ascii="Calibri" w:eastAsia="Calibri" w:hAnsi="Calibri" w:cs="Times New Roman"/>
        </w:rPr>
        <w:t xml:space="preserve"> 2008</w:t>
      </w:r>
      <w:r w:rsidRPr="00AA230E">
        <w:rPr>
          <w:rFonts w:ascii="Calibri" w:eastAsia="Calibri" w:hAnsi="Calibri" w:cs="Times New Roman"/>
        </w:rPr>
        <w:t>. godine čime je njegova energetska politika dobila svoju potvrdu i na europskoj razini.</w:t>
      </w:r>
      <w:r w:rsidR="00306087" w:rsidRPr="00AA230E">
        <w:rPr>
          <w:rFonts w:ascii="Calibri" w:eastAsia="Calibri" w:hAnsi="Calibri" w:cs="Times New Roman"/>
        </w:rPr>
        <w:t xml:space="preserve"> </w:t>
      </w:r>
    </w:p>
    <w:p w14:paraId="0BC93E4F" w14:textId="7B03954E" w:rsidR="007F3FCE" w:rsidRPr="00AA230E" w:rsidRDefault="007F3FCE" w:rsidP="00E92750">
      <w:pPr>
        <w:autoSpaceDE w:val="0"/>
        <w:autoSpaceDN w:val="0"/>
        <w:adjustRightInd w:val="0"/>
        <w:spacing w:line="240" w:lineRule="auto"/>
        <w:jc w:val="both"/>
        <w:rPr>
          <w:rFonts w:ascii="Calibri" w:eastAsia="Calibri" w:hAnsi="Calibri" w:cs="Calibri"/>
        </w:rPr>
      </w:pPr>
      <w:r w:rsidRPr="00AA230E">
        <w:rPr>
          <w:rFonts w:ascii="Calibri" w:eastAsia="Calibri" w:hAnsi="Calibri" w:cs="Times New Roman"/>
        </w:rPr>
        <w:t>Uz izradu Akcijskog plana koji je formalno usvoje</w:t>
      </w:r>
      <w:r w:rsidR="00AA230E" w:rsidRPr="00AA230E">
        <w:rPr>
          <w:rFonts w:ascii="Calibri" w:eastAsia="Calibri" w:hAnsi="Calibri" w:cs="Times New Roman"/>
        </w:rPr>
        <w:t>n na sjednici Gradskog vijeća 20</w:t>
      </w:r>
      <w:r w:rsidR="00CC64F7" w:rsidRPr="00AA230E">
        <w:rPr>
          <w:rFonts w:ascii="Calibri" w:eastAsia="Calibri" w:hAnsi="Calibri" w:cs="Times New Roman"/>
        </w:rPr>
        <w:t>. trav</w:t>
      </w:r>
      <w:r w:rsidRPr="00AA230E">
        <w:rPr>
          <w:rFonts w:ascii="Calibri" w:eastAsia="Calibri" w:hAnsi="Calibri" w:cs="Times New Roman"/>
        </w:rPr>
        <w:t>nja 2010. godine te donošenje svih ostalih relevantnih planskih i strateških dokumenata</w:t>
      </w:r>
      <w:r w:rsidRPr="00AA230E">
        <w:rPr>
          <w:rStyle w:val="FootnoteReference"/>
          <w:rFonts w:ascii="Calibri" w:eastAsia="Calibri" w:hAnsi="Calibri"/>
        </w:rPr>
        <w:footnoteReference w:id="8"/>
      </w:r>
      <w:r w:rsidRPr="00AA230E">
        <w:rPr>
          <w:rFonts w:ascii="Calibri" w:eastAsia="Calibri" w:hAnsi="Calibri" w:cs="Times New Roman"/>
        </w:rPr>
        <w:t xml:space="preserve">, Grad </w:t>
      </w:r>
      <w:r w:rsidR="000F64C5" w:rsidRPr="00AA230E">
        <w:rPr>
          <w:rFonts w:ascii="Calibri" w:eastAsia="Calibri" w:hAnsi="Calibri" w:cs="Times New Roman"/>
        </w:rPr>
        <w:t>Zagreb</w:t>
      </w:r>
      <w:r w:rsidRPr="00AA230E">
        <w:rPr>
          <w:rFonts w:ascii="Calibri" w:eastAsia="Calibri" w:hAnsi="Calibri" w:cs="Times New Roman"/>
        </w:rPr>
        <w:t xml:space="preserve"> je do sada proveo i cijeli niz značajnih projekata</w:t>
      </w:r>
      <w:r w:rsidR="008A5C21" w:rsidRPr="00AA230E">
        <w:rPr>
          <w:rFonts w:ascii="Calibri" w:eastAsia="Calibri" w:hAnsi="Calibri" w:cs="Times New Roman"/>
        </w:rPr>
        <w:t xml:space="preserve"> te pristupio nizu važnih sporazuma</w:t>
      </w:r>
      <w:r w:rsidRPr="00AA230E">
        <w:rPr>
          <w:rFonts w:ascii="Calibri" w:eastAsia="Calibri" w:hAnsi="Calibri" w:cs="Times New Roman"/>
        </w:rPr>
        <w:t xml:space="preserve"> od kojih se mogu </w:t>
      </w:r>
      <w:r w:rsidRPr="00AA230E">
        <w:rPr>
          <w:rFonts w:ascii="Calibri" w:eastAsia="Calibri" w:hAnsi="Calibri" w:cs="Calibri"/>
        </w:rPr>
        <w:t>izdvojiti:</w:t>
      </w:r>
    </w:p>
    <w:p w14:paraId="7E47C499" w14:textId="24AEAEAF" w:rsidR="00156D36" w:rsidRPr="00AA230E" w:rsidRDefault="00156D36" w:rsidP="00E92750">
      <w:pPr>
        <w:pStyle w:val="ListParagraph"/>
        <w:numPr>
          <w:ilvl w:val="0"/>
          <w:numId w:val="3"/>
        </w:numPr>
        <w:autoSpaceDE w:val="0"/>
        <w:autoSpaceDN w:val="0"/>
        <w:adjustRightInd w:val="0"/>
        <w:spacing w:line="240" w:lineRule="auto"/>
        <w:jc w:val="both"/>
        <w:rPr>
          <w:rFonts w:cs="Calibri"/>
        </w:rPr>
      </w:pPr>
      <w:r w:rsidRPr="00AA230E">
        <w:rPr>
          <w:rFonts w:cs="Calibri"/>
        </w:rPr>
        <w:t>Odlukom Gradske skupštine Grada Zagreba od 25. studenog 2008. godine, Grad Zagreb je pristupio u punopravno članstvo udruge „</w:t>
      </w:r>
      <w:r w:rsidRPr="00DB06BE">
        <w:rPr>
          <w:rFonts w:cs="Calibri"/>
          <w:lang w:val="en-US"/>
        </w:rPr>
        <w:t>Energie-cités</w:t>
      </w:r>
      <w:r w:rsidRPr="00AA230E">
        <w:rPr>
          <w:rFonts w:cs="Calibri"/>
        </w:rPr>
        <w:t>, organizacije koja povezuje jedinice lokalnih i regionalnih vlasti koj</w:t>
      </w:r>
      <w:r w:rsidR="00AA230E" w:rsidRPr="00AA230E">
        <w:rPr>
          <w:rFonts w:cs="Calibri"/>
        </w:rPr>
        <w:t>e brinu</w:t>
      </w:r>
      <w:r w:rsidRPr="00AA230E">
        <w:rPr>
          <w:rFonts w:cs="Calibri"/>
        </w:rPr>
        <w:t xml:space="preserve"> o racionalnom korištenju energije i primjeni mjera energetske učinkovitosti: održivih izvora energije i zaštiti okoliša.</w:t>
      </w:r>
    </w:p>
    <w:p w14:paraId="2E01F75B" w14:textId="78A15072" w:rsidR="008A5C21" w:rsidRPr="00C7309A" w:rsidRDefault="008A5C21" w:rsidP="00E92750">
      <w:pPr>
        <w:pStyle w:val="ListParagraph"/>
        <w:numPr>
          <w:ilvl w:val="0"/>
          <w:numId w:val="3"/>
        </w:numPr>
        <w:autoSpaceDE w:val="0"/>
        <w:autoSpaceDN w:val="0"/>
        <w:adjustRightInd w:val="0"/>
        <w:spacing w:line="240" w:lineRule="auto"/>
        <w:jc w:val="both"/>
        <w:rPr>
          <w:rFonts w:asciiTheme="minorHAnsi" w:hAnsiTheme="minorHAnsi"/>
        </w:rPr>
      </w:pPr>
      <w:r w:rsidRPr="00AA230E">
        <w:rPr>
          <w:rFonts w:asciiTheme="minorHAnsi" w:eastAsia="Times New Roman" w:hAnsiTheme="minorHAnsi"/>
          <w:lang w:eastAsia="hr-HR"/>
        </w:rPr>
        <w:t xml:space="preserve">Grad </w:t>
      </w:r>
      <w:r w:rsidR="000F64C5" w:rsidRPr="00AA230E">
        <w:rPr>
          <w:rFonts w:asciiTheme="minorHAnsi" w:eastAsia="Times New Roman" w:hAnsiTheme="minorHAnsi"/>
          <w:lang w:eastAsia="hr-HR"/>
        </w:rPr>
        <w:t>Zagreb</w:t>
      </w:r>
      <w:r w:rsidRPr="00AA230E">
        <w:rPr>
          <w:rFonts w:asciiTheme="minorHAnsi" w:eastAsia="Times New Roman" w:hAnsiTheme="minorHAnsi"/>
          <w:lang w:eastAsia="hr-HR"/>
        </w:rPr>
        <w:t xml:space="preserve"> potpisao je </w:t>
      </w:r>
      <w:r w:rsidRPr="00F90C47">
        <w:rPr>
          <w:rFonts w:asciiTheme="minorHAnsi" w:eastAsia="Times New Roman" w:hAnsiTheme="minorHAnsi"/>
          <w:lang w:eastAsia="hr-HR"/>
        </w:rPr>
        <w:t>Energetsku povelju gradonačelnika i župana</w:t>
      </w:r>
      <w:r w:rsidRPr="00AA230E">
        <w:rPr>
          <w:rFonts w:asciiTheme="minorHAnsi" w:eastAsia="Times New Roman" w:hAnsiTheme="minorHAnsi"/>
          <w:lang w:eastAsia="hr-HR"/>
        </w:rPr>
        <w:t xml:space="preserve"> kojom se obvezao na povećanje energetske učinkovitost</w:t>
      </w:r>
      <w:r w:rsidR="00DB06BE">
        <w:rPr>
          <w:rFonts w:asciiTheme="minorHAnsi" w:eastAsia="Times New Roman" w:hAnsiTheme="minorHAnsi"/>
          <w:lang w:eastAsia="hr-HR"/>
        </w:rPr>
        <w:t>i</w:t>
      </w:r>
      <w:r w:rsidRPr="00AA230E">
        <w:rPr>
          <w:rFonts w:asciiTheme="minorHAnsi" w:eastAsia="Times New Roman" w:hAnsiTheme="minorHAnsi"/>
          <w:lang w:eastAsia="hr-HR"/>
        </w:rPr>
        <w:t xml:space="preserve">, upotrebu obnovljivih izvora energije te sustavno </w:t>
      </w:r>
      <w:r w:rsidRPr="00C7309A">
        <w:rPr>
          <w:rFonts w:asciiTheme="minorHAnsi" w:eastAsia="Times New Roman" w:hAnsiTheme="minorHAnsi"/>
          <w:lang w:eastAsia="hr-HR"/>
        </w:rPr>
        <w:t>gospodarenje energijom s ciljem zaštite okoliša i održivog razvoja uz istovremenu ra</w:t>
      </w:r>
      <w:r w:rsidR="00AA230E" w:rsidRPr="00C7309A">
        <w:rPr>
          <w:rFonts w:asciiTheme="minorHAnsi" w:eastAsia="Times New Roman" w:hAnsiTheme="minorHAnsi"/>
          <w:lang w:eastAsia="hr-HR"/>
        </w:rPr>
        <w:t>cionalizaciju troškova energije.</w:t>
      </w:r>
    </w:p>
    <w:p w14:paraId="76C305EE" w14:textId="16BBC8BA" w:rsidR="003748D7" w:rsidRPr="007F1222" w:rsidRDefault="003748D7" w:rsidP="00E92750">
      <w:pPr>
        <w:pStyle w:val="ListParagraph"/>
        <w:numPr>
          <w:ilvl w:val="0"/>
          <w:numId w:val="3"/>
        </w:numPr>
        <w:autoSpaceDE w:val="0"/>
        <w:autoSpaceDN w:val="0"/>
        <w:adjustRightInd w:val="0"/>
        <w:spacing w:after="240" w:line="240" w:lineRule="auto"/>
        <w:jc w:val="both"/>
        <w:rPr>
          <w:rFonts w:asciiTheme="minorHAnsi" w:hAnsiTheme="minorHAnsi" w:cs="Arial"/>
          <w:bCs/>
        </w:rPr>
      </w:pPr>
      <w:r w:rsidRPr="00C7309A">
        <w:rPr>
          <w:rFonts w:cs="Arial"/>
          <w:bCs/>
        </w:rPr>
        <w:t>Grad Zagreb je uveo praćenje potrošnje energije u svim objektima javne namjene korištenjem Nacionalnog informacijskog sustava</w:t>
      </w:r>
      <w:r w:rsidR="00491B0C">
        <w:rPr>
          <w:rFonts w:cs="Arial"/>
          <w:bCs/>
        </w:rPr>
        <w:t xml:space="preserve"> za gospodarenje energijom</w:t>
      </w:r>
      <w:r w:rsidRPr="00C7309A">
        <w:rPr>
          <w:rFonts w:cs="Arial"/>
          <w:bCs/>
        </w:rPr>
        <w:t xml:space="preserve"> (ISGE-a) </w:t>
      </w:r>
      <w:r w:rsidR="00C7309A" w:rsidRPr="00C7309A">
        <w:rPr>
          <w:rFonts w:cs="Arial"/>
          <w:bCs/>
        </w:rPr>
        <w:t xml:space="preserve">te je uveo sustav daljinskog mjerenja potrošnje </w:t>
      </w:r>
      <w:r w:rsidR="00491B0C">
        <w:rPr>
          <w:rFonts w:cs="Arial"/>
          <w:bCs/>
        </w:rPr>
        <w:t>u</w:t>
      </w:r>
      <w:r w:rsidR="00491B0C" w:rsidRPr="00C7309A">
        <w:rPr>
          <w:rFonts w:cs="Arial"/>
          <w:bCs/>
        </w:rPr>
        <w:t xml:space="preserve"> </w:t>
      </w:r>
      <w:r w:rsidR="00C7309A" w:rsidRPr="00C7309A">
        <w:rPr>
          <w:rFonts w:cs="Arial"/>
          <w:bCs/>
        </w:rPr>
        <w:t xml:space="preserve">13 objekata u vlasništvu ili pod upravljanjem Grada </w:t>
      </w:r>
      <w:r w:rsidRPr="00C7309A">
        <w:rPr>
          <w:rFonts w:cs="Arial"/>
          <w:bCs/>
        </w:rPr>
        <w:t xml:space="preserve">čime je uvedena </w:t>
      </w:r>
      <w:r w:rsidRPr="007F1222">
        <w:rPr>
          <w:rFonts w:cs="Arial"/>
          <w:bCs/>
        </w:rPr>
        <w:t>kontrola nad potrošnjom i troškovima energenata što je posljedično dovelo d</w:t>
      </w:r>
      <w:r w:rsidR="00C7309A" w:rsidRPr="007F1222">
        <w:rPr>
          <w:rFonts w:cs="Arial"/>
          <w:bCs/>
        </w:rPr>
        <w:t>o smanjenja potrošnje energije.</w:t>
      </w:r>
      <w:r w:rsidR="00463BB2" w:rsidRPr="007F1222">
        <w:rPr>
          <w:rFonts w:cs="Arial"/>
          <w:bCs/>
        </w:rPr>
        <w:t xml:space="preserve"> </w:t>
      </w:r>
    </w:p>
    <w:p w14:paraId="4112A8CC" w14:textId="29B7EACB" w:rsidR="003748D7" w:rsidRPr="007F1222" w:rsidRDefault="008A5C21" w:rsidP="00E92750">
      <w:pPr>
        <w:pStyle w:val="ListParagraph"/>
        <w:numPr>
          <w:ilvl w:val="0"/>
          <w:numId w:val="3"/>
        </w:numPr>
        <w:autoSpaceDE w:val="0"/>
        <w:autoSpaceDN w:val="0"/>
        <w:adjustRightInd w:val="0"/>
        <w:spacing w:line="240" w:lineRule="auto"/>
        <w:jc w:val="both"/>
        <w:rPr>
          <w:rFonts w:asciiTheme="minorHAnsi" w:hAnsiTheme="minorHAnsi"/>
        </w:rPr>
      </w:pPr>
      <w:r w:rsidRPr="007F1222">
        <w:rPr>
          <w:rFonts w:asciiTheme="minorHAnsi" w:eastAsia="Times New Roman" w:hAnsiTheme="minorHAnsi"/>
          <w:lang w:eastAsia="hr-HR"/>
        </w:rPr>
        <w:t xml:space="preserve">U travnju 2011. godine Grad </w:t>
      </w:r>
      <w:r w:rsidR="000F64C5" w:rsidRPr="007F1222">
        <w:rPr>
          <w:rFonts w:asciiTheme="minorHAnsi" w:eastAsia="Times New Roman" w:hAnsiTheme="minorHAnsi"/>
          <w:lang w:eastAsia="hr-HR"/>
        </w:rPr>
        <w:t>Zagreb</w:t>
      </w:r>
      <w:r w:rsidRPr="007F1222">
        <w:rPr>
          <w:rFonts w:asciiTheme="minorHAnsi" w:eastAsia="Times New Roman" w:hAnsiTheme="minorHAnsi"/>
          <w:lang w:eastAsia="hr-HR"/>
        </w:rPr>
        <w:t xml:space="preserve"> potpisao je </w:t>
      </w:r>
      <w:r w:rsidR="003748D7" w:rsidRPr="007F1222">
        <w:rPr>
          <w:rFonts w:asciiTheme="minorHAnsi" w:eastAsia="Times New Roman" w:hAnsiTheme="minorHAnsi"/>
          <w:lang w:eastAsia="hr-HR"/>
        </w:rPr>
        <w:t>Povelju Hrv</w:t>
      </w:r>
      <w:r w:rsidR="007F1222" w:rsidRPr="007F1222">
        <w:rPr>
          <w:rFonts w:asciiTheme="minorHAnsi" w:eastAsia="Times New Roman" w:hAnsiTheme="minorHAnsi"/>
          <w:lang w:eastAsia="hr-HR"/>
        </w:rPr>
        <w:t xml:space="preserve">atskog kluba </w:t>
      </w:r>
      <w:r w:rsidR="007F1222" w:rsidRPr="007F1222">
        <w:rPr>
          <w:rFonts w:asciiTheme="minorHAnsi" w:eastAsia="Times New Roman" w:hAnsiTheme="minorHAnsi"/>
          <w:i/>
          <w:lang w:eastAsia="hr-HR"/>
        </w:rPr>
        <w:t>Covenant of Mayors</w:t>
      </w:r>
      <w:r w:rsidR="007F1222" w:rsidRPr="007F1222">
        <w:rPr>
          <w:rFonts w:asciiTheme="minorHAnsi" w:eastAsia="Times New Roman" w:hAnsiTheme="minorHAnsi"/>
          <w:lang w:eastAsia="hr-HR"/>
        </w:rPr>
        <w:t>.</w:t>
      </w:r>
    </w:p>
    <w:p w14:paraId="49AA4045" w14:textId="506090C3" w:rsidR="00B86B7E" w:rsidRPr="007F1222" w:rsidRDefault="009C1E40" w:rsidP="00E92750">
      <w:pPr>
        <w:pStyle w:val="ListParagraph"/>
        <w:numPr>
          <w:ilvl w:val="0"/>
          <w:numId w:val="11"/>
        </w:numPr>
        <w:autoSpaceDE w:val="0"/>
        <w:autoSpaceDN w:val="0"/>
        <w:adjustRightInd w:val="0"/>
        <w:spacing w:line="240" w:lineRule="auto"/>
        <w:jc w:val="both"/>
      </w:pPr>
      <w:r w:rsidRPr="007F1222">
        <w:rPr>
          <w:shd w:val="clear" w:color="auto" w:fill="FFFFFF"/>
        </w:rPr>
        <w:t xml:space="preserve">Grad </w:t>
      </w:r>
      <w:r w:rsidR="000F64C5" w:rsidRPr="007F1222">
        <w:rPr>
          <w:shd w:val="clear" w:color="auto" w:fill="FFFFFF"/>
        </w:rPr>
        <w:t>Zagreb</w:t>
      </w:r>
      <w:r w:rsidRPr="007F1222">
        <w:rPr>
          <w:shd w:val="clear" w:color="auto" w:fill="FFFFFF"/>
        </w:rPr>
        <w:t xml:space="preserve"> </w:t>
      </w:r>
      <w:r w:rsidR="00B86B7E" w:rsidRPr="007F1222">
        <w:rPr>
          <w:shd w:val="clear" w:color="auto" w:fill="FFFFFF"/>
        </w:rPr>
        <w:t xml:space="preserve">proveo je Javne natječaje za subvencioniranje troškova nabave i ugradnje sustava obnovljivih izvora energije na području Grada Zagreba u sklopu kojih je </w:t>
      </w:r>
      <w:r w:rsidR="00B86B7E" w:rsidRPr="007F1222">
        <w:rPr>
          <w:rFonts w:eastAsia="Times New Roman"/>
          <w:lang w:eastAsia="hr-HR"/>
        </w:rPr>
        <w:t>ukupno odobreno 208 subvencija.</w:t>
      </w:r>
    </w:p>
    <w:p w14:paraId="70C12738" w14:textId="5AD0FB2A" w:rsidR="000800B6" w:rsidRPr="007F1222" w:rsidRDefault="000800B6" w:rsidP="00E92750">
      <w:pPr>
        <w:pStyle w:val="ListParagraph"/>
        <w:numPr>
          <w:ilvl w:val="0"/>
          <w:numId w:val="11"/>
        </w:numPr>
        <w:autoSpaceDE w:val="0"/>
        <w:autoSpaceDN w:val="0"/>
        <w:adjustRightInd w:val="0"/>
        <w:spacing w:after="240" w:line="240" w:lineRule="auto"/>
        <w:jc w:val="both"/>
      </w:pPr>
      <w:r w:rsidRPr="007F1222">
        <w:rPr>
          <w:rFonts w:cs="Arial"/>
          <w:bCs/>
        </w:rPr>
        <w:t>Grad Zagreb u 2014 godini subvencionirao je ugradnju razdjelnika topline za 6 objekata s ukupno 670 stanova i 2</w:t>
      </w:r>
      <w:r w:rsidR="007F1222" w:rsidRPr="007F1222">
        <w:rPr>
          <w:rFonts w:cs="Arial"/>
          <w:bCs/>
        </w:rPr>
        <w:t xml:space="preserve"> 296 razdjelnika topline, ukupna korisna površina zgrade obuhvaćena mjernim uređajima iznosi</w:t>
      </w:r>
      <w:r w:rsidRPr="007F1222">
        <w:rPr>
          <w:rFonts w:cs="Arial"/>
          <w:bCs/>
        </w:rPr>
        <w:t xml:space="preserve"> 27 700,08 m</w:t>
      </w:r>
      <w:r w:rsidRPr="007F1222">
        <w:rPr>
          <w:rFonts w:cs="Arial"/>
          <w:bCs/>
          <w:vertAlign w:val="superscript"/>
        </w:rPr>
        <w:t>2</w:t>
      </w:r>
      <w:r w:rsidRPr="007F1222">
        <w:rPr>
          <w:rFonts w:cs="Arial"/>
          <w:bCs/>
        </w:rPr>
        <w:t>.</w:t>
      </w:r>
    </w:p>
    <w:p w14:paraId="7796DAAF" w14:textId="3F8DECCF" w:rsidR="000E0FDB" w:rsidRPr="007F1222" w:rsidRDefault="00E02118" w:rsidP="00E92750">
      <w:pPr>
        <w:pStyle w:val="ListParagraph"/>
        <w:numPr>
          <w:ilvl w:val="0"/>
          <w:numId w:val="11"/>
        </w:numPr>
        <w:autoSpaceDE w:val="0"/>
        <w:autoSpaceDN w:val="0"/>
        <w:adjustRightInd w:val="0"/>
        <w:spacing w:line="240" w:lineRule="auto"/>
        <w:jc w:val="both"/>
      </w:pPr>
      <w:r w:rsidRPr="007F1222">
        <w:t>Provedeno j</w:t>
      </w:r>
      <w:r w:rsidR="00E83F75">
        <w:t>e 618 energetski pregleda</w:t>
      </w:r>
      <w:r w:rsidR="00AD4499" w:rsidRPr="007F1222">
        <w:rPr>
          <w:rFonts w:cs="Arial"/>
          <w:bCs/>
        </w:rPr>
        <w:t>.</w:t>
      </w:r>
    </w:p>
    <w:p w14:paraId="5595220F" w14:textId="5BD9E568" w:rsidR="003636D5" w:rsidRPr="007F1222" w:rsidRDefault="003636D5" w:rsidP="00E92750">
      <w:pPr>
        <w:pStyle w:val="ListParagraph"/>
        <w:numPr>
          <w:ilvl w:val="0"/>
          <w:numId w:val="11"/>
        </w:numPr>
        <w:autoSpaceDE w:val="0"/>
        <w:autoSpaceDN w:val="0"/>
        <w:adjustRightInd w:val="0"/>
        <w:spacing w:line="240" w:lineRule="auto"/>
        <w:jc w:val="both"/>
      </w:pPr>
      <w:r w:rsidRPr="007F1222">
        <w:lastRenderedPageBreak/>
        <w:t>Grad Zagreb subvencionirao je izgradnju tri punionice za električna vozila (Trg S. Radića 1, Park Stara Trešnjevka i Avenija Dubrovnik 15).</w:t>
      </w:r>
    </w:p>
    <w:p w14:paraId="559DF523" w14:textId="54A70A62" w:rsidR="00585A45" w:rsidRPr="007F1222" w:rsidRDefault="000E0FDB" w:rsidP="00E92750">
      <w:pPr>
        <w:autoSpaceDE w:val="0"/>
        <w:autoSpaceDN w:val="0"/>
        <w:adjustRightInd w:val="0"/>
        <w:spacing w:line="240" w:lineRule="auto"/>
        <w:jc w:val="both"/>
        <w:rPr>
          <w:i/>
        </w:rPr>
      </w:pPr>
      <w:r w:rsidRPr="007F1222">
        <w:t xml:space="preserve">Energetsku politiku i provedbu projekata energetske </w:t>
      </w:r>
      <w:r w:rsidR="00840810">
        <w:t>učinkovitosti uz ostale Odjele G</w:t>
      </w:r>
      <w:r w:rsidRPr="007F1222">
        <w:t xml:space="preserve">radske uprave, sustavno vodi </w:t>
      </w:r>
      <w:r w:rsidR="00CC64F7" w:rsidRPr="007F1222">
        <w:t xml:space="preserve">Gradski ured za energetiku, zaštitu okoliša i održivi razvoj </w:t>
      </w:r>
      <w:r w:rsidRPr="007F1222">
        <w:t xml:space="preserve">Grada </w:t>
      </w:r>
      <w:r w:rsidR="000F64C5" w:rsidRPr="007F1222">
        <w:t>Zagreba</w:t>
      </w:r>
      <w:r w:rsidR="00CC64F7" w:rsidRPr="007F1222">
        <w:t>.</w:t>
      </w:r>
    </w:p>
    <w:p w14:paraId="194123D1" w14:textId="1E4056DF" w:rsidR="007F3FCE" w:rsidRPr="007F1222" w:rsidRDefault="007F3FCE" w:rsidP="00E92750">
      <w:pPr>
        <w:autoSpaceDE w:val="0"/>
        <w:autoSpaceDN w:val="0"/>
        <w:adjustRightInd w:val="0"/>
        <w:spacing w:line="240" w:lineRule="auto"/>
        <w:jc w:val="both"/>
        <w:rPr>
          <w:rFonts w:eastAsia="Calibri" w:cs="Times New Roman"/>
        </w:rPr>
      </w:pPr>
      <w:r w:rsidRPr="007F1222">
        <w:rPr>
          <w:rFonts w:eastAsia="Calibri" w:cs="Times New Roman"/>
        </w:rPr>
        <w:t>Od projekata</w:t>
      </w:r>
      <w:r w:rsidR="007F1222" w:rsidRPr="007F1222">
        <w:rPr>
          <w:rFonts w:eastAsia="Calibri" w:cs="Times New Roman"/>
        </w:rPr>
        <w:t xml:space="preserve"> u tijeku</w:t>
      </w:r>
      <w:r w:rsidR="004D7425" w:rsidRPr="007F1222">
        <w:rPr>
          <w:rFonts w:eastAsia="Calibri" w:cs="Times New Roman"/>
        </w:rPr>
        <w:t xml:space="preserve"> </w:t>
      </w:r>
      <w:r w:rsidRPr="007F1222">
        <w:rPr>
          <w:rFonts w:eastAsia="Calibri" w:cs="Times New Roman"/>
        </w:rPr>
        <w:t>koji su od posebnog int</w:t>
      </w:r>
      <w:r w:rsidR="00D129D1" w:rsidRPr="007F1222">
        <w:rPr>
          <w:rFonts w:eastAsia="Calibri" w:cs="Times New Roman"/>
        </w:rPr>
        <w:t xml:space="preserve">eresa za područje Grada </w:t>
      </w:r>
      <w:r w:rsidR="000F64C5" w:rsidRPr="007F1222">
        <w:rPr>
          <w:rFonts w:eastAsia="Calibri" w:cs="Times New Roman"/>
        </w:rPr>
        <w:t>Zagreba</w:t>
      </w:r>
      <w:r w:rsidRPr="007F1222">
        <w:rPr>
          <w:rFonts w:eastAsia="Calibri" w:cs="Times New Roman"/>
        </w:rPr>
        <w:t xml:space="preserve"> mogu se izdvojiti:</w:t>
      </w:r>
    </w:p>
    <w:p w14:paraId="0FF791C5" w14:textId="08B38D1B" w:rsidR="00E27BDC" w:rsidRPr="00E27BDC" w:rsidRDefault="004F677F" w:rsidP="00D511CA">
      <w:pPr>
        <w:pStyle w:val="ListParagraph"/>
        <w:numPr>
          <w:ilvl w:val="0"/>
          <w:numId w:val="12"/>
        </w:numPr>
        <w:spacing w:line="240" w:lineRule="auto"/>
        <w:jc w:val="both"/>
        <w:rPr>
          <w:b/>
        </w:rPr>
      </w:pPr>
      <w:r w:rsidRPr="00E27BDC">
        <w:rPr>
          <w:lang w:eastAsia="hr-HR"/>
        </w:rPr>
        <w:t>Energetska obnova</w:t>
      </w:r>
      <w:r w:rsidR="00530135" w:rsidRPr="00E27BDC">
        <w:rPr>
          <w:lang w:eastAsia="hr-HR"/>
        </w:rPr>
        <w:t xml:space="preserve"> višestambenih zgrada</w:t>
      </w:r>
      <w:r w:rsidRPr="00E27BDC">
        <w:rPr>
          <w:lang w:eastAsia="hr-HR"/>
        </w:rPr>
        <w:t xml:space="preserve"> </w:t>
      </w:r>
      <w:r w:rsidR="00E27BDC" w:rsidRPr="00E27BDC">
        <w:rPr>
          <w:lang w:eastAsia="hr-HR"/>
        </w:rPr>
        <w:t>putem koje je</w:t>
      </w:r>
      <w:r w:rsidR="00E27BDC" w:rsidRPr="00E27BDC">
        <w:rPr>
          <w:b/>
          <w:lang w:eastAsia="hr-HR"/>
        </w:rPr>
        <w:t xml:space="preserve"> </w:t>
      </w:r>
      <w:r w:rsidR="00E27BDC" w:rsidRPr="00E27BDC">
        <w:rPr>
          <w:rStyle w:val="Strong"/>
          <w:rFonts w:cs="Arial"/>
          <w:b w:val="0"/>
          <w:color w:val="222222"/>
        </w:rPr>
        <w:t>suvlasnicima stambenih zgrada do 16. siječnja 2017. na raspolaganju 152 milijuna kuna europskih sredstava za sufinanciranje projekata energetske obnove. U sklopu Programa do sad je financiranje ostvarilo 430 višestambenih zgr</w:t>
      </w:r>
      <w:r w:rsidR="003B657E">
        <w:rPr>
          <w:rStyle w:val="Strong"/>
          <w:rFonts w:cs="Arial"/>
          <w:b w:val="0"/>
          <w:color w:val="222222"/>
        </w:rPr>
        <w:t>ada, od kojih</w:t>
      </w:r>
      <w:r w:rsidR="00E27BDC" w:rsidRPr="00E27BDC">
        <w:rPr>
          <w:rStyle w:val="Strong"/>
          <w:rFonts w:cs="Arial"/>
          <w:b w:val="0"/>
          <w:color w:val="222222"/>
        </w:rPr>
        <w:t xml:space="preserve"> </w:t>
      </w:r>
      <w:r w:rsidR="003B657E">
        <w:rPr>
          <w:rStyle w:val="Strong"/>
          <w:rFonts w:cs="Arial"/>
          <w:b w:val="0"/>
          <w:color w:val="222222"/>
        </w:rPr>
        <w:t xml:space="preserve">je </w:t>
      </w:r>
      <w:r w:rsidR="00E27BDC" w:rsidRPr="00E27BDC">
        <w:rPr>
          <w:rStyle w:val="Strong"/>
          <w:rFonts w:cs="Arial"/>
          <w:b w:val="0"/>
          <w:color w:val="222222"/>
        </w:rPr>
        <w:t xml:space="preserve">55 u Zagrebu. Planirane energetske uštede se kreću oko 60%. </w:t>
      </w:r>
    </w:p>
    <w:p w14:paraId="51D8DA80" w14:textId="729DA06F" w:rsidR="00C16D3B" w:rsidRPr="007F1222" w:rsidRDefault="00C16D3B" w:rsidP="00E92750">
      <w:pPr>
        <w:pStyle w:val="ListParagraph"/>
        <w:numPr>
          <w:ilvl w:val="0"/>
          <w:numId w:val="12"/>
        </w:numPr>
        <w:spacing w:line="240" w:lineRule="auto"/>
        <w:jc w:val="both"/>
      </w:pPr>
      <w:r w:rsidRPr="007F1222">
        <w:t>Zagreb - energetski efikasan grad (ZagEE)</w:t>
      </w:r>
      <w:r w:rsidRPr="007F1222">
        <w:rPr>
          <w:b/>
        </w:rPr>
        <w:t xml:space="preserve"> - </w:t>
      </w:r>
      <w:r w:rsidRPr="007F1222">
        <w:t>koji ima za cilj provesti energetsku obnovu zgrada i javne rasvjete u vlasništvu Grada Zagreba. Provedbu programa započetog 2013. godine vodi Gradski ured za energetiku, zaštitu okoliša i održivi razvoj uz pomoć Regionalne energetske agencije Sjeverozapadne Hrvatske. Program je pokrenut temeljem uspješne prijave na natječaj EU programa Inteligentna energija za Europu - Mobiliziranje lokalnih energetskih investicija (IEE MLEI-PDA) kojom su osigurana bespovratna sredstva za izradu projektne dokumentacije i svih predradnji potrebnih za pokretanje energetske obnove zgrada javne namjene (administrativne, odgojno-obrazovne i zdravstvene namjene). Uvjet dobivanja ovih sredstava bio je da se temelje</w:t>
      </w:r>
      <w:r w:rsidR="007F1222" w:rsidRPr="007F1222">
        <w:t xml:space="preserve">m izrađenih analiza i tehničke </w:t>
      </w:r>
      <w:r w:rsidRPr="007F1222">
        <w:t>dokumentacije za energetsku obnovu planirane investicije pokrenu unutar tri godine od dobivanja sredstava. Ključni ciljevi ovog programa su:</w:t>
      </w:r>
    </w:p>
    <w:p w14:paraId="3BF18E96" w14:textId="0492F6AC" w:rsidR="00C16D3B" w:rsidRPr="007F1222" w:rsidRDefault="00C16D3B" w:rsidP="00EE7021">
      <w:pPr>
        <w:pStyle w:val="ListParagraph"/>
        <w:numPr>
          <w:ilvl w:val="0"/>
          <w:numId w:val="43"/>
        </w:numPr>
        <w:spacing w:line="240" w:lineRule="auto"/>
        <w:jc w:val="both"/>
        <w:rPr>
          <w:rFonts w:cs="Calibri"/>
        </w:rPr>
      </w:pPr>
      <w:r w:rsidRPr="007F1222">
        <w:rPr>
          <w:rFonts w:cs="Calibri"/>
        </w:rPr>
        <w:t xml:space="preserve">Obnova 87 zgrada javne namjene kojima bi se ostvarile </w:t>
      </w:r>
      <w:r w:rsidR="007F1222" w:rsidRPr="007F1222">
        <w:rPr>
          <w:rFonts w:cs="Calibri"/>
        </w:rPr>
        <w:t xml:space="preserve">godišnje </w:t>
      </w:r>
      <w:r w:rsidRPr="007F1222">
        <w:rPr>
          <w:rFonts w:cs="Calibri"/>
        </w:rPr>
        <w:t>uštede energije od 49%, odnosno 33 526 MWh;</w:t>
      </w:r>
    </w:p>
    <w:p w14:paraId="18D7D475" w14:textId="150DCA7A" w:rsidR="00C16D3B" w:rsidRPr="007F1222" w:rsidRDefault="00C16D3B" w:rsidP="00EE7021">
      <w:pPr>
        <w:pStyle w:val="ListParagraph"/>
        <w:numPr>
          <w:ilvl w:val="0"/>
          <w:numId w:val="43"/>
        </w:numPr>
        <w:spacing w:line="240" w:lineRule="auto"/>
        <w:jc w:val="both"/>
        <w:rPr>
          <w:rFonts w:cs="Calibri"/>
        </w:rPr>
      </w:pPr>
      <w:r w:rsidRPr="007F1222">
        <w:rPr>
          <w:rFonts w:cs="Calibri"/>
        </w:rPr>
        <w:t xml:space="preserve">Modernizacija 3 000 rasvjetnih tijela u javnim parkovima, uz </w:t>
      </w:r>
      <w:r w:rsidR="007F1222" w:rsidRPr="007F1222">
        <w:rPr>
          <w:rFonts w:cs="Calibri"/>
        </w:rPr>
        <w:t xml:space="preserve">godišnju </w:t>
      </w:r>
      <w:r w:rsidRPr="007F1222">
        <w:rPr>
          <w:rFonts w:cs="Calibri"/>
        </w:rPr>
        <w:t>uštedu energije od 72%, odnosno 1 470 MWh;</w:t>
      </w:r>
    </w:p>
    <w:p w14:paraId="1B50DBB0" w14:textId="0CAA83B2" w:rsidR="00C16D3B" w:rsidRPr="007F1222" w:rsidRDefault="007F1222" w:rsidP="00EE7021">
      <w:pPr>
        <w:pStyle w:val="ListParagraph"/>
        <w:numPr>
          <w:ilvl w:val="0"/>
          <w:numId w:val="43"/>
        </w:numPr>
        <w:spacing w:line="240" w:lineRule="auto"/>
        <w:jc w:val="both"/>
        <w:rPr>
          <w:rFonts w:cs="Calibri"/>
        </w:rPr>
      </w:pPr>
      <w:r w:rsidRPr="007F1222">
        <w:rPr>
          <w:rFonts w:cs="Calibri"/>
        </w:rPr>
        <w:t>Korištenje energije u zgradama iz obnovljivih izvora energije od 490 MWh godišnje</w:t>
      </w:r>
      <w:r w:rsidR="00C16D3B" w:rsidRPr="007F1222">
        <w:rPr>
          <w:rFonts w:cs="Calibri"/>
        </w:rPr>
        <w:t>.</w:t>
      </w:r>
    </w:p>
    <w:p w14:paraId="0808C03D" w14:textId="5027C30E" w:rsidR="00C16D3B" w:rsidRPr="00C753D5" w:rsidRDefault="00C16D3B" w:rsidP="00E92750">
      <w:pPr>
        <w:spacing w:line="240" w:lineRule="auto"/>
        <w:ind w:left="708"/>
        <w:jc w:val="both"/>
        <w:rPr>
          <w:rFonts w:ascii="Calibri" w:eastAsia="Calibri" w:hAnsi="Calibri"/>
        </w:rPr>
      </w:pPr>
      <w:r w:rsidRPr="007F1222">
        <w:rPr>
          <w:rFonts w:ascii="Calibri" w:eastAsia="Calibri" w:hAnsi="Calibri"/>
        </w:rPr>
        <w:t xml:space="preserve">Vrijednost programa ZagEE koja se odnosi na financiranje pripremnih radnji iznosila je 1 813 438 Eura, a ukupna planirana investicijska vrijednost radova na realizaciji predviđenih mjera </w:t>
      </w:r>
      <w:r w:rsidRPr="00C753D5">
        <w:rPr>
          <w:rFonts w:ascii="Calibri" w:eastAsia="Calibri" w:hAnsi="Calibri"/>
        </w:rPr>
        <w:t>za koje se izradila tehnička dokumentacija 29 379 114 Eura.</w:t>
      </w:r>
    </w:p>
    <w:p w14:paraId="52C39AB5" w14:textId="77777777" w:rsidR="00C16D3B" w:rsidRPr="00C753D5" w:rsidRDefault="00C16D3B" w:rsidP="00E92750">
      <w:pPr>
        <w:spacing w:line="240" w:lineRule="auto"/>
        <w:ind w:left="708"/>
        <w:jc w:val="both"/>
        <w:rPr>
          <w:rFonts w:ascii="Calibri" w:eastAsia="Calibri" w:hAnsi="Calibri"/>
        </w:rPr>
      </w:pPr>
      <w:r w:rsidRPr="00C753D5">
        <w:rPr>
          <w:rFonts w:ascii="Calibri" w:eastAsia="Calibri" w:hAnsi="Calibri"/>
        </w:rPr>
        <w:t xml:space="preserve">Financijska konstrukcija programa obnove prilagodila se raspoloživim izvorima financiranja te se oslanjala na bespovratna sredstva Fonda za zaštitu okoliša i energetsku učinkovitost (40% ukupne investicije), kreditne linije Hrvatske banke za obnovu i razvitak (darovnica iz Programa Europske komisije - EEFF 2006 i 2007) i vlastita sredstva. </w:t>
      </w:r>
    </w:p>
    <w:p w14:paraId="3512F496" w14:textId="77777777" w:rsidR="00C16D3B" w:rsidRPr="00C753D5" w:rsidRDefault="00C16D3B" w:rsidP="00E92750">
      <w:pPr>
        <w:spacing w:line="240" w:lineRule="auto"/>
        <w:ind w:left="360"/>
        <w:jc w:val="both"/>
        <w:rPr>
          <w:rFonts w:ascii="Calibri" w:eastAsia="Calibri" w:hAnsi="Calibri"/>
        </w:rPr>
      </w:pPr>
      <w:r w:rsidRPr="00C753D5">
        <w:rPr>
          <w:rFonts w:ascii="Calibri" w:eastAsia="Calibri" w:hAnsi="Calibri"/>
        </w:rPr>
        <w:t xml:space="preserve">Uspješna provedba programa ZagEE i znanja stečena na njegovoj provedbi temelj su pokretanja daljnje obnove zgrada u vlasništvu Grada Zagreba i modernizacije sustava javne rasvjete. </w:t>
      </w:r>
    </w:p>
    <w:p w14:paraId="3FD90A59" w14:textId="1C7466D9" w:rsidR="00C16D3B" w:rsidRPr="00C753D5" w:rsidRDefault="00D95CA2" w:rsidP="00EE7021">
      <w:pPr>
        <w:pStyle w:val="ListParagraph"/>
        <w:numPr>
          <w:ilvl w:val="0"/>
          <w:numId w:val="44"/>
        </w:numPr>
        <w:spacing w:line="240" w:lineRule="auto"/>
        <w:jc w:val="both"/>
        <w:rPr>
          <w:rFonts w:cs="Arial"/>
          <w:color w:val="000000"/>
        </w:rPr>
      </w:pPr>
      <w:r w:rsidRPr="0078702D">
        <w:rPr>
          <w:rFonts w:cs="Arial"/>
          <w:color w:val="000000"/>
        </w:rPr>
        <w:t xml:space="preserve">ELENA – </w:t>
      </w:r>
      <w:r w:rsidR="00833B56" w:rsidRPr="0078702D">
        <w:rPr>
          <w:rFonts w:cs="Arial"/>
          <w:color w:val="000000"/>
        </w:rPr>
        <w:t>Javna rasvjeta Grad Zagreb</w:t>
      </w:r>
      <w:r w:rsidR="0073081E" w:rsidRPr="0078702D">
        <w:rPr>
          <w:rFonts w:cs="Arial"/>
          <w:color w:val="000000"/>
        </w:rPr>
        <w:t xml:space="preserve"> – U okviru</w:t>
      </w:r>
      <w:r w:rsidRPr="00C753D5">
        <w:rPr>
          <w:rFonts w:cs="Arial"/>
          <w:color w:val="000000"/>
        </w:rPr>
        <w:t xml:space="preserve"> projekta planirana je modernizacija javne rasvjete, a pregled očekivani</w:t>
      </w:r>
      <w:r w:rsidR="00AA429A" w:rsidRPr="00C753D5">
        <w:rPr>
          <w:rFonts w:cs="Arial"/>
          <w:color w:val="000000"/>
        </w:rPr>
        <w:t>h</w:t>
      </w:r>
      <w:r w:rsidRPr="00C753D5">
        <w:rPr>
          <w:rFonts w:cs="Arial"/>
          <w:color w:val="000000"/>
        </w:rPr>
        <w:t xml:space="preserve"> učinaka dan je u nastavku:</w:t>
      </w:r>
    </w:p>
    <w:p w14:paraId="6A9CBD10" w14:textId="05CBEC37" w:rsidR="00D95CA2" w:rsidRPr="00C753D5" w:rsidRDefault="00AA429A" w:rsidP="00EE7021">
      <w:pPr>
        <w:pStyle w:val="ListParagraph"/>
        <w:numPr>
          <w:ilvl w:val="0"/>
          <w:numId w:val="45"/>
        </w:numPr>
        <w:spacing w:line="240" w:lineRule="auto"/>
        <w:jc w:val="both"/>
        <w:rPr>
          <w:rFonts w:cs="Arial"/>
          <w:color w:val="000000"/>
        </w:rPr>
      </w:pPr>
      <w:r w:rsidRPr="00C753D5">
        <w:rPr>
          <w:rFonts w:cs="Arial"/>
          <w:color w:val="000000"/>
        </w:rPr>
        <w:t>Očekivane</w:t>
      </w:r>
      <w:r w:rsidR="00D95CA2" w:rsidRPr="00C753D5">
        <w:rPr>
          <w:rFonts w:cs="Arial"/>
          <w:color w:val="000000"/>
        </w:rPr>
        <w:t xml:space="preserve"> energetske uštede (MWh/godišnje): </w:t>
      </w:r>
      <w:r w:rsidRPr="00C753D5">
        <w:rPr>
          <w:rFonts w:cs="Arial"/>
          <w:color w:val="000000"/>
        </w:rPr>
        <w:t>30 000;</w:t>
      </w:r>
    </w:p>
    <w:p w14:paraId="52DF766E" w14:textId="75D081C3" w:rsidR="00D95CA2" w:rsidRPr="00C753D5" w:rsidRDefault="00D95CA2" w:rsidP="00EE7021">
      <w:pPr>
        <w:pStyle w:val="ListParagraph"/>
        <w:numPr>
          <w:ilvl w:val="0"/>
          <w:numId w:val="45"/>
        </w:numPr>
        <w:spacing w:line="240" w:lineRule="auto"/>
        <w:jc w:val="both"/>
        <w:rPr>
          <w:rFonts w:cs="Arial"/>
          <w:color w:val="000000"/>
        </w:rPr>
      </w:pPr>
      <w:r w:rsidRPr="00C753D5">
        <w:rPr>
          <w:rFonts w:cs="Arial"/>
          <w:color w:val="000000"/>
        </w:rPr>
        <w:t>Očekivano</w:t>
      </w:r>
      <w:r w:rsidR="00AA429A" w:rsidRPr="00C753D5">
        <w:rPr>
          <w:rFonts w:cs="Arial"/>
          <w:color w:val="000000"/>
        </w:rPr>
        <w:t xml:space="preserve"> smanjenje emisije t CO</w:t>
      </w:r>
      <w:r w:rsidR="00AA429A" w:rsidRPr="00ED6154">
        <w:rPr>
          <w:rFonts w:cs="Arial"/>
          <w:color w:val="000000"/>
          <w:vertAlign w:val="subscript"/>
        </w:rPr>
        <w:t>2</w:t>
      </w:r>
      <w:r w:rsidR="00AA429A" w:rsidRPr="00C753D5">
        <w:rPr>
          <w:rFonts w:cs="Arial"/>
          <w:color w:val="000000"/>
        </w:rPr>
        <w:t>: 10 000;</w:t>
      </w:r>
    </w:p>
    <w:p w14:paraId="78356417" w14:textId="77777777" w:rsidR="00C753D5" w:rsidRDefault="00AA429A" w:rsidP="00EE7021">
      <w:pPr>
        <w:pStyle w:val="ListParagraph"/>
        <w:numPr>
          <w:ilvl w:val="0"/>
          <w:numId w:val="45"/>
        </w:numPr>
        <w:spacing w:line="240" w:lineRule="auto"/>
        <w:jc w:val="both"/>
        <w:rPr>
          <w:rFonts w:cs="Arial"/>
          <w:color w:val="000000"/>
        </w:rPr>
      </w:pPr>
      <w:r w:rsidRPr="00C753D5">
        <w:rPr>
          <w:rFonts w:cs="Arial"/>
          <w:color w:val="000000"/>
        </w:rPr>
        <w:t>Očekivani troškovi</w:t>
      </w:r>
      <w:r w:rsidR="007F4CBB" w:rsidRPr="00C753D5">
        <w:rPr>
          <w:rFonts w:cs="Arial"/>
          <w:color w:val="000000"/>
        </w:rPr>
        <w:t>: 50 mil EUR;</w:t>
      </w:r>
    </w:p>
    <w:p w14:paraId="33174962" w14:textId="334DC0A4" w:rsidR="00A07CCE" w:rsidRPr="00C753D5" w:rsidRDefault="00AA429A" w:rsidP="00EE7021">
      <w:pPr>
        <w:pStyle w:val="ListParagraph"/>
        <w:numPr>
          <w:ilvl w:val="0"/>
          <w:numId w:val="45"/>
        </w:numPr>
        <w:spacing w:line="240" w:lineRule="auto"/>
        <w:jc w:val="both"/>
        <w:rPr>
          <w:rFonts w:cs="Arial"/>
          <w:color w:val="000000"/>
        </w:rPr>
      </w:pPr>
      <w:r w:rsidRPr="00C753D5">
        <w:rPr>
          <w:rFonts w:cs="Arial"/>
          <w:color w:val="000000"/>
        </w:rPr>
        <w:t>Očekivani troškovi po rasvjetnom tijelu</w:t>
      </w:r>
      <w:r w:rsidR="007F4CBB" w:rsidRPr="00C753D5">
        <w:rPr>
          <w:rFonts w:cs="Arial"/>
          <w:color w:val="000000"/>
        </w:rPr>
        <w:t>: 900 EUR/lampi</w:t>
      </w:r>
      <w:r w:rsidRPr="00C753D5">
        <w:rPr>
          <w:rFonts w:cs="Arial"/>
          <w:color w:val="000000"/>
        </w:rPr>
        <w:t>.</w:t>
      </w:r>
      <w:r w:rsidR="00A07CCE" w:rsidRPr="00C753D5">
        <w:rPr>
          <w:highlight w:val="yellow"/>
        </w:rPr>
        <w:br w:type="page"/>
      </w:r>
    </w:p>
    <w:p w14:paraId="2D648A1D" w14:textId="77777777" w:rsidR="00C66C44" w:rsidRPr="00C753D5" w:rsidRDefault="004160FA" w:rsidP="00E92750">
      <w:pPr>
        <w:pStyle w:val="Heading1"/>
        <w:spacing w:before="0" w:after="240" w:line="240" w:lineRule="auto"/>
        <w:ind w:left="431" w:hanging="431"/>
        <w:jc w:val="both"/>
        <w:rPr>
          <w:rFonts w:eastAsia="Times New Roman"/>
          <w:b/>
        </w:rPr>
      </w:pPr>
      <w:bookmarkStart w:id="9" w:name="_Toc468345342"/>
      <w:r w:rsidRPr="00C753D5">
        <w:rPr>
          <w:rFonts w:eastAsia="Times New Roman"/>
          <w:b/>
        </w:rPr>
        <w:lastRenderedPageBreak/>
        <w:t>METODOLOGIJA I IZVORI PODATAKA</w:t>
      </w:r>
      <w:bookmarkEnd w:id="9"/>
    </w:p>
    <w:p w14:paraId="2AD4839B" w14:textId="4B6F663E" w:rsidR="00874DE6" w:rsidRPr="00C753D5" w:rsidRDefault="00653B87" w:rsidP="00E92750">
      <w:pPr>
        <w:pStyle w:val="NoSpacing"/>
        <w:spacing w:after="240"/>
      </w:pPr>
      <w:r w:rsidRPr="00C753D5">
        <w:t xml:space="preserve">Metodologija izrade ovog dokumenta temelji se </w:t>
      </w:r>
      <w:r w:rsidR="004A7DDB" w:rsidRPr="00C753D5">
        <w:t xml:space="preserve">na </w:t>
      </w:r>
      <w:r w:rsidRPr="00C753D5">
        <w:t xml:space="preserve">EC Priručniku za izvještavanje i kontrolu provedbe Akcijskog plana (eng. </w:t>
      </w:r>
      <w:r w:rsidRPr="00C753D5">
        <w:rPr>
          <w:i/>
        </w:rPr>
        <w:t>Reporting Guidelines on Sustainable Energy Action Plan and Monitoring</w:t>
      </w:r>
      <w:r w:rsidRPr="00C753D5">
        <w:t>, dalje u tekstu: Priručnik)</w:t>
      </w:r>
      <w:r w:rsidRPr="00C753D5">
        <w:rPr>
          <w:rStyle w:val="FootnoteReference"/>
        </w:rPr>
        <w:footnoteReference w:id="9"/>
      </w:r>
      <w:r w:rsidRPr="00C753D5">
        <w:t>.</w:t>
      </w:r>
    </w:p>
    <w:p w14:paraId="269E5DA3" w14:textId="3430D966" w:rsidR="00975020" w:rsidRPr="00C753D5" w:rsidRDefault="00874DE6" w:rsidP="00E92750">
      <w:pPr>
        <w:pStyle w:val="NoSpacing"/>
        <w:spacing w:after="240"/>
        <w:rPr>
          <w:rFonts w:asciiTheme="minorHAnsi" w:hAnsiTheme="minorHAnsi" w:cstheme="minorHAnsi"/>
        </w:rPr>
      </w:pPr>
      <w:r w:rsidRPr="00C753D5">
        <w:t xml:space="preserve">Sukladno </w:t>
      </w:r>
      <w:r w:rsidRPr="00C753D5">
        <w:rPr>
          <w:rFonts w:asciiTheme="minorHAnsi" w:hAnsiTheme="minorHAnsi" w:cstheme="minorHAnsi"/>
        </w:rPr>
        <w:t>metodolog</w:t>
      </w:r>
      <w:r w:rsidR="0036061A">
        <w:rPr>
          <w:rFonts w:asciiTheme="minorHAnsi" w:hAnsiTheme="minorHAnsi" w:cstheme="minorHAnsi"/>
        </w:rPr>
        <w:t>iji dokument se sastoji od sljedećih cjelina</w:t>
      </w:r>
      <w:r w:rsidRPr="00C753D5">
        <w:rPr>
          <w:rFonts w:asciiTheme="minorHAnsi" w:hAnsiTheme="minorHAnsi" w:cstheme="minorHAnsi"/>
        </w:rPr>
        <w:t>:</w:t>
      </w:r>
    </w:p>
    <w:p w14:paraId="7A4BB650" w14:textId="09BAA2A4" w:rsidR="00874DE6" w:rsidRPr="00C753D5" w:rsidRDefault="00874DE6" w:rsidP="00EE7021">
      <w:pPr>
        <w:pStyle w:val="NoSpacing"/>
        <w:numPr>
          <w:ilvl w:val="0"/>
          <w:numId w:val="36"/>
        </w:numPr>
        <w:rPr>
          <w:rFonts w:asciiTheme="minorHAnsi" w:hAnsiTheme="minorHAnsi" w:cstheme="minorHAnsi"/>
        </w:rPr>
      </w:pPr>
      <w:r w:rsidRPr="00C753D5">
        <w:rPr>
          <w:rFonts w:asciiTheme="minorHAnsi" w:hAnsiTheme="minorHAnsi" w:cstheme="minorHAnsi"/>
        </w:rPr>
        <w:t xml:space="preserve">Pregled rezultata analize energetske potrošnje u </w:t>
      </w:r>
      <w:r w:rsidR="009D2A43">
        <w:rPr>
          <w:rFonts w:asciiTheme="minorHAnsi" w:hAnsiTheme="minorHAnsi" w:cstheme="minorHAnsi"/>
        </w:rPr>
        <w:t>sektoru zgradarstva u</w:t>
      </w:r>
      <w:r w:rsidRPr="00C753D5">
        <w:rPr>
          <w:rFonts w:asciiTheme="minorHAnsi" w:hAnsiTheme="minorHAnsi" w:cstheme="minorHAnsi"/>
        </w:rPr>
        <w:t xml:space="preserve"> 2015. godini;</w:t>
      </w:r>
    </w:p>
    <w:p w14:paraId="5F14E8D9" w14:textId="467BB426" w:rsidR="00874DE6" w:rsidRPr="00C753D5" w:rsidRDefault="00874DE6" w:rsidP="00EE7021">
      <w:pPr>
        <w:pStyle w:val="NoSpacing"/>
        <w:numPr>
          <w:ilvl w:val="0"/>
          <w:numId w:val="36"/>
        </w:numPr>
        <w:rPr>
          <w:rFonts w:asciiTheme="minorHAnsi" w:hAnsiTheme="minorHAnsi" w:cstheme="minorHAnsi"/>
        </w:rPr>
      </w:pPr>
      <w:r w:rsidRPr="00C753D5">
        <w:rPr>
          <w:rFonts w:asciiTheme="minorHAnsi" w:hAnsiTheme="minorHAnsi" w:cstheme="minorHAnsi"/>
        </w:rPr>
        <w:t>Pregled rezultata analize energetske potrošnj</w:t>
      </w:r>
      <w:r w:rsidR="00C753D5" w:rsidRPr="00C753D5">
        <w:rPr>
          <w:rFonts w:asciiTheme="minorHAnsi" w:hAnsiTheme="minorHAnsi" w:cstheme="minorHAnsi"/>
        </w:rPr>
        <w:t>e u sektoru prometa u</w:t>
      </w:r>
      <w:r w:rsidRPr="00C753D5">
        <w:rPr>
          <w:rFonts w:asciiTheme="minorHAnsi" w:hAnsiTheme="minorHAnsi" w:cstheme="minorHAnsi"/>
        </w:rPr>
        <w:t xml:space="preserve"> 2015. godini</w:t>
      </w:r>
      <w:r w:rsidR="005E7774" w:rsidRPr="00C753D5">
        <w:rPr>
          <w:rFonts w:asciiTheme="minorHAnsi" w:hAnsiTheme="minorHAnsi" w:cstheme="minorHAnsi"/>
        </w:rPr>
        <w:t>;</w:t>
      </w:r>
    </w:p>
    <w:p w14:paraId="7B41897E" w14:textId="517FE122" w:rsidR="00874DE6" w:rsidRPr="00C753D5" w:rsidRDefault="00874DE6" w:rsidP="00EE7021">
      <w:pPr>
        <w:pStyle w:val="NoSpacing"/>
        <w:numPr>
          <w:ilvl w:val="0"/>
          <w:numId w:val="36"/>
        </w:numPr>
        <w:rPr>
          <w:rFonts w:asciiTheme="minorHAnsi" w:hAnsiTheme="minorHAnsi" w:cstheme="minorHAnsi"/>
        </w:rPr>
      </w:pPr>
      <w:r w:rsidRPr="00C753D5">
        <w:rPr>
          <w:rFonts w:asciiTheme="minorHAnsi" w:hAnsiTheme="minorHAnsi" w:cstheme="minorHAnsi"/>
        </w:rPr>
        <w:t>Pregled rezultata analize energetske potrošnje u sek</w:t>
      </w:r>
      <w:r w:rsidR="00C753D5" w:rsidRPr="00C753D5">
        <w:rPr>
          <w:rFonts w:asciiTheme="minorHAnsi" w:hAnsiTheme="minorHAnsi" w:cstheme="minorHAnsi"/>
        </w:rPr>
        <w:t>toru javne rasvjete u</w:t>
      </w:r>
      <w:r w:rsidRPr="00C753D5">
        <w:rPr>
          <w:rFonts w:asciiTheme="minorHAnsi" w:hAnsiTheme="minorHAnsi" w:cstheme="minorHAnsi"/>
        </w:rPr>
        <w:t xml:space="preserve"> 2015. godini</w:t>
      </w:r>
      <w:r w:rsidR="005E7774" w:rsidRPr="00C753D5">
        <w:rPr>
          <w:rFonts w:asciiTheme="minorHAnsi" w:hAnsiTheme="minorHAnsi" w:cstheme="minorHAnsi"/>
        </w:rPr>
        <w:t>;</w:t>
      </w:r>
    </w:p>
    <w:p w14:paraId="232E488C" w14:textId="1E452379" w:rsidR="00874DE6" w:rsidRPr="00C753D5" w:rsidRDefault="00874DE6" w:rsidP="00EE7021">
      <w:pPr>
        <w:pStyle w:val="NoSpacing"/>
        <w:numPr>
          <w:ilvl w:val="0"/>
          <w:numId w:val="36"/>
        </w:numPr>
        <w:rPr>
          <w:rFonts w:asciiTheme="minorHAnsi" w:hAnsiTheme="minorHAnsi" w:cstheme="minorHAnsi"/>
        </w:rPr>
      </w:pPr>
      <w:r w:rsidRPr="00C753D5">
        <w:rPr>
          <w:rFonts w:asciiTheme="minorHAnsi" w:hAnsiTheme="minorHAnsi" w:cstheme="minorHAnsi"/>
        </w:rPr>
        <w:t xml:space="preserve">Izrada </w:t>
      </w:r>
      <w:r w:rsidR="00C753D5" w:rsidRPr="00C753D5">
        <w:rPr>
          <w:rFonts w:asciiTheme="minorHAnsi" w:hAnsiTheme="minorHAnsi" w:cstheme="minorHAnsi"/>
        </w:rPr>
        <w:t xml:space="preserve">Kontrolnog </w:t>
      </w:r>
      <w:r w:rsidRPr="00C753D5">
        <w:rPr>
          <w:rFonts w:asciiTheme="minorHAnsi" w:hAnsiTheme="minorHAnsi" w:cstheme="minorHAnsi"/>
        </w:rPr>
        <w:t>Inventara emisija CO</w:t>
      </w:r>
      <w:r w:rsidRPr="00C753D5">
        <w:rPr>
          <w:rFonts w:asciiTheme="minorHAnsi" w:hAnsiTheme="minorHAnsi" w:cstheme="minorHAnsi"/>
          <w:vertAlign w:val="subscript"/>
        </w:rPr>
        <w:t>2</w:t>
      </w:r>
      <w:r w:rsidR="00C753D5" w:rsidRPr="00C753D5">
        <w:rPr>
          <w:rFonts w:asciiTheme="minorHAnsi" w:hAnsiTheme="minorHAnsi" w:cstheme="minorHAnsi"/>
        </w:rPr>
        <w:t xml:space="preserve"> (MEI) za</w:t>
      </w:r>
      <w:r w:rsidRPr="00C753D5">
        <w:rPr>
          <w:rFonts w:asciiTheme="minorHAnsi" w:hAnsiTheme="minorHAnsi" w:cstheme="minorHAnsi"/>
        </w:rPr>
        <w:t xml:space="preserve"> 2015. godinu;</w:t>
      </w:r>
    </w:p>
    <w:p w14:paraId="4014BCF7" w14:textId="28B47B36" w:rsidR="00874DE6" w:rsidRPr="00C753D5" w:rsidRDefault="00874DE6" w:rsidP="00EE7021">
      <w:pPr>
        <w:pStyle w:val="NoSpacing"/>
        <w:numPr>
          <w:ilvl w:val="0"/>
          <w:numId w:val="36"/>
        </w:numPr>
        <w:rPr>
          <w:rFonts w:asciiTheme="minorHAnsi" w:hAnsiTheme="minorHAnsi" w:cstheme="minorHAnsi"/>
        </w:rPr>
      </w:pPr>
      <w:r w:rsidRPr="00C753D5">
        <w:rPr>
          <w:rFonts w:asciiTheme="minorHAnsi" w:hAnsiTheme="minorHAnsi" w:cstheme="minorHAnsi"/>
        </w:rPr>
        <w:t xml:space="preserve">Usporedba </w:t>
      </w:r>
      <w:r w:rsidR="00EE1450" w:rsidRPr="00C753D5">
        <w:rPr>
          <w:rFonts w:asciiTheme="minorHAnsi" w:hAnsiTheme="minorHAnsi" w:cstheme="minorHAnsi"/>
        </w:rPr>
        <w:t>Kontrolnog i</w:t>
      </w:r>
      <w:r w:rsidRPr="00C753D5">
        <w:rPr>
          <w:rFonts w:asciiTheme="minorHAnsi" w:hAnsiTheme="minorHAnsi" w:cstheme="minorHAnsi"/>
        </w:rPr>
        <w:t>nventara emisija CO</w:t>
      </w:r>
      <w:r w:rsidRPr="00C753D5">
        <w:rPr>
          <w:rFonts w:asciiTheme="minorHAnsi" w:hAnsiTheme="minorHAnsi" w:cstheme="minorHAnsi"/>
          <w:vertAlign w:val="subscript"/>
        </w:rPr>
        <w:t>2</w:t>
      </w:r>
      <w:r w:rsidRPr="00C753D5">
        <w:rPr>
          <w:rFonts w:asciiTheme="minorHAnsi" w:hAnsiTheme="minorHAnsi" w:cstheme="minorHAnsi"/>
        </w:rPr>
        <w:t xml:space="preserve"> za 2015. godinu </w:t>
      </w:r>
      <w:r w:rsidR="00EE1450" w:rsidRPr="00C753D5">
        <w:rPr>
          <w:rFonts w:asciiTheme="minorHAnsi" w:hAnsiTheme="minorHAnsi" w:cstheme="minorHAnsi"/>
        </w:rPr>
        <w:t>i R</w:t>
      </w:r>
      <w:r w:rsidRPr="00C753D5">
        <w:rPr>
          <w:rFonts w:asciiTheme="minorHAnsi" w:hAnsiTheme="minorHAnsi" w:cstheme="minorHAnsi"/>
        </w:rPr>
        <w:t>eferentnog inventara emisija CO</w:t>
      </w:r>
      <w:r w:rsidRPr="00C753D5">
        <w:rPr>
          <w:rFonts w:asciiTheme="minorHAnsi" w:hAnsiTheme="minorHAnsi" w:cstheme="minorHAnsi"/>
          <w:vertAlign w:val="subscript"/>
        </w:rPr>
        <w:t>2</w:t>
      </w:r>
      <w:r w:rsidR="00EE1450" w:rsidRPr="00C753D5">
        <w:rPr>
          <w:rFonts w:asciiTheme="minorHAnsi" w:hAnsiTheme="minorHAnsi" w:cstheme="minorHAnsi"/>
        </w:rPr>
        <w:t xml:space="preserve"> za</w:t>
      </w:r>
      <w:r w:rsidRPr="00C753D5">
        <w:rPr>
          <w:rFonts w:asciiTheme="minorHAnsi" w:hAnsiTheme="minorHAnsi" w:cstheme="minorHAnsi"/>
        </w:rPr>
        <w:t xml:space="preserve"> 2008. </w:t>
      </w:r>
      <w:r w:rsidR="00C753D5" w:rsidRPr="00C753D5">
        <w:rPr>
          <w:rFonts w:asciiTheme="minorHAnsi" w:hAnsiTheme="minorHAnsi" w:cstheme="minorHAnsi"/>
        </w:rPr>
        <w:t>godinu za sektore zgradarstvo, promet i javna rasvjeta</w:t>
      </w:r>
      <w:r w:rsidRPr="00C753D5">
        <w:rPr>
          <w:rFonts w:asciiTheme="minorHAnsi" w:hAnsiTheme="minorHAnsi" w:cstheme="minorHAnsi"/>
        </w:rPr>
        <w:t>;</w:t>
      </w:r>
    </w:p>
    <w:p w14:paraId="3FF95E4E" w14:textId="45480C49" w:rsidR="00874DE6" w:rsidRPr="00C753D5" w:rsidRDefault="00EE1450" w:rsidP="00EE7021">
      <w:pPr>
        <w:pStyle w:val="NoSpacing"/>
        <w:numPr>
          <w:ilvl w:val="0"/>
          <w:numId w:val="36"/>
        </w:numPr>
        <w:rPr>
          <w:rFonts w:asciiTheme="minorHAnsi" w:hAnsiTheme="minorHAnsi" w:cstheme="minorHAnsi"/>
        </w:rPr>
      </w:pPr>
      <w:r w:rsidRPr="00C753D5">
        <w:rPr>
          <w:rFonts w:asciiTheme="minorHAnsi" w:hAnsiTheme="minorHAnsi" w:cstheme="minorHAnsi"/>
        </w:rPr>
        <w:t>Analiza uspj</w:t>
      </w:r>
      <w:r w:rsidR="00C753D5" w:rsidRPr="00C753D5">
        <w:rPr>
          <w:rFonts w:asciiTheme="minorHAnsi" w:hAnsiTheme="minorHAnsi" w:cstheme="minorHAnsi"/>
        </w:rPr>
        <w:t>ešnosti provedbe Akcijskog plana</w:t>
      </w:r>
      <w:r w:rsidRPr="00C753D5">
        <w:rPr>
          <w:rFonts w:asciiTheme="minorHAnsi" w:hAnsiTheme="minorHAnsi" w:cstheme="minorHAnsi"/>
        </w:rPr>
        <w:t>;</w:t>
      </w:r>
    </w:p>
    <w:p w14:paraId="17E3F34C" w14:textId="5489A0E4" w:rsidR="00874DE6" w:rsidRPr="00C753D5" w:rsidRDefault="003B657E" w:rsidP="00EE7021">
      <w:pPr>
        <w:pStyle w:val="NoSpacing"/>
        <w:numPr>
          <w:ilvl w:val="0"/>
          <w:numId w:val="36"/>
        </w:numPr>
        <w:rPr>
          <w:rFonts w:asciiTheme="minorHAnsi" w:hAnsiTheme="minorHAnsi" w:cstheme="minorHAnsi"/>
        </w:rPr>
      </w:pPr>
      <w:r>
        <w:rPr>
          <w:rFonts w:asciiTheme="minorHAnsi" w:hAnsiTheme="minorHAnsi" w:cstheme="minorHAnsi"/>
        </w:rPr>
        <w:t>Projekcija očekivanog smanjenja emisije CO</w:t>
      </w:r>
      <w:r w:rsidRPr="0036061A">
        <w:rPr>
          <w:rFonts w:asciiTheme="minorHAnsi" w:hAnsiTheme="minorHAnsi" w:cstheme="minorHAnsi"/>
          <w:vertAlign w:val="subscript"/>
        </w:rPr>
        <w:t>2</w:t>
      </w:r>
      <w:r>
        <w:rPr>
          <w:rFonts w:asciiTheme="minorHAnsi" w:hAnsiTheme="minorHAnsi" w:cstheme="minorHAnsi"/>
        </w:rPr>
        <w:t xml:space="preserve"> u 2020. godini na osnovu provedene Analize uspješnosti provedbe Akcijskog plana</w:t>
      </w:r>
      <w:r w:rsidR="00EE1450" w:rsidRPr="00C753D5">
        <w:rPr>
          <w:rFonts w:asciiTheme="minorHAnsi" w:hAnsiTheme="minorHAnsi" w:cstheme="minorHAnsi"/>
        </w:rPr>
        <w:t>;</w:t>
      </w:r>
    </w:p>
    <w:p w14:paraId="41247FD3" w14:textId="42926994" w:rsidR="00874DE6" w:rsidRPr="00C753D5" w:rsidRDefault="003B657E" w:rsidP="00EE7021">
      <w:pPr>
        <w:pStyle w:val="NoSpacing"/>
        <w:numPr>
          <w:ilvl w:val="0"/>
          <w:numId w:val="36"/>
        </w:numPr>
        <w:rPr>
          <w:rFonts w:asciiTheme="minorHAnsi" w:hAnsiTheme="minorHAnsi" w:cstheme="minorHAnsi"/>
        </w:rPr>
      </w:pPr>
      <w:r>
        <w:rPr>
          <w:rFonts w:asciiTheme="minorHAnsi" w:hAnsiTheme="minorHAnsi" w:cstheme="minorHAnsi"/>
        </w:rPr>
        <w:t>Prijedlog novih mehanizama</w:t>
      </w:r>
      <w:r w:rsidR="00EE1450" w:rsidRPr="00C753D5">
        <w:rPr>
          <w:rFonts w:asciiTheme="minorHAnsi" w:hAnsiTheme="minorHAnsi" w:cstheme="minorHAnsi"/>
        </w:rPr>
        <w:t xml:space="preserve"> financiranja</w:t>
      </w:r>
      <w:r w:rsidR="00874DE6" w:rsidRPr="00C753D5">
        <w:rPr>
          <w:rFonts w:asciiTheme="minorHAnsi" w:hAnsiTheme="minorHAnsi" w:cstheme="minorHAnsi"/>
        </w:rPr>
        <w:t xml:space="preserve"> </w:t>
      </w:r>
      <w:r w:rsidR="00EE1450" w:rsidRPr="00C753D5">
        <w:rPr>
          <w:rFonts w:asciiTheme="minorHAnsi" w:hAnsiTheme="minorHAnsi" w:cstheme="minorHAnsi"/>
        </w:rPr>
        <w:t>provedbe Akcijskog</w:t>
      </w:r>
      <w:r w:rsidR="00412C60">
        <w:rPr>
          <w:rFonts w:asciiTheme="minorHAnsi" w:hAnsiTheme="minorHAnsi" w:cstheme="minorHAnsi"/>
        </w:rPr>
        <w:t xml:space="preserve"> plana i</w:t>
      </w:r>
    </w:p>
    <w:p w14:paraId="556170C0" w14:textId="1E4897B7" w:rsidR="00FE02EA" w:rsidRPr="009D2A43" w:rsidRDefault="00412C60" w:rsidP="00EE7021">
      <w:pPr>
        <w:pStyle w:val="NoSpacing"/>
        <w:numPr>
          <w:ilvl w:val="0"/>
          <w:numId w:val="36"/>
        </w:numPr>
        <w:spacing w:after="240"/>
        <w:rPr>
          <w:rFonts w:asciiTheme="minorHAnsi" w:hAnsiTheme="minorHAnsi" w:cstheme="minorHAnsi"/>
        </w:rPr>
      </w:pPr>
      <w:r>
        <w:rPr>
          <w:rFonts w:asciiTheme="minorHAnsi" w:hAnsiTheme="minorHAnsi" w:cstheme="minorHAnsi"/>
        </w:rPr>
        <w:t>Pregled Zakonodavnog</w:t>
      </w:r>
      <w:r w:rsidR="00EE1450" w:rsidRPr="009D2A43">
        <w:rPr>
          <w:rFonts w:asciiTheme="minorHAnsi" w:hAnsiTheme="minorHAnsi" w:cstheme="minorHAnsi"/>
        </w:rPr>
        <w:t xml:space="preserve"> o</w:t>
      </w:r>
      <w:r>
        <w:rPr>
          <w:rFonts w:asciiTheme="minorHAnsi" w:hAnsiTheme="minorHAnsi" w:cstheme="minorHAnsi"/>
        </w:rPr>
        <w:t>kvira</w:t>
      </w:r>
      <w:r w:rsidR="00EE1450" w:rsidRPr="009D2A43">
        <w:rPr>
          <w:rFonts w:asciiTheme="minorHAnsi" w:hAnsiTheme="minorHAnsi" w:cstheme="minorHAnsi"/>
        </w:rPr>
        <w:t>.</w:t>
      </w:r>
    </w:p>
    <w:p w14:paraId="68F941DC" w14:textId="4A3D72B3" w:rsidR="00C66C44" w:rsidRPr="009D2A43" w:rsidRDefault="00C66C44" w:rsidP="00E92750">
      <w:pPr>
        <w:pStyle w:val="NoSpacing"/>
      </w:pPr>
      <w:r w:rsidRPr="009D2A43">
        <w:t>Relevantni podaci za</w:t>
      </w:r>
      <w:r w:rsidR="009D2A43" w:rsidRPr="009D2A43">
        <w:t xml:space="preserve"> izradu</w:t>
      </w:r>
      <w:r w:rsidRPr="009D2A43">
        <w:t xml:space="preserve"> analize energetskih potrošnji u </w:t>
      </w:r>
      <w:r w:rsidR="009D2A43" w:rsidRPr="009D2A43">
        <w:t xml:space="preserve">sektoru </w:t>
      </w:r>
      <w:r w:rsidRPr="009D2A43">
        <w:t>zgr</w:t>
      </w:r>
      <w:r w:rsidR="009D2A43" w:rsidRPr="009D2A43">
        <w:t>adarstvo</w:t>
      </w:r>
      <w:r w:rsidRPr="009D2A43">
        <w:t xml:space="preserve"> Grada </w:t>
      </w:r>
      <w:r w:rsidR="000F64C5" w:rsidRPr="009D2A43">
        <w:t>Zagreba</w:t>
      </w:r>
      <w:r w:rsidRPr="009D2A43">
        <w:t xml:space="preserve"> prikupljeni su iz sljedećih izvora:</w:t>
      </w:r>
    </w:p>
    <w:p w14:paraId="526C8A61" w14:textId="77777777" w:rsidR="00A97575" w:rsidRPr="009D2A43" w:rsidRDefault="00A97575" w:rsidP="00EE7021">
      <w:pPr>
        <w:numPr>
          <w:ilvl w:val="0"/>
          <w:numId w:val="24"/>
        </w:numPr>
        <w:spacing w:line="240" w:lineRule="auto"/>
        <w:contextualSpacing/>
        <w:jc w:val="both"/>
        <w:rPr>
          <w:rFonts w:ascii="Calibri" w:eastAsia="Calibri" w:hAnsi="Calibri" w:cs="Times New Roman"/>
        </w:rPr>
      </w:pPr>
      <w:r w:rsidRPr="009D2A43">
        <w:rPr>
          <w:rFonts w:ascii="Calibri" w:eastAsia="Calibri" w:hAnsi="Calibri" w:cs="Times New Roman"/>
        </w:rPr>
        <w:t>Gradski ured za energetiku, zaštitu okoliša i održivi razvoj;</w:t>
      </w:r>
    </w:p>
    <w:p w14:paraId="29058CDF" w14:textId="77777777" w:rsidR="00A97575" w:rsidRPr="009D2A43" w:rsidRDefault="00A97575" w:rsidP="00EE7021">
      <w:pPr>
        <w:numPr>
          <w:ilvl w:val="0"/>
          <w:numId w:val="24"/>
        </w:numPr>
        <w:spacing w:line="240" w:lineRule="auto"/>
        <w:contextualSpacing/>
        <w:jc w:val="both"/>
        <w:rPr>
          <w:rFonts w:ascii="Calibri" w:eastAsia="Calibri" w:hAnsi="Calibri" w:cs="Times New Roman"/>
        </w:rPr>
      </w:pPr>
      <w:r w:rsidRPr="009D2A43">
        <w:rPr>
          <w:rFonts w:ascii="Calibri" w:eastAsia="Calibri" w:hAnsi="Calibri" w:cs="Times New Roman"/>
        </w:rPr>
        <w:t>Gradski ured za imovinsko-pravne poslove i imovinu Grada;</w:t>
      </w:r>
    </w:p>
    <w:p w14:paraId="54FA147D" w14:textId="55E34571" w:rsidR="00A97575" w:rsidRDefault="00A97575" w:rsidP="00EE7021">
      <w:pPr>
        <w:numPr>
          <w:ilvl w:val="0"/>
          <w:numId w:val="24"/>
        </w:numPr>
        <w:spacing w:line="240" w:lineRule="auto"/>
        <w:contextualSpacing/>
        <w:jc w:val="both"/>
        <w:rPr>
          <w:rFonts w:ascii="Calibri" w:eastAsia="Calibri" w:hAnsi="Calibri" w:cs="Times New Roman"/>
        </w:rPr>
      </w:pPr>
      <w:r w:rsidRPr="009D2A43">
        <w:rPr>
          <w:rFonts w:ascii="Calibri" w:eastAsia="Calibri" w:hAnsi="Calibri" w:cs="Times New Roman"/>
        </w:rPr>
        <w:t>Podružnice, trgovačka društva i ustan</w:t>
      </w:r>
      <w:r w:rsidR="004A32BA">
        <w:rPr>
          <w:rFonts w:ascii="Calibri" w:eastAsia="Calibri" w:hAnsi="Calibri" w:cs="Times New Roman"/>
        </w:rPr>
        <w:t>ova Zagrebačkog holdinga d.o.o.:</w:t>
      </w:r>
    </w:p>
    <w:p w14:paraId="5D1778CC"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AGM d.o.o.;</w:t>
      </w:r>
    </w:p>
    <w:p w14:paraId="688224C4"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Arena Zagreb;</w:t>
      </w:r>
    </w:p>
    <w:p w14:paraId="63C95A4D"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Autobusni kolodvor;</w:t>
      </w:r>
    </w:p>
    <w:p w14:paraId="3E9A39C7"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Centar d.o.o.;</w:t>
      </w:r>
    </w:p>
    <w:p w14:paraId="3DA76029"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Čistoća;</w:t>
      </w:r>
    </w:p>
    <w:p w14:paraId="5920C8B4"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Gradska groblja;</w:t>
      </w:r>
    </w:p>
    <w:p w14:paraId="59C089FD"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Gradska ljekarna Zagreb;</w:t>
      </w:r>
    </w:p>
    <w:p w14:paraId="4A7A9EA1"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Gradska plinara Zagreb d.o.o.;</w:t>
      </w:r>
    </w:p>
    <w:p w14:paraId="5D2459A8"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Gradska plinara Zagreb opskrba d.o.o.;</w:t>
      </w:r>
    </w:p>
    <w:p w14:paraId="569073B2"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Gradsko stambeno-komunalno gospodarstvo d.o.o.;</w:t>
      </w:r>
    </w:p>
    <w:p w14:paraId="7EB3628E"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Robni terminali Zagreb;</w:t>
      </w:r>
    </w:p>
    <w:p w14:paraId="42D8DB32"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Upravljanje nekretninama;</w:t>
      </w:r>
    </w:p>
    <w:p w14:paraId="145DDF83"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Upravljanje projektima;</w:t>
      </w:r>
    </w:p>
    <w:p w14:paraId="70546FF7"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Tržnice Zagreb;</w:t>
      </w:r>
    </w:p>
    <w:p w14:paraId="72584C97"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Vladimir Nazor;</w:t>
      </w:r>
    </w:p>
    <w:p w14:paraId="407F326B"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Vodoopskrba i odvodnja d.o.o.;</w:t>
      </w:r>
    </w:p>
    <w:p w14:paraId="6ABE0C8F"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Zagreb plakat d.o.o.;</w:t>
      </w:r>
    </w:p>
    <w:p w14:paraId="17F4B40D"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Zagreb stanogradnja d.o.o.;</w:t>
      </w:r>
    </w:p>
    <w:p w14:paraId="21AC11FE"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Zagrebparking;</w:t>
      </w:r>
    </w:p>
    <w:p w14:paraId="613B0ABF"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Zagrebačke ceste;</w:t>
      </w:r>
    </w:p>
    <w:p w14:paraId="31183A8C"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Zagrebački digitalni grad;</w:t>
      </w:r>
    </w:p>
    <w:p w14:paraId="098ADBB0"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Zagrebački električni tramvaj – ZET;</w:t>
      </w:r>
    </w:p>
    <w:p w14:paraId="2F1AA5B6"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lastRenderedPageBreak/>
        <w:t>Zagrebački velesajam;</w:t>
      </w:r>
    </w:p>
    <w:p w14:paraId="2C54087E" w14:textId="77777777" w:rsidR="004A32BA" w:rsidRPr="004A32BA" w:rsidRDefault="004A32BA" w:rsidP="00EE7021">
      <w:pPr>
        <w:numPr>
          <w:ilvl w:val="1"/>
          <w:numId w:val="24"/>
        </w:numPr>
        <w:spacing w:line="240" w:lineRule="auto"/>
        <w:contextualSpacing/>
        <w:jc w:val="both"/>
        <w:rPr>
          <w:rFonts w:ascii="Calibri" w:eastAsia="Calibri" w:hAnsi="Calibri" w:cs="Times New Roman"/>
        </w:rPr>
      </w:pPr>
      <w:r w:rsidRPr="004A32BA">
        <w:rPr>
          <w:rFonts w:ascii="Calibri" w:eastAsia="Calibri" w:hAnsi="Calibri" w:cs="Times New Roman"/>
        </w:rPr>
        <w:t>ZGOS i</w:t>
      </w:r>
    </w:p>
    <w:p w14:paraId="1502CD09" w14:textId="569E5313" w:rsidR="003D27C0" w:rsidRPr="000F5CFA" w:rsidRDefault="000F5CFA" w:rsidP="00EE7021">
      <w:pPr>
        <w:numPr>
          <w:ilvl w:val="1"/>
          <w:numId w:val="24"/>
        </w:numPr>
        <w:spacing w:line="240" w:lineRule="auto"/>
        <w:contextualSpacing/>
        <w:jc w:val="both"/>
        <w:rPr>
          <w:rFonts w:ascii="Calibri" w:eastAsia="Calibri" w:hAnsi="Calibri" w:cs="Times New Roman"/>
        </w:rPr>
      </w:pPr>
      <w:r>
        <w:rPr>
          <w:rFonts w:ascii="Calibri" w:eastAsia="Calibri" w:hAnsi="Calibri" w:cs="Times New Roman"/>
        </w:rPr>
        <w:t>Zrinjevac.</w:t>
      </w:r>
    </w:p>
    <w:p w14:paraId="18F0D235" w14:textId="77777777" w:rsidR="00A97575" w:rsidRPr="009D2A43" w:rsidRDefault="00A97575" w:rsidP="00EE7021">
      <w:pPr>
        <w:numPr>
          <w:ilvl w:val="0"/>
          <w:numId w:val="24"/>
        </w:numPr>
        <w:spacing w:line="240" w:lineRule="auto"/>
        <w:contextualSpacing/>
        <w:jc w:val="both"/>
        <w:rPr>
          <w:rFonts w:ascii="Calibri" w:eastAsia="Calibri" w:hAnsi="Calibri" w:cs="Times New Roman"/>
        </w:rPr>
      </w:pPr>
      <w:r w:rsidRPr="009D2A43">
        <w:rPr>
          <w:rFonts w:ascii="Calibri" w:eastAsia="Calibri" w:hAnsi="Calibri" w:cs="Times New Roman"/>
        </w:rPr>
        <w:t>Državni zavod za statistiku;</w:t>
      </w:r>
    </w:p>
    <w:p w14:paraId="4DC88779" w14:textId="2423BE64" w:rsidR="00C7023B" w:rsidRPr="009D2A43" w:rsidRDefault="00C7023B" w:rsidP="00EE7021">
      <w:pPr>
        <w:numPr>
          <w:ilvl w:val="0"/>
          <w:numId w:val="24"/>
        </w:numPr>
        <w:spacing w:line="240" w:lineRule="auto"/>
        <w:contextualSpacing/>
        <w:jc w:val="both"/>
        <w:rPr>
          <w:rFonts w:ascii="Calibri" w:eastAsia="Calibri" w:hAnsi="Calibri" w:cs="Times New Roman"/>
        </w:rPr>
      </w:pPr>
      <w:r w:rsidRPr="009D2A43">
        <w:rPr>
          <w:rFonts w:ascii="Calibri" w:eastAsia="Calibri" w:hAnsi="Calibri" w:cs="Times New Roman"/>
        </w:rPr>
        <w:t>Godišnji plan energetske učinkovitosti Grada Zagreba za 2016. godinu;</w:t>
      </w:r>
    </w:p>
    <w:p w14:paraId="69BD0A14" w14:textId="3F76F0AD" w:rsidR="00A97575" w:rsidRPr="009D2A43" w:rsidRDefault="00A97575" w:rsidP="00EE7021">
      <w:pPr>
        <w:numPr>
          <w:ilvl w:val="0"/>
          <w:numId w:val="24"/>
        </w:numPr>
        <w:spacing w:line="240" w:lineRule="auto"/>
        <w:contextualSpacing/>
        <w:jc w:val="both"/>
        <w:rPr>
          <w:rFonts w:ascii="Calibri" w:eastAsia="Calibri" w:hAnsi="Calibri" w:cs="Times New Roman"/>
        </w:rPr>
      </w:pPr>
      <w:r w:rsidRPr="009D2A43">
        <w:rPr>
          <w:rFonts w:ascii="Calibri" w:eastAsia="Calibri" w:hAnsi="Calibri" w:cs="Times New Roman"/>
        </w:rPr>
        <w:t xml:space="preserve">Statistički ljetopis Grada Zagreba </w:t>
      </w:r>
      <w:r w:rsidR="009D2A43" w:rsidRPr="009D2A43">
        <w:rPr>
          <w:rFonts w:ascii="Calibri" w:eastAsia="Calibri" w:hAnsi="Calibri" w:cs="Times New Roman"/>
        </w:rPr>
        <w:t xml:space="preserve">za </w:t>
      </w:r>
      <w:r w:rsidRPr="009D2A43">
        <w:rPr>
          <w:rFonts w:ascii="Calibri" w:eastAsia="Calibri" w:hAnsi="Calibri" w:cs="Times New Roman"/>
        </w:rPr>
        <w:t>2015.</w:t>
      </w:r>
      <w:r w:rsidR="009D2A43" w:rsidRPr="009D2A43">
        <w:rPr>
          <w:rFonts w:ascii="Calibri" w:eastAsia="Calibri" w:hAnsi="Calibri" w:cs="Times New Roman"/>
        </w:rPr>
        <w:t xml:space="preserve"> godinu</w:t>
      </w:r>
      <w:r w:rsidRPr="009D2A43">
        <w:rPr>
          <w:rFonts w:ascii="Calibri" w:eastAsia="Calibri" w:hAnsi="Calibri" w:cs="Times New Roman"/>
        </w:rPr>
        <w:t>;</w:t>
      </w:r>
    </w:p>
    <w:p w14:paraId="14387E68" w14:textId="77777777" w:rsidR="00A97575" w:rsidRPr="009D2A43" w:rsidRDefault="00A97575" w:rsidP="00EE7021">
      <w:pPr>
        <w:numPr>
          <w:ilvl w:val="0"/>
          <w:numId w:val="24"/>
        </w:numPr>
        <w:spacing w:line="240" w:lineRule="auto"/>
        <w:contextualSpacing/>
        <w:jc w:val="both"/>
        <w:rPr>
          <w:rFonts w:ascii="Calibri" w:eastAsia="Calibri" w:hAnsi="Calibri" w:cs="Times New Roman"/>
        </w:rPr>
      </w:pPr>
      <w:r w:rsidRPr="009D2A43">
        <w:rPr>
          <w:rFonts w:ascii="Calibri" w:eastAsia="Calibri" w:hAnsi="Calibri" w:cs="Times New Roman"/>
        </w:rPr>
        <w:t>HEP - TOPLINARSTVO d.o.o.;</w:t>
      </w:r>
    </w:p>
    <w:p w14:paraId="565606CA" w14:textId="77777777" w:rsidR="00A97575" w:rsidRPr="009D2A43" w:rsidRDefault="00A97575" w:rsidP="00EE7021">
      <w:pPr>
        <w:numPr>
          <w:ilvl w:val="0"/>
          <w:numId w:val="24"/>
        </w:numPr>
        <w:spacing w:line="240" w:lineRule="auto"/>
        <w:contextualSpacing/>
        <w:jc w:val="both"/>
        <w:rPr>
          <w:rFonts w:ascii="Calibri" w:eastAsia="Calibri" w:hAnsi="Calibri" w:cs="Times New Roman"/>
        </w:rPr>
      </w:pPr>
      <w:r w:rsidRPr="009D2A43">
        <w:rPr>
          <w:rFonts w:ascii="Calibri" w:eastAsia="Calibri" w:hAnsi="Calibri" w:cs="Times New Roman"/>
        </w:rPr>
        <w:t>Agencija za podršku informacijskim sustavima i informacijskim tehnologijama (APIS IT d.o.o.);</w:t>
      </w:r>
    </w:p>
    <w:p w14:paraId="3D4F5743" w14:textId="77777777" w:rsidR="00A97575" w:rsidRPr="009D2A43" w:rsidRDefault="00A97575" w:rsidP="00EE7021">
      <w:pPr>
        <w:numPr>
          <w:ilvl w:val="0"/>
          <w:numId w:val="24"/>
        </w:numPr>
        <w:spacing w:line="240" w:lineRule="auto"/>
        <w:contextualSpacing/>
        <w:jc w:val="both"/>
        <w:rPr>
          <w:rFonts w:ascii="Calibri" w:eastAsia="Calibri" w:hAnsi="Calibri" w:cs="Times New Roman"/>
        </w:rPr>
      </w:pPr>
      <w:r w:rsidRPr="009D2A43">
        <w:rPr>
          <w:rFonts w:ascii="Calibri" w:eastAsia="Calibri" w:hAnsi="Calibri" w:cs="Times New Roman"/>
        </w:rPr>
        <w:t>Službene stranice Zagrebačkog Holdinga;</w:t>
      </w:r>
    </w:p>
    <w:p w14:paraId="27D3840D" w14:textId="77777777" w:rsidR="00A97575" w:rsidRPr="00C57753" w:rsidRDefault="00A97575" w:rsidP="00EE7021">
      <w:pPr>
        <w:numPr>
          <w:ilvl w:val="0"/>
          <w:numId w:val="24"/>
        </w:numPr>
        <w:spacing w:line="240" w:lineRule="auto"/>
        <w:contextualSpacing/>
        <w:jc w:val="both"/>
        <w:rPr>
          <w:rFonts w:ascii="Calibri" w:eastAsia="Calibri" w:hAnsi="Calibri" w:cs="Times New Roman"/>
        </w:rPr>
      </w:pPr>
      <w:r w:rsidRPr="00C57753">
        <w:rPr>
          <w:rFonts w:ascii="Calibri" w:eastAsia="Calibri" w:hAnsi="Calibri" w:cs="Times New Roman"/>
        </w:rPr>
        <w:t>Informacijski sustav gospodarenja energijom (ISGE);</w:t>
      </w:r>
    </w:p>
    <w:p w14:paraId="787DB0F9" w14:textId="77777777" w:rsidR="00A97575" w:rsidRPr="00C57753" w:rsidRDefault="00A97575" w:rsidP="00EE7021">
      <w:pPr>
        <w:numPr>
          <w:ilvl w:val="0"/>
          <w:numId w:val="24"/>
        </w:numPr>
        <w:spacing w:line="240" w:lineRule="auto"/>
        <w:contextualSpacing/>
        <w:jc w:val="both"/>
        <w:rPr>
          <w:rFonts w:ascii="Calibri" w:eastAsia="Calibri" w:hAnsi="Calibri" w:cs="Times New Roman"/>
        </w:rPr>
      </w:pPr>
      <w:r w:rsidRPr="00C57753">
        <w:rPr>
          <w:rFonts w:ascii="Calibri" w:eastAsia="Calibri" w:hAnsi="Calibri" w:cs="Times New Roman"/>
        </w:rPr>
        <w:t>Gradska plinara Zagreb d.o.o. i</w:t>
      </w:r>
    </w:p>
    <w:p w14:paraId="08FB40E3" w14:textId="77777777" w:rsidR="00A97575" w:rsidRPr="00C57753" w:rsidRDefault="00A97575" w:rsidP="00EE7021">
      <w:pPr>
        <w:numPr>
          <w:ilvl w:val="0"/>
          <w:numId w:val="24"/>
        </w:numPr>
        <w:spacing w:line="240" w:lineRule="auto"/>
        <w:contextualSpacing/>
        <w:jc w:val="both"/>
        <w:rPr>
          <w:rFonts w:ascii="Calibri" w:eastAsia="Calibri" w:hAnsi="Calibri" w:cs="Times New Roman"/>
        </w:rPr>
      </w:pPr>
      <w:r w:rsidRPr="00C57753">
        <w:rPr>
          <w:rFonts w:ascii="Calibri" w:eastAsia="Calibri" w:hAnsi="Calibri" w:cs="Times New Roman"/>
        </w:rPr>
        <w:t>HEP - OPERATOR DISTRIBUCIJSKOG SUSTAVA d.o.o.</w:t>
      </w:r>
    </w:p>
    <w:p w14:paraId="65B0FABE" w14:textId="6E7860FE" w:rsidR="00997E9B" w:rsidRPr="009D2A43" w:rsidRDefault="00997E9B" w:rsidP="00E92750">
      <w:pPr>
        <w:pStyle w:val="NoSpacing"/>
      </w:pPr>
      <w:r w:rsidRPr="00C57753">
        <w:t xml:space="preserve">Relevantni podaci za </w:t>
      </w:r>
      <w:r w:rsidR="009D2A43" w:rsidRPr="00C57753">
        <w:t xml:space="preserve">izradu </w:t>
      </w:r>
      <w:r w:rsidRPr="00C57753">
        <w:t>analize energetskih potrošnji i opis sektora prometa prikupljeni su iz sljedećih izvora:</w:t>
      </w:r>
    </w:p>
    <w:p w14:paraId="519033D9" w14:textId="77777777" w:rsidR="00997E9B" w:rsidRPr="009D2A43" w:rsidRDefault="00997E9B" w:rsidP="00E92750">
      <w:pPr>
        <w:pStyle w:val="NoSpacing"/>
        <w:numPr>
          <w:ilvl w:val="0"/>
          <w:numId w:val="16"/>
        </w:numPr>
      </w:pPr>
      <w:r w:rsidRPr="009D2A43">
        <w:t>Ministarstvo unutarnjih poslova Republike Hrvatske;</w:t>
      </w:r>
    </w:p>
    <w:p w14:paraId="2421EA18" w14:textId="4B91F41A" w:rsidR="00997E9B" w:rsidRPr="009D2A43" w:rsidRDefault="00997E9B" w:rsidP="00E92750">
      <w:pPr>
        <w:pStyle w:val="NoSpacing"/>
        <w:numPr>
          <w:ilvl w:val="0"/>
          <w:numId w:val="16"/>
        </w:numPr>
      </w:pPr>
      <w:r w:rsidRPr="009D2A43">
        <w:t xml:space="preserve">Statistički ljetopis Grada Zagreba </w:t>
      </w:r>
      <w:r w:rsidR="009D2A43" w:rsidRPr="009D2A43">
        <w:t xml:space="preserve">za </w:t>
      </w:r>
      <w:r w:rsidRPr="009D2A43">
        <w:t>2015.</w:t>
      </w:r>
      <w:r w:rsidR="009D2A43" w:rsidRPr="009D2A43">
        <w:t xml:space="preserve"> godinu</w:t>
      </w:r>
      <w:r w:rsidRPr="009D2A43">
        <w:t>;</w:t>
      </w:r>
    </w:p>
    <w:p w14:paraId="441E6187" w14:textId="77777777" w:rsidR="00997E9B" w:rsidRPr="009D2A43" w:rsidRDefault="00997E9B" w:rsidP="00E92750">
      <w:pPr>
        <w:pStyle w:val="NoSpacing"/>
        <w:numPr>
          <w:ilvl w:val="0"/>
          <w:numId w:val="16"/>
        </w:numPr>
      </w:pPr>
      <w:r w:rsidRPr="009D2A43">
        <w:t>Godišnji plan energetske učinkovitosti Grada Zagreba za 2016. godinu;</w:t>
      </w:r>
    </w:p>
    <w:p w14:paraId="5C904478" w14:textId="5400636B" w:rsidR="00997E9B" w:rsidRPr="009D2A43" w:rsidRDefault="00997E9B" w:rsidP="00E92750">
      <w:pPr>
        <w:pStyle w:val="NoSpacing"/>
        <w:numPr>
          <w:ilvl w:val="0"/>
          <w:numId w:val="16"/>
        </w:numPr>
      </w:pPr>
      <w:r w:rsidRPr="009D2A43">
        <w:t>Podružnica, trgovačk</w:t>
      </w:r>
      <w:r w:rsidR="00E768B6">
        <w:t>a</w:t>
      </w:r>
      <w:r w:rsidRPr="009D2A43">
        <w:t xml:space="preserve"> društva i ustanove u vlasništvu Zagrebačkog holdinga d.o.o.;</w:t>
      </w:r>
    </w:p>
    <w:p w14:paraId="259F93ED" w14:textId="77777777" w:rsidR="00997E9B" w:rsidRPr="009D2A43" w:rsidRDefault="00997E9B" w:rsidP="00E92750">
      <w:pPr>
        <w:pStyle w:val="NoSpacing"/>
        <w:numPr>
          <w:ilvl w:val="0"/>
          <w:numId w:val="16"/>
        </w:numPr>
      </w:pPr>
      <w:r w:rsidRPr="009D2A43">
        <w:t>Službene stranice Zagrebačkog holdinga d.o.o. -  podružnice ZET;</w:t>
      </w:r>
    </w:p>
    <w:p w14:paraId="2012EE94" w14:textId="77777777" w:rsidR="009D2A43" w:rsidRPr="009D2A43" w:rsidRDefault="00997E9B" w:rsidP="00E92750">
      <w:pPr>
        <w:numPr>
          <w:ilvl w:val="0"/>
          <w:numId w:val="16"/>
        </w:numPr>
        <w:spacing w:after="0" w:line="240" w:lineRule="auto"/>
        <w:contextualSpacing/>
        <w:jc w:val="both"/>
      </w:pPr>
      <w:r w:rsidRPr="009D2A43">
        <w:t>HŽ Putnički prijevoz d.o.o.;</w:t>
      </w:r>
      <w:r w:rsidR="0001318F" w:rsidRPr="009D2A43">
        <w:rPr>
          <w:rFonts w:ascii="Calibri" w:eastAsia="Calibri" w:hAnsi="Calibri" w:cs="Times New Roman"/>
        </w:rPr>
        <w:t xml:space="preserve"> </w:t>
      </w:r>
    </w:p>
    <w:p w14:paraId="2BE150B8" w14:textId="115761F6" w:rsidR="00997E9B" w:rsidRPr="009D2A43" w:rsidRDefault="00997E9B" w:rsidP="00E92750">
      <w:pPr>
        <w:numPr>
          <w:ilvl w:val="0"/>
          <w:numId w:val="16"/>
        </w:numPr>
        <w:spacing w:after="0" w:line="240" w:lineRule="auto"/>
        <w:contextualSpacing/>
        <w:jc w:val="both"/>
      </w:pPr>
      <w:r w:rsidRPr="009D2A43">
        <w:t>Javnih ustanova u vlasništvu Grada i</w:t>
      </w:r>
    </w:p>
    <w:p w14:paraId="7DE27F3A" w14:textId="0CFDF726" w:rsidR="00997E9B" w:rsidRDefault="00997E9B" w:rsidP="00E92750">
      <w:pPr>
        <w:pStyle w:val="NoSpacing"/>
        <w:numPr>
          <w:ilvl w:val="0"/>
          <w:numId w:val="16"/>
        </w:numPr>
        <w:spacing w:after="240"/>
      </w:pPr>
      <w:r w:rsidRPr="009D2A43">
        <w:t>Odluka o prijevozu putnika u javnom prometu (20/13, 25/13).</w:t>
      </w:r>
    </w:p>
    <w:p w14:paraId="53363835" w14:textId="5914F692" w:rsidR="007B4A20" w:rsidRPr="007C7920" w:rsidRDefault="00257569" w:rsidP="00E92750">
      <w:pPr>
        <w:spacing w:line="240" w:lineRule="auto"/>
        <w:jc w:val="both"/>
        <w:rPr>
          <w:highlight w:val="yellow"/>
        </w:rPr>
      </w:pPr>
      <w:r w:rsidRPr="00C57753">
        <w:t>Relevantni podaci za analizu energetske potrošnje u sektoru javne rasvjete prikupljeni su od Gradskog ureda za prostorno uređenje, izgradnju Grada, graditeljstvo, komunalne poslove i promet, Odsjek za građenje i održavanje javne rasvjete, Grad Zagreb, koji obavlja poslove vezane uz građenje i održavanj</w:t>
      </w:r>
      <w:r w:rsidR="002F4657" w:rsidRPr="00C57753">
        <w:t>e javne rasvjete Grada Zagreba.</w:t>
      </w:r>
      <w:r w:rsidR="004912C8" w:rsidRPr="007C7920">
        <w:rPr>
          <w:highlight w:val="yellow"/>
        </w:rPr>
        <w:br w:type="page"/>
      </w:r>
    </w:p>
    <w:p w14:paraId="570FFE80" w14:textId="02BC330E" w:rsidR="007B4A20" w:rsidRPr="00C57753" w:rsidRDefault="007B4A20" w:rsidP="00E92750">
      <w:pPr>
        <w:pStyle w:val="Heading1"/>
        <w:spacing w:after="240" w:line="240" w:lineRule="auto"/>
        <w:jc w:val="both"/>
        <w:rPr>
          <w:b/>
        </w:rPr>
      </w:pPr>
      <w:bookmarkStart w:id="10" w:name="_Toc468345343"/>
      <w:r w:rsidRPr="00C57753">
        <w:rPr>
          <w:b/>
        </w:rPr>
        <w:lastRenderedPageBreak/>
        <w:t>PRAĆENJE I IZVJEŠTAVANJE O PROVEDBI AKCIJSKOG PLANA ENERGETSKI ODRŽIVOG RAZVITKA GRADA ZAGREBA</w:t>
      </w:r>
      <w:bookmarkEnd w:id="10"/>
    </w:p>
    <w:p w14:paraId="34A18A41" w14:textId="107B150C" w:rsidR="00FC5EC7" w:rsidRPr="006F617C" w:rsidRDefault="00542E1C" w:rsidP="00E92750">
      <w:pPr>
        <w:spacing w:line="240" w:lineRule="auto"/>
        <w:jc w:val="both"/>
        <w:rPr>
          <w:rFonts w:eastAsia="Calibri" w:cs="Times New Roman"/>
        </w:rPr>
      </w:pPr>
      <w:r w:rsidRPr="006F617C">
        <w:rPr>
          <w:rFonts w:eastAsia="Calibri" w:cs="Times New Roman"/>
        </w:rPr>
        <w:t>Praćenje i izvještavanje</w:t>
      </w:r>
      <w:r w:rsidR="003D7C95" w:rsidRPr="006F617C">
        <w:rPr>
          <w:rFonts w:eastAsia="Calibri" w:cs="Times New Roman"/>
        </w:rPr>
        <w:t xml:space="preserve"> o provedbi Akc</w:t>
      </w:r>
      <w:r w:rsidRPr="006F617C">
        <w:rPr>
          <w:rFonts w:eastAsia="Calibri" w:cs="Times New Roman"/>
        </w:rPr>
        <w:t>ijskog plana je detaljno opisano</w:t>
      </w:r>
      <w:r w:rsidR="003D7C95" w:rsidRPr="006F617C">
        <w:rPr>
          <w:rFonts w:eastAsia="Calibri" w:cs="Times New Roman"/>
        </w:rPr>
        <w:t xml:space="preserve"> u Priručniku za praćenje i izvještavanje o provedbi Akcijskog plana službeno objavljenom na </w:t>
      </w:r>
      <w:r w:rsidR="00E768B6">
        <w:rPr>
          <w:rFonts w:eastAsia="Calibri" w:cs="Times New Roman"/>
        </w:rPr>
        <w:t>i</w:t>
      </w:r>
      <w:r w:rsidR="003D7C95" w:rsidRPr="006F617C">
        <w:rPr>
          <w:rFonts w:eastAsia="Calibri" w:cs="Times New Roman"/>
        </w:rPr>
        <w:t>nternet</w:t>
      </w:r>
      <w:r w:rsidR="00E768B6">
        <w:rPr>
          <w:rFonts w:eastAsia="Calibri" w:cs="Times New Roman"/>
        </w:rPr>
        <w:t>skim</w:t>
      </w:r>
      <w:r w:rsidR="003D7C95" w:rsidRPr="006F617C">
        <w:rPr>
          <w:rFonts w:eastAsia="Calibri" w:cs="Times New Roman"/>
        </w:rPr>
        <w:t xml:space="preserve"> stranicama Sporazuma gradonačelnika, 4. srpnja 2014. godine.</w:t>
      </w:r>
      <w:r w:rsidR="003D7C95" w:rsidRPr="006F617C">
        <w:rPr>
          <w:rFonts w:eastAsia="Calibri" w:cs="Times New Roman"/>
          <w:vertAlign w:val="superscript"/>
        </w:rPr>
        <w:footnoteReference w:id="10"/>
      </w:r>
    </w:p>
    <w:p w14:paraId="5DC6E05D" w14:textId="64E8155D" w:rsidR="003D7C95" w:rsidRPr="006F617C" w:rsidRDefault="003D7C95" w:rsidP="00E92750">
      <w:pPr>
        <w:spacing w:line="240" w:lineRule="auto"/>
        <w:jc w:val="both"/>
        <w:rPr>
          <w:rFonts w:eastAsia="Calibri" w:cs="Times New Roman"/>
        </w:rPr>
      </w:pPr>
      <w:r w:rsidRPr="006F617C">
        <w:rPr>
          <w:rFonts w:eastAsia="Calibri" w:cs="Times New Roman"/>
        </w:rPr>
        <w:t>Prema odredbama Priručnika službene obrasce o praćenju provedbe Akcijskog plana treba ispuniti na službenim internetskim stranicama Ureda Sporazuma gradonačelnika</w:t>
      </w:r>
      <w:r w:rsidRPr="006F617C">
        <w:rPr>
          <w:rFonts w:eastAsia="Calibri" w:cs="Times New Roman"/>
          <w:vertAlign w:val="superscript"/>
        </w:rPr>
        <w:footnoteReference w:id="11"/>
      </w:r>
      <w:r w:rsidR="0052563E" w:rsidRPr="006F617C">
        <w:rPr>
          <w:rFonts w:eastAsia="Calibri" w:cs="Times New Roman"/>
        </w:rPr>
        <w:t xml:space="preserve">. </w:t>
      </w:r>
      <w:r w:rsidRPr="006F617C">
        <w:rPr>
          <w:rFonts w:ascii="Calibri" w:eastAsia="Calibri" w:hAnsi="Calibri" w:cs="Times New Roman"/>
        </w:rPr>
        <w:t>Detaljni sadržaj službenih CoM obrazaca za izvještavan</w:t>
      </w:r>
      <w:r w:rsidR="003409EC" w:rsidRPr="006F617C">
        <w:rPr>
          <w:rFonts w:ascii="Calibri" w:eastAsia="Calibri" w:hAnsi="Calibri" w:cs="Times New Roman"/>
        </w:rPr>
        <w:t>je Europske komisije o provedbi</w:t>
      </w:r>
      <w:r w:rsidRPr="006F617C">
        <w:rPr>
          <w:rFonts w:ascii="Calibri" w:eastAsia="Calibri" w:hAnsi="Calibri" w:cs="Times New Roman"/>
        </w:rPr>
        <w:t xml:space="preserve"> Akcijskog plana prikazan je u </w:t>
      </w:r>
      <w:r w:rsidRPr="006F617C">
        <w:rPr>
          <w:rFonts w:ascii="Calibri" w:eastAsia="Calibri" w:hAnsi="Calibri" w:cs="Times New Roman"/>
        </w:rPr>
        <w:fldChar w:fldCharType="begin"/>
      </w:r>
      <w:r w:rsidRPr="006F617C">
        <w:rPr>
          <w:rFonts w:ascii="Calibri" w:eastAsia="Calibri" w:hAnsi="Calibri" w:cs="Times New Roman"/>
        </w:rPr>
        <w:instrText xml:space="preserve"> REF _Ref466890909 \h  \* MERGEFORMAT </w:instrText>
      </w:r>
      <w:r w:rsidRPr="006F617C">
        <w:rPr>
          <w:rFonts w:ascii="Calibri" w:eastAsia="Calibri" w:hAnsi="Calibri" w:cs="Times New Roman"/>
        </w:rPr>
      </w:r>
      <w:r w:rsidRPr="006F617C">
        <w:rPr>
          <w:rFonts w:ascii="Calibri" w:eastAsia="Calibri" w:hAnsi="Calibri" w:cs="Times New Roman"/>
        </w:rPr>
        <w:fldChar w:fldCharType="separate"/>
      </w:r>
      <w:r w:rsidR="001327C7">
        <w:rPr>
          <w:rFonts w:eastAsia="Calibri" w:cs="Times New Roman"/>
          <w:b/>
          <w:bCs/>
        </w:rPr>
        <w:t>Tablici</w:t>
      </w:r>
      <w:r w:rsidR="009C319B" w:rsidRPr="009C319B">
        <w:rPr>
          <w:rFonts w:eastAsia="Calibri" w:cs="Times New Roman"/>
          <w:b/>
          <w:bCs/>
        </w:rPr>
        <w:t xml:space="preserve"> </w:t>
      </w:r>
      <w:r w:rsidR="009C319B" w:rsidRPr="009C319B">
        <w:rPr>
          <w:rFonts w:eastAsia="Calibri" w:cs="Times New Roman"/>
          <w:b/>
          <w:bCs/>
          <w:noProof/>
        </w:rPr>
        <w:t>3.1</w:t>
      </w:r>
      <w:r w:rsidRPr="006F617C">
        <w:rPr>
          <w:rFonts w:ascii="Calibri" w:eastAsia="Calibri" w:hAnsi="Calibri" w:cs="Times New Roman"/>
        </w:rPr>
        <w:fldChar w:fldCharType="end"/>
      </w:r>
      <w:r w:rsidRPr="006F617C">
        <w:rPr>
          <w:rFonts w:ascii="Calibri" w:eastAsia="Calibri" w:hAnsi="Calibri" w:cs="Times New Roman"/>
        </w:rPr>
        <w:t>.</w:t>
      </w:r>
    </w:p>
    <w:p w14:paraId="56D7FE11" w14:textId="3291E399" w:rsidR="00437FFC" w:rsidRPr="006F617C" w:rsidRDefault="003D7C95" w:rsidP="00E92750">
      <w:pPr>
        <w:tabs>
          <w:tab w:val="right" w:pos="9070"/>
        </w:tabs>
        <w:spacing w:after="0" w:line="240" w:lineRule="auto"/>
        <w:jc w:val="both"/>
        <w:rPr>
          <w:rFonts w:eastAsia="Calibri" w:cs="Times New Roman"/>
          <w:sz w:val="20"/>
          <w:szCs w:val="20"/>
        </w:rPr>
      </w:pPr>
      <w:bookmarkStart w:id="11" w:name="_Ref466890909"/>
      <w:bookmarkStart w:id="12" w:name="_Toc451502897"/>
      <w:bookmarkStart w:id="13" w:name="_Toc468277492"/>
      <w:r w:rsidRPr="006F617C">
        <w:rPr>
          <w:rFonts w:eastAsia="Calibri" w:cs="Times New Roman"/>
          <w:b/>
          <w:bCs/>
          <w:sz w:val="20"/>
          <w:szCs w:val="20"/>
        </w:rPr>
        <w:t xml:space="preserve">Tablica </w:t>
      </w:r>
      <w:r w:rsidRPr="006F617C">
        <w:rPr>
          <w:rFonts w:eastAsia="Calibri" w:cs="Times New Roman"/>
          <w:b/>
          <w:bCs/>
          <w:sz w:val="20"/>
          <w:szCs w:val="20"/>
        </w:rPr>
        <w:fldChar w:fldCharType="begin"/>
      </w:r>
      <w:r w:rsidRPr="006F617C">
        <w:rPr>
          <w:rFonts w:eastAsia="Calibri" w:cs="Times New Roman"/>
          <w:b/>
          <w:bCs/>
          <w:sz w:val="20"/>
          <w:szCs w:val="20"/>
        </w:rPr>
        <w:instrText xml:space="preserve"> STYLEREF 1 \s </w:instrText>
      </w:r>
      <w:r w:rsidRPr="006F617C">
        <w:rPr>
          <w:rFonts w:eastAsia="Calibri" w:cs="Times New Roman"/>
          <w:b/>
          <w:bCs/>
          <w:sz w:val="20"/>
          <w:szCs w:val="20"/>
        </w:rPr>
        <w:fldChar w:fldCharType="separate"/>
      </w:r>
      <w:r w:rsidR="009C319B">
        <w:rPr>
          <w:rFonts w:eastAsia="Calibri" w:cs="Times New Roman"/>
          <w:b/>
          <w:bCs/>
          <w:noProof/>
          <w:sz w:val="20"/>
          <w:szCs w:val="20"/>
        </w:rPr>
        <w:t>3</w:t>
      </w:r>
      <w:r w:rsidRPr="006F617C">
        <w:rPr>
          <w:rFonts w:eastAsia="Calibri" w:cs="Times New Roman"/>
          <w:b/>
          <w:bCs/>
          <w:sz w:val="20"/>
          <w:szCs w:val="20"/>
        </w:rPr>
        <w:fldChar w:fldCharType="end"/>
      </w:r>
      <w:r w:rsidRPr="006F617C">
        <w:rPr>
          <w:rFonts w:eastAsia="Calibri" w:cs="Times New Roman"/>
          <w:b/>
          <w:bCs/>
          <w:sz w:val="20"/>
          <w:szCs w:val="20"/>
        </w:rPr>
        <w:t>.</w:t>
      </w:r>
      <w:r w:rsidRPr="006F617C">
        <w:rPr>
          <w:rFonts w:eastAsia="Calibri" w:cs="Times New Roman"/>
          <w:b/>
          <w:bCs/>
          <w:sz w:val="20"/>
          <w:szCs w:val="20"/>
        </w:rPr>
        <w:fldChar w:fldCharType="begin"/>
      </w:r>
      <w:r w:rsidRPr="006F617C">
        <w:rPr>
          <w:rFonts w:eastAsia="Calibri" w:cs="Times New Roman"/>
          <w:b/>
          <w:bCs/>
          <w:sz w:val="20"/>
          <w:szCs w:val="20"/>
        </w:rPr>
        <w:instrText xml:space="preserve"> SEQ Tablica \* ARABIC \s 1 </w:instrText>
      </w:r>
      <w:r w:rsidRPr="006F617C">
        <w:rPr>
          <w:rFonts w:eastAsia="Calibri" w:cs="Times New Roman"/>
          <w:b/>
          <w:bCs/>
          <w:sz w:val="20"/>
          <w:szCs w:val="20"/>
        </w:rPr>
        <w:fldChar w:fldCharType="separate"/>
      </w:r>
      <w:r w:rsidR="009C319B">
        <w:rPr>
          <w:rFonts w:eastAsia="Calibri" w:cs="Times New Roman"/>
          <w:b/>
          <w:bCs/>
          <w:noProof/>
          <w:sz w:val="20"/>
          <w:szCs w:val="20"/>
        </w:rPr>
        <w:t>1</w:t>
      </w:r>
      <w:r w:rsidRPr="006F617C">
        <w:rPr>
          <w:rFonts w:eastAsia="Calibri" w:cs="Times New Roman"/>
          <w:b/>
          <w:bCs/>
          <w:sz w:val="20"/>
          <w:szCs w:val="20"/>
        </w:rPr>
        <w:fldChar w:fldCharType="end"/>
      </w:r>
      <w:bookmarkEnd w:id="11"/>
      <w:r w:rsidRPr="006F617C">
        <w:rPr>
          <w:rFonts w:eastAsia="Calibri" w:cs="Times New Roman"/>
          <w:b/>
          <w:bCs/>
          <w:noProof/>
          <w:sz w:val="20"/>
          <w:szCs w:val="20"/>
        </w:rPr>
        <w:t xml:space="preserve"> </w:t>
      </w:r>
      <w:bookmarkEnd w:id="12"/>
      <w:r w:rsidR="00437FFC" w:rsidRPr="006F617C">
        <w:rPr>
          <w:rFonts w:ascii="Calibri" w:eastAsia="Calibri" w:hAnsi="Calibri" w:cs="Times New Roman"/>
          <w:sz w:val="20"/>
          <w:szCs w:val="20"/>
        </w:rPr>
        <w:t xml:space="preserve">Sadržaj službenih CoM obrazaca za </w:t>
      </w:r>
      <w:r w:rsidR="003409EC" w:rsidRPr="006F617C">
        <w:rPr>
          <w:rFonts w:ascii="Calibri" w:eastAsia="Calibri" w:hAnsi="Calibri" w:cs="Times New Roman"/>
          <w:sz w:val="20"/>
          <w:szCs w:val="20"/>
        </w:rPr>
        <w:t>izvještavanje o provedbi</w:t>
      </w:r>
      <w:r w:rsidR="00437FFC" w:rsidRPr="006F617C">
        <w:rPr>
          <w:rFonts w:ascii="Calibri" w:eastAsia="Calibri" w:hAnsi="Calibri" w:cs="Times New Roman"/>
          <w:sz w:val="20"/>
          <w:szCs w:val="20"/>
        </w:rPr>
        <w:t xml:space="preserve"> Akcijskog plana</w:t>
      </w:r>
      <w:bookmarkEnd w:id="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312"/>
        <w:gridCol w:w="4097"/>
      </w:tblGrid>
      <w:tr w:rsidR="00437FFC" w:rsidRPr="006F617C" w14:paraId="60B50952" w14:textId="77777777" w:rsidTr="0004725C">
        <w:trPr>
          <w:trHeight w:val="217"/>
        </w:trPr>
        <w:tc>
          <w:tcPr>
            <w:tcW w:w="9180" w:type="dxa"/>
            <w:gridSpan w:val="3"/>
            <w:shd w:val="clear" w:color="auto" w:fill="4F81BD" w:themeFill="accent1"/>
          </w:tcPr>
          <w:p w14:paraId="373AAABE" w14:textId="77777777" w:rsidR="00437FFC" w:rsidRPr="006F617C" w:rsidRDefault="00437FFC" w:rsidP="00E92750">
            <w:pPr>
              <w:spacing w:after="0" w:line="240" w:lineRule="auto"/>
              <w:jc w:val="center"/>
              <w:rPr>
                <w:rFonts w:ascii="Calibri" w:eastAsia="Calibri" w:hAnsi="Calibri" w:cs="Times New Roman"/>
                <w:sz w:val="18"/>
                <w:szCs w:val="18"/>
              </w:rPr>
            </w:pPr>
            <w:r w:rsidRPr="006F617C">
              <w:rPr>
                <w:rFonts w:ascii="Calibri" w:eastAsia="Calibri" w:hAnsi="Calibri" w:cs="Times New Roman"/>
                <w:sz w:val="18"/>
                <w:szCs w:val="18"/>
              </w:rPr>
              <w:t>Proces izvještavanja: Sadržaj službenih obrazaca za izvještavanje</w:t>
            </w:r>
          </w:p>
        </w:tc>
      </w:tr>
      <w:tr w:rsidR="00437FFC" w:rsidRPr="006F617C" w14:paraId="34EDB373" w14:textId="77777777" w:rsidTr="006F617C">
        <w:trPr>
          <w:trHeight w:val="47"/>
        </w:trPr>
        <w:tc>
          <w:tcPr>
            <w:tcW w:w="1560" w:type="dxa"/>
            <w:shd w:val="clear" w:color="auto" w:fill="DBE5F1" w:themeFill="accent1" w:themeFillTint="33"/>
          </w:tcPr>
          <w:p w14:paraId="1C3387E0" w14:textId="77777777" w:rsidR="00437FFC" w:rsidRPr="006F617C" w:rsidRDefault="00437FFC" w:rsidP="00E92750">
            <w:pPr>
              <w:spacing w:after="0" w:line="240" w:lineRule="auto"/>
              <w:jc w:val="both"/>
              <w:rPr>
                <w:rFonts w:ascii="Calibri" w:eastAsia="Calibri" w:hAnsi="Calibri" w:cs="Times New Roman"/>
                <w:sz w:val="18"/>
                <w:szCs w:val="18"/>
              </w:rPr>
            </w:pPr>
          </w:p>
        </w:tc>
        <w:tc>
          <w:tcPr>
            <w:tcW w:w="3402" w:type="dxa"/>
            <w:shd w:val="clear" w:color="auto" w:fill="B8CCE4" w:themeFill="accent1" w:themeFillTint="66"/>
          </w:tcPr>
          <w:p w14:paraId="7FF0643A" w14:textId="21D53A4D" w:rsidR="00437FFC" w:rsidRPr="006F617C" w:rsidRDefault="00437FFC" w:rsidP="00E92750">
            <w:pPr>
              <w:spacing w:after="0" w:line="240" w:lineRule="auto"/>
              <w:jc w:val="center"/>
              <w:rPr>
                <w:rFonts w:ascii="Calibri" w:eastAsia="Calibri" w:hAnsi="Calibri" w:cs="Times New Roman"/>
                <w:sz w:val="18"/>
                <w:szCs w:val="18"/>
              </w:rPr>
            </w:pPr>
            <w:r w:rsidRPr="006F617C">
              <w:rPr>
                <w:rFonts w:ascii="Calibri" w:eastAsia="Calibri" w:hAnsi="Calibri" w:cs="Times New Roman"/>
                <w:sz w:val="18"/>
                <w:szCs w:val="18"/>
              </w:rPr>
              <w:t>Izrada Akcijskog plana</w:t>
            </w:r>
            <w:r w:rsidR="006F617C">
              <w:rPr>
                <w:rStyle w:val="FootnoteReference"/>
                <w:rFonts w:ascii="Calibri" w:eastAsia="Calibri" w:hAnsi="Calibri"/>
                <w:sz w:val="18"/>
                <w:szCs w:val="18"/>
              </w:rPr>
              <w:footnoteReference w:id="12"/>
            </w:r>
          </w:p>
        </w:tc>
        <w:tc>
          <w:tcPr>
            <w:tcW w:w="4218" w:type="dxa"/>
            <w:shd w:val="clear" w:color="auto" w:fill="95B3D7" w:themeFill="accent1" w:themeFillTint="99"/>
          </w:tcPr>
          <w:p w14:paraId="44420CB1" w14:textId="77777777" w:rsidR="00437FFC" w:rsidRPr="006F617C" w:rsidRDefault="00437FFC" w:rsidP="00E92750">
            <w:pPr>
              <w:spacing w:after="0" w:line="240" w:lineRule="auto"/>
              <w:jc w:val="center"/>
              <w:rPr>
                <w:rFonts w:ascii="Calibri" w:eastAsia="Calibri" w:hAnsi="Calibri" w:cs="Times New Roman"/>
                <w:sz w:val="18"/>
                <w:szCs w:val="18"/>
              </w:rPr>
            </w:pPr>
            <w:r w:rsidRPr="006F617C">
              <w:rPr>
                <w:rFonts w:ascii="Calibri" w:eastAsia="Calibri" w:hAnsi="Calibri" w:cs="Times New Roman"/>
                <w:sz w:val="18"/>
                <w:szCs w:val="18"/>
              </w:rPr>
              <w:t>Praćenje provedbe Akcijskog plana</w:t>
            </w:r>
          </w:p>
        </w:tc>
      </w:tr>
      <w:tr w:rsidR="00437FFC" w:rsidRPr="006F617C" w14:paraId="72BBCD48" w14:textId="77777777" w:rsidTr="006F617C">
        <w:trPr>
          <w:trHeight w:val="887"/>
        </w:trPr>
        <w:tc>
          <w:tcPr>
            <w:tcW w:w="1560" w:type="dxa"/>
            <w:shd w:val="clear" w:color="auto" w:fill="DBE5F1" w:themeFill="accent1" w:themeFillTint="33"/>
          </w:tcPr>
          <w:p w14:paraId="1E0A11C1" w14:textId="77777777" w:rsidR="00437FFC" w:rsidRPr="006F617C" w:rsidRDefault="00437FFC" w:rsidP="00E92750">
            <w:pPr>
              <w:spacing w:after="0" w:line="240" w:lineRule="auto"/>
              <w:jc w:val="both"/>
              <w:rPr>
                <w:rFonts w:ascii="Calibri" w:eastAsia="Calibri" w:hAnsi="Calibri" w:cs="Times New Roman"/>
                <w:sz w:val="18"/>
                <w:szCs w:val="18"/>
              </w:rPr>
            </w:pPr>
            <w:r w:rsidRPr="006F617C">
              <w:rPr>
                <w:rFonts w:ascii="Calibri" w:eastAsia="Calibri" w:hAnsi="Calibri" w:cs="Times New Roman"/>
                <w:sz w:val="18"/>
                <w:szCs w:val="18"/>
              </w:rPr>
              <w:t>DIO I: Opća strategija</w:t>
            </w:r>
          </w:p>
        </w:tc>
        <w:tc>
          <w:tcPr>
            <w:tcW w:w="3402" w:type="dxa"/>
            <w:shd w:val="clear" w:color="auto" w:fill="B8CCE4" w:themeFill="accent1" w:themeFillTint="66"/>
          </w:tcPr>
          <w:p w14:paraId="0357DDD4" w14:textId="77777777" w:rsidR="00437FFC" w:rsidRPr="006F617C" w:rsidRDefault="00437FFC" w:rsidP="00E92750">
            <w:pPr>
              <w:spacing w:after="0" w:line="240" w:lineRule="auto"/>
              <w:jc w:val="both"/>
              <w:rPr>
                <w:rFonts w:ascii="Calibri" w:eastAsia="Calibri" w:hAnsi="Calibri" w:cs="Times New Roman"/>
                <w:sz w:val="18"/>
                <w:szCs w:val="18"/>
              </w:rPr>
            </w:pPr>
            <w:r w:rsidRPr="006F617C">
              <w:rPr>
                <w:rFonts w:ascii="Calibri" w:eastAsia="Calibri" w:hAnsi="Calibri" w:cs="Times New Roman"/>
                <w:sz w:val="18"/>
                <w:szCs w:val="18"/>
              </w:rPr>
              <w:t>Glavne informacije o postavljenom cilju smanjenja emisija CO</w:t>
            </w:r>
            <w:r w:rsidRPr="006F617C">
              <w:rPr>
                <w:rFonts w:ascii="Calibri" w:eastAsia="Calibri" w:hAnsi="Calibri" w:cs="Times New Roman"/>
                <w:sz w:val="18"/>
                <w:szCs w:val="18"/>
                <w:vertAlign w:val="subscript"/>
              </w:rPr>
              <w:t>2</w:t>
            </w:r>
            <w:r w:rsidRPr="006F617C">
              <w:rPr>
                <w:rFonts w:ascii="Calibri" w:eastAsia="Calibri" w:hAnsi="Calibri" w:cs="Times New Roman"/>
                <w:sz w:val="18"/>
                <w:szCs w:val="18"/>
              </w:rPr>
              <w:t xml:space="preserve"> na području Grada do 2020. godine, vizije i planovi Grada, organizacijska struktura na razini Grada, financijski instrumenti i drugi organizacijski aspekti.</w:t>
            </w:r>
          </w:p>
        </w:tc>
        <w:tc>
          <w:tcPr>
            <w:tcW w:w="4218" w:type="dxa"/>
            <w:shd w:val="clear" w:color="auto" w:fill="95B3D7" w:themeFill="accent1" w:themeFillTint="99"/>
          </w:tcPr>
          <w:p w14:paraId="5CE5B0C8" w14:textId="5E85E482" w:rsidR="00437FFC" w:rsidRPr="006F617C" w:rsidRDefault="00437FFC" w:rsidP="00E92750">
            <w:pPr>
              <w:spacing w:after="0" w:line="240" w:lineRule="auto"/>
              <w:jc w:val="both"/>
              <w:rPr>
                <w:rFonts w:ascii="Calibri" w:eastAsia="Calibri" w:hAnsi="Calibri" w:cs="Times New Roman"/>
                <w:sz w:val="18"/>
                <w:szCs w:val="18"/>
              </w:rPr>
            </w:pPr>
            <w:r w:rsidRPr="006F617C">
              <w:rPr>
                <w:rFonts w:ascii="Calibri" w:eastAsia="Calibri" w:hAnsi="Calibri" w:cs="Times New Roman"/>
                <w:sz w:val="18"/>
                <w:szCs w:val="18"/>
              </w:rPr>
              <w:t>Promjene opće strategije, modifikacije u organizacijskoj strukt</w:t>
            </w:r>
            <w:r w:rsidR="006F617C">
              <w:rPr>
                <w:rFonts w:ascii="Calibri" w:eastAsia="Calibri" w:hAnsi="Calibri" w:cs="Times New Roman"/>
                <w:sz w:val="18"/>
                <w:szCs w:val="18"/>
              </w:rPr>
              <w:t xml:space="preserve">uri za provedbu Akcijskog plana, </w:t>
            </w:r>
            <w:r w:rsidRPr="006F617C">
              <w:rPr>
                <w:rFonts w:ascii="Calibri" w:eastAsia="Calibri" w:hAnsi="Calibri" w:cs="Times New Roman"/>
                <w:sz w:val="18"/>
                <w:szCs w:val="18"/>
              </w:rPr>
              <w:t xml:space="preserve">nove financijske mogućnosti i dr. </w:t>
            </w:r>
          </w:p>
        </w:tc>
      </w:tr>
      <w:tr w:rsidR="00437FFC" w:rsidRPr="006F617C" w14:paraId="65452A4C" w14:textId="77777777" w:rsidTr="006F617C">
        <w:trPr>
          <w:trHeight w:val="230"/>
        </w:trPr>
        <w:tc>
          <w:tcPr>
            <w:tcW w:w="1560" w:type="dxa"/>
            <w:shd w:val="clear" w:color="auto" w:fill="DBE5F1" w:themeFill="accent1" w:themeFillTint="33"/>
          </w:tcPr>
          <w:p w14:paraId="29BF4130" w14:textId="70C5F4CE" w:rsidR="00437FFC" w:rsidRPr="006F617C" w:rsidRDefault="00437FFC" w:rsidP="00E92750">
            <w:pPr>
              <w:spacing w:after="0" w:line="240" w:lineRule="auto"/>
              <w:jc w:val="both"/>
              <w:rPr>
                <w:rFonts w:ascii="Calibri" w:eastAsia="Calibri" w:hAnsi="Calibri" w:cs="Times New Roman"/>
                <w:sz w:val="18"/>
                <w:szCs w:val="18"/>
              </w:rPr>
            </w:pPr>
            <w:r w:rsidRPr="006F617C">
              <w:rPr>
                <w:rFonts w:ascii="Calibri" w:eastAsia="Calibri" w:hAnsi="Calibri" w:cs="Times New Roman"/>
                <w:sz w:val="18"/>
                <w:szCs w:val="18"/>
              </w:rPr>
              <w:t>DIO II: Referentni</w:t>
            </w:r>
            <w:r w:rsidRPr="006F617C">
              <w:rPr>
                <w:rFonts w:ascii="Calibri" w:eastAsia="Calibri" w:hAnsi="Calibri" w:cs="Times New Roman"/>
                <w:sz w:val="18"/>
                <w:szCs w:val="18"/>
                <w:vertAlign w:val="superscript"/>
              </w:rPr>
              <w:footnoteReference w:id="13"/>
            </w:r>
            <w:r w:rsidR="003409EC" w:rsidRPr="006F617C">
              <w:rPr>
                <w:rFonts w:ascii="Calibri" w:eastAsia="Calibri" w:hAnsi="Calibri" w:cs="Times New Roman"/>
                <w:sz w:val="18"/>
                <w:szCs w:val="18"/>
              </w:rPr>
              <w:t xml:space="preserve"> i K</w:t>
            </w:r>
            <w:r w:rsidRPr="006F617C">
              <w:rPr>
                <w:rFonts w:ascii="Calibri" w:eastAsia="Calibri" w:hAnsi="Calibri" w:cs="Times New Roman"/>
                <w:sz w:val="18"/>
                <w:szCs w:val="18"/>
              </w:rPr>
              <w:t xml:space="preserve">ontrolni </w:t>
            </w:r>
            <w:r w:rsidRPr="006F617C">
              <w:rPr>
                <w:rFonts w:ascii="Calibri" w:eastAsia="Calibri" w:hAnsi="Calibri" w:cs="Times New Roman"/>
                <w:bCs/>
                <w:sz w:val="18"/>
                <w:szCs w:val="18"/>
              </w:rPr>
              <w:t>inventar emisija</w:t>
            </w:r>
            <w:r w:rsidRPr="006F617C">
              <w:rPr>
                <w:rFonts w:ascii="Calibri" w:eastAsia="Calibri" w:hAnsi="Calibri" w:cs="Times New Roman"/>
                <w:sz w:val="18"/>
                <w:szCs w:val="18"/>
              </w:rPr>
              <w:t xml:space="preserve"> CO</w:t>
            </w:r>
            <w:r w:rsidRPr="006F617C">
              <w:rPr>
                <w:rFonts w:ascii="Calibri" w:eastAsia="Calibri" w:hAnsi="Calibri" w:cs="Times New Roman"/>
                <w:sz w:val="18"/>
                <w:szCs w:val="18"/>
                <w:vertAlign w:val="subscript"/>
              </w:rPr>
              <w:t>2</w:t>
            </w:r>
          </w:p>
        </w:tc>
        <w:tc>
          <w:tcPr>
            <w:tcW w:w="3402" w:type="dxa"/>
            <w:shd w:val="clear" w:color="auto" w:fill="B8CCE4" w:themeFill="accent1" w:themeFillTint="66"/>
          </w:tcPr>
          <w:p w14:paraId="293495FF" w14:textId="77777777" w:rsidR="00437FFC" w:rsidRPr="006F617C" w:rsidRDefault="00437FFC" w:rsidP="00E92750">
            <w:pPr>
              <w:spacing w:after="0" w:line="240" w:lineRule="auto"/>
              <w:jc w:val="both"/>
              <w:rPr>
                <w:rFonts w:ascii="Calibri" w:eastAsia="Calibri" w:hAnsi="Calibri" w:cs="Times New Roman"/>
                <w:sz w:val="18"/>
                <w:szCs w:val="18"/>
                <w:vertAlign w:val="subscript"/>
              </w:rPr>
            </w:pPr>
            <w:r w:rsidRPr="006F617C">
              <w:rPr>
                <w:rFonts w:ascii="Calibri" w:eastAsia="Calibri" w:hAnsi="Calibri" w:cs="Times New Roman"/>
                <w:sz w:val="18"/>
                <w:szCs w:val="18"/>
              </w:rPr>
              <w:t>Proračun finalne potrošnje energije u promatranim sektorima potrošnje i pripadajuće emisije CO</w:t>
            </w:r>
            <w:r w:rsidRPr="006F617C">
              <w:rPr>
                <w:rFonts w:ascii="Calibri" w:eastAsia="Calibri" w:hAnsi="Calibri" w:cs="Times New Roman"/>
                <w:sz w:val="18"/>
                <w:szCs w:val="18"/>
                <w:vertAlign w:val="subscript"/>
              </w:rPr>
              <w:t>2</w:t>
            </w:r>
            <w:r w:rsidRPr="006F617C">
              <w:rPr>
                <w:rFonts w:ascii="Calibri" w:eastAsia="Calibri" w:hAnsi="Calibri" w:cs="Times New Roman"/>
                <w:sz w:val="18"/>
                <w:szCs w:val="18"/>
              </w:rPr>
              <w:t xml:space="preserve"> u odabranoj referentnoj godini</w:t>
            </w:r>
            <w:r w:rsidRPr="006F617C">
              <w:rPr>
                <w:rFonts w:ascii="Calibri" w:eastAsia="Calibri" w:hAnsi="Calibri" w:cs="Times New Roman"/>
                <w:sz w:val="18"/>
                <w:szCs w:val="18"/>
                <w:vertAlign w:val="superscript"/>
              </w:rPr>
              <w:footnoteReference w:id="14"/>
            </w:r>
            <w:r w:rsidRPr="006F617C">
              <w:rPr>
                <w:rFonts w:ascii="Calibri" w:eastAsia="Calibri" w:hAnsi="Calibri" w:cs="Times New Roman"/>
                <w:sz w:val="18"/>
                <w:szCs w:val="18"/>
              </w:rPr>
              <w:t xml:space="preserve"> - Referentni inventar emisija CO</w:t>
            </w:r>
            <w:r w:rsidRPr="006F617C">
              <w:rPr>
                <w:rFonts w:ascii="Calibri" w:eastAsia="Calibri" w:hAnsi="Calibri" w:cs="Times New Roman"/>
                <w:sz w:val="18"/>
                <w:szCs w:val="18"/>
                <w:vertAlign w:val="subscript"/>
              </w:rPr>
              <w:t>2</w:t>
            </w:r>
          </w:p>
        </w:tc>
        <w:tc>
          <w:tcPr>
            <w:tcW w:w="4218" w:type="dxa"/>
            <w:shd w:val="clear" w:color="auto" w:fill="95B3D7" w:themeFill="accent1" w:themeFillTint="99"/>
          </w:tcPr>
          <w:p w14:paraId="616B1D05" w14:textId="6572E3BB" w:rsidR="00437FFC" w:rsidRPr="00FD24DB" w:rsidRDefault="00437FFC" w:rsidP="00E92750">
            <w:pPr>
              <w:spacing w:after="0" w:line="240" w:lineRule="auto"/>
              <w:jc w:val="both"/>
              <w:rPr>
                <w:rFonts w:ascii="Calibri" w:eastAsia="Calibri" w:hAnsi="Calibri" w:cs="Times New Roman"/>
                <w:sz w:val="18"/>
                <w:szCs w:val="18"/>
                <w:vertAlign w:val="subscript"/>
              </w:rPr>
            </w:pPr>
            <w:r w:rsidRPr="006F617C">
              <w:rPr>
                <w:rFonts w:ascii="Calibri" w:eastAsia="Calibri" w:hAnsi="Calibri" w:cs="Times New Roman"/>
                <w:sz w:val="18"/>
                <w:szCs w:val="18"/>
              </w:rPr>
              <w:t>Proračun finalne potrošnje energije u promatranim sektorima potrošnje i pripadajuće emisije CO</w:t>
            </w:r>
            <w:r w:rsidRPr="006F617C">
              <w:rPr>
                <w:rFonts w:ascii="Calibri" w:eastAsia="Calibri" w:hAnsi="Calibri" w:cs="Times New Roman"/>
                <w:sz w:val="18"/>
                <w:szCs w:val="18"/>
                <w:vertAlign w:val="subscript"/>
              </w:rPr>
              <w:t>2</w:t>
            </w:r>
            <w:r w:rsidRPr="006F617C">
              <w:rPr>
                <w:rFonts w:ascii="Calibri" w:eastAsia="Calibri" w:hAnsi="Calibri" w:cs="Times New Roman"/>
                <w:sz w:val="18"/>
                <w:szCs w:val="18"/>
              </w:rPr>
              <w:t xml:space="preserve"> u odabranoj kontrolnoj godini – glavni cilj je praćenje emisija CO</w:t>
            </w:r>
            <w:r w:rsidRPr="006F617C">
              <w:rPr>
                <w:rFonts w:ascii="Calibri" w:eastAsia="Calibri" w:hAnsi="Calibri" w:cs="Times New Roman"/>
                <w:sz w:val="18"/>
                <w:szCs w:val="18"/>
                <w:vertAlign w:val="subscript"/>
              </w:rPr>
              <w:t>2</w:t>
            </w:r>
            <w:r w:rsidRPr="006F617C">
              <w:rPr>
                <w:rFonts w:ascii="Calibri" w:eastAsia="Calibri" w:hAnsi="Calibri" w:cs="Times New Roman"/>
                <w:sz w:val="18"/>
                <w:szCs w:val="18"/>
              </w:rPr>
              <w:t xml:space="preserve"> u promatranom razdoblju između referentne i kontrolne godine - Kontrolni inventar emisija CO</w:t>
            </w:r>
            <w:r w:rsidRPr="006F617C">
              <w:rPr>
                <w:rFonts w:ascii="Calibri" w:eastAsia="Calibri" w:hAnsi="Calibri" w:cs="Times New Roman"/>
                <w:sz w:val="18"/>
                <w:szCs w:val="18"/>
                <w:vertAlign w:val="subscript"/>
              </w:rPr>
              <w:t>2</w:t>
            </w:r>
            <w:r w:rsidR="003409EC" w:rsidRPr="006F617C">
              <w:rPr>
                <w:rFonts w:ascii="Calibri" w:eastAsia="Calibri" w:hAnsi="Calibri" w:cs="Times New Roman"/>
                <w:sz w:val="18"/>
                <w:szCs w:val="18"/>
                <w:vertAlign w:val="subscript"/>
              </w:rPr>
              <w:t xml:space="preserve">. </w:t>
            </w:r>
            <w:r w:rsidR="003409EC" w:rsidRPr="006F617C">
              <w:rPr>
                <w:rFonts w:ascii="Calibri" w:eastAsia="Calibri" w:hAnsi="Calibri" w:cs="Times New Roman"/>
                <w:sz w:val="18"/>
                <w:szCs w:val="18"/>
              </w:rPr>
              <w:t>Metodologija izrade Kontrolnog inventara emisija CO</w:t>
            </w:r>
            <w:r w:rsidR="003409EC" w:rsidRPr="00FD24DB">
              <w:rPr>
                <w:rFonts w:ascii="Calibri" w:eastAsia="Calibri" w:hAnsi="Calibri" w:cs="Times New Roman"/>
                <w:sz w:val="18"/>
                <w:szCs w:val="18"/>
                <w:vertAlign w:val="subscript"/>
              </w:rPr>
              <w:t>2</w:t>
            </w:r>
            <w:r w:rsidR="003409EC" w:rsidRPr="006F617C">
              <w:rPr>
                <w:rFonts w:ascii="Calibri" w:eastAsia="Calibri" w:hAnsi="Calibri" w:cs="Times New Roman"/>
                <w:sz w:val="18"/>
                <w:szCs w:val="18"/>
              </w:rPr>
              <w:t xml:space="preserve"> mora biti identična metodologiji koja je korištena za izradu Referentnog inventara emisije CO</w:t>
            </w:r>
            <w:r w:rsidR="003409EC" w:rsidRPr="006F617C">
              <w:rPr>
                <w:rFonts w:ascii="Calibri" w:eastAsia="Calibri" w:hAnsi="Calibri" w:cs="Times New Roman"/>
                <w:sz w:val="18"/>
                <w:szCs w:val="18"/>
                <w:vertAlign w:val="subscript"/>
              </w:rPr>
              <w:t>2</w:t>
            </w:r>
            <w:r w:rsidR="003409EC" w:rsidRPr="006F617C">
              <w:rPr>
                <w:rFonts w:ascii="Calibri" w:eastAsia="Calibri" w:hAnsi="Calibri" w:cs="Times New Roman"/>
                <w:sz w:val="18"/>
                <w:szCs w:val="18"/>
              </w:rPr>
              <w:t xml:space="preserve"> za referentnu godinu. Samo ista metodologija za izradu inventara omogućuje njihovu usporedbu i na kraju odgovor na pitanje hoće li postavljeni ciljevi smanjenja emisije CO</w:t>
            </w:r>
            <w:r w:rsidR="003409EC" w:rsidRPr="006F617C">
              <w:rPr>
                <w:rFonts w:ascii="Calibri" w:eastAsia="Calibri" w:hAnsi="Calibri" w:cs="Times New Roman"/>
                <w:sz w:val="18"/>
                <w:szCs w:val="18"/>
                <w:vertAlign w:val="subscript"/>
              </w:rPr>
              <w:t>2</w:t>
            </w:r>
            <w:r w:rsidR="003409EC" w:rsidRPr="006F617C">
              <w:rPr>
                <w:rFonts w:ascii="Calibri" w:eastAsia="Calibri" w:hAnsi="Calibri" w:cs="Times New Roman"/>
                <w:sz w:val="18"/>
                <w:szCs w:val="18"/>
              </w:rPr>
              <w:t xml:space="preserve"> do 2020. godine biti zadovoljeni.</w:t>
            </w:r>
          </w:p>
        </w:tc>
      </w:tr>
      <w:tr w:rsidR="00437FFC" w:rsidRPr="006F617C" w14:paraId="72C4D2BB" w14:textId="77777777" w:rsidTr="006F617C">
        <w:trPr>
          <w:trHeight w:val="887"/>
        </w:trPr>
        <w:tc>
          <w:tcPr>
            <w:tcW w:w="1560" w:type="dxa"/>
            <w:shd w:val="clear" w:color="auto" w:fill="DBE5F1" w:themeFill="accent1" w:themeFillTint="33"/>
          </w:tcPr>
          <w:p w14:paraId="29748B83" w14:textId="77777777" w:rsidR="00437FFC" w:rsidRPr="006F617C" w:rsidRDefault="00437FFC" w:rsidP="00E92750">
            <w:pPr>
              <w:spacing w:after="0" w:line="240" w:lineRule="auto"/>
              <w:jc w:val="both"/>
              <w:rPr>
                <w:rFonts w:ascii="Calibri" w:eastAsia="Calibri" w:hAnsi="Calibri" w:cs="Times New Roman"/>
                <w:sz w:val="18"/>
                <w:szCs w:val="18"/>
              </w:rPr>
            </w:pPr>
            <w:r w:rsidRPr="006F617C">
              <w:rPr>
                <w:rFonts w:ascii="Calibri" w:eastAsia="Calibri" w:hAnsi="Calibri" w:cs="Times New Roman"/>
                <w:bCs/>
                <w:sz w:val="18"/>
                <w:szCs w:val="18"/>
              </w:rPr>
              <w:t xml:space="preserve">DIO III: Identificirane mjere </w:t>
            </w:r>
          </w:p>
        </w:tc>
        <w:tc>
          <w:tcPr>
            <w:tcW w:w="3402" w:type="dxa"/>
            <w:shd w:val="clear" w:color="auto" w:fill="B8CCE4" w:themeFill="accent1" w:themeFillTint="66"/>
          </w:tcPr>
          <w:p w14:paraId="7718FBA0" w14:textId="1A91C1C1" w:rsidR="00437FFC" w:rsidRPr="006F617C" w:rsidRDefault="00437FFC" w:rsidP="00E92750">
            <w:pPr>
              <w:spacing w:after="0" w:line="240" w:lineRule="auto"/>
              <w:jc w:val="both"/>
              <w:rPr>
                <w:rFonts w:ascii="Calibri" w:eastAsia="Calibri" w:hAnsi="Calibri" w:cs="Times New Roman"/>
                <w:sz w:val="18"/>
                <w:szCs w:val="18"/>
              </w:rPr>
            </w:pPr>
            <w:r w:rsidRPr="006F617C">
              <w:rPr>
                <w:rFonts w:ascii="Calibri" w:eastAsia="Calibri" w:hAnsi="Calibri" w:cs="Times New Roman"/>
                <w:sz w:val="18"/>
                <w:szCs w:val="18"/>
              </w:rPr>
              <w:t>Popis identificiranih mjera zajedno s vremenskim okvirom, nositeljima provedbe i pro</w:t>
            </w:r>
            <w:r w:rsidR="00FD24DB">
              <w:rPr>
                <w:rFonts w:ascii="Calibri" w:eastAsia="Calibri" w:hAnsi="Calibri" w:cs="Times New Roman"/>
                <w:sz w:val="18"/>
                <w:szCs w:val="18"/>
              </w:rPr>
              <w:t xml:space="preserve">cjenom investicijskih troškova </w:t>
            </w:r>
            <w:r w:rsidRPr="006F617C">
              <w:rPr>
                <w:rFonts w:ascii="Calibri" w:eastAsia="Calibri" w:hAnsi="Calibri" w:cs="Times New Roman"/>
                <w:sz w:val="18"/>
                <w:szCs w:val="18"/>
              </w:rPr>
              <w:t>čijom će se uspješnom realizacijom do 2020. godine ostvariti zacrtani cilj smanjenja emisija CO</w:t>
            </w:r>
            <w:r w:rsidRPr="006F617C">
              <w:rPr>
                <w:rFonts w:ascii="Calibri" w:eastAsia="Calibri" w:hAnsi="Calibri" w:cs="Times New Roman"/>
                <w:sz w:val="18"/>
                <w:szCs w:val="18"/>
                <w:vertAlign w:val="subscript"/>
              </w:rPr>
              <w:t>2</w:t>
            </w:r>
            <w:r w:rsidRPr="006F617C">
              <w:rPr>
                <w:rFonts w:ascii="Calibri" w:eastAsia="Calibri" w:hAnsi="Calibri" w:cs="Times New Roman"/>
                <w:sz w:val="18"/>
                <w:szCs w:val="18"/>
              </w:rPr>
              <w:t xml:space="preserve"> na području Grada </w:t>
            </w:r>
            <w:r w:rsidR="00FD24DB">
              <w:rPr>
                <w:rFonts w:ascii="Calibri" w:eastAsia="Calibri" w:hAnsi="Calibri" w:cs="Times New Roman"/>
                <w:sz w:val="18"/>
                <w:szCs w:val="18"/>
              </w:rPr>
              <w:t>od 21</w:t>
            </w:r>
            <w:r w:rsidRPr="006F617C">
              <w:rPr>
                <w:rFonts w:ascii="Calibri" w:eastAsia="Calibri" w:hAnsi="Calibri" w:cs="Times New Roman"/>
                <w:sz w:val="18"/>
                <w:szCs w:val="18"/>
              </w:rPr>
              <w:t>%.</w:t>
            </w:r>
          </w:p>
        </w:tc>
        <w:tc>
          <w:tcPr>
            <w:tcW w:w="4218" w:type="dxa"/>
            <w:shd w:val="clear" w:color="auto" w:fill="95B3D7" w:themeFill="accent1" w:themeFillTint="99"/>
          </w:tcPr>
          <w:p w14:paraId="147A1D91" w14:textId="77777777" w:rsidR="00437FFC" w:rsidRPr="006F617C" w:rsidRDefault="00437FFC" w:rsidP="00E92750">
            <w:pPr>
              <w:spacing w:after="0" w:line="240" w:lineRule="auto"/>
              <w:jc w:val="both"/>
              <w:rPr>
                <w:rFonts w:ascii="Calibri" w:eastAsia="Calibri" w:hAnsi="Calibri" w:cs="Times New Roman"/>
                <w:sz w:val="18"/>
                <w:szCs w:val="18"/>
              </w:rPr>
            </w:pPr>
            <w:r w:rsidRPr="006F617C">
              <w:rPr>
                <w:rFonts w:ascii="Calibri" w:eastAsia="Calibri" w:hAnsi="Calibri" w:cs="Times New Roman"/>
                <w:sz w:val="18"/>
                <w:szCs w:val="18"/>
              </w:rPr>
              <w:t>Praćenje provedbe identificiranih mjera za smanjenje emisija CO</w:t>
            </w:r>
            <w:r w:rsidRPr="006F617C">
              <w:rPr>
                <w:rFonts w:ascii="Calibri" w:eastAsia="Calibri" w:hAnsi="Calibri" w:cs="Times New Roman"/>
                <w:sz w:val="18"/>
                <w:szCs w:val="18"/>
                <w:vertAlign w:val="subscript"/>
              </w:rPr>
              <w:t>2</w:t>
            </w:r>
          </w:p>
          <w:p w14:paraId="2BCD01A5" w14:textId="77777777" w:rsidR="00437FFC" w:rsidRPr="006F617C" w:rsidRDefault="00437FFC" w:rsidP="00E92750">
            <w:pPr>
              <w:spacing w:after="0" w:line="240" w:lineRule="auto"/>
              <w:jc w:val="both"/>
              <w:rPr>
                <w:rFonts w:ascii="Calibri" w:eastAsia="Calibri" w:hAnsi="Calibri" w:cs="Times New Roman"/>
                <w:sz w:val="18"/>
                <w:szCs w:val="18"/>
              </w:rPr>
            </w:pPr>
          </w:p>
        </w:tc>
      </w:tr>
    </w:tbl>
    <w:p w14:paraId="63F09A8E" w14:textId="2F4D8D60" w:rsidR="003D7C95" w:rsidRPr="007C7920" w:rsidRDefault="003D7C95" w:rsidP="00E92750">
      <w:pPr>
        <w:spacing w:before="240" w:line="240" w:lineRule="auto"/>
        <w:jc w:val="both"/>
        <w:rPr>
          <w:rFonts w:ascii="Calibri" w:eastAsia="Calibri" w:hAnsi="Calibri" w:cs="Times New Roman"/>
          <w:highlight w:val="yellow"/>
        </w:rPr>
      </w:pPr>
      <w:r w:rsidRPr="00FD24DB">
        <w:rPr>
          <w:rFonts w:ascii="Calibri" w:eastAsia="Calibri" w:hAnsi="Calibri" w:cs="Times New Roman"/>
        </w:rPr>
        <w:t xml:space="preserve">Svi gradovi potpisnici Sporazuma gradonačelnika imaju obvezu svake dvije godine pripremiti </w:t>
      </w:r>
      <w:r w:rsidR="00A05780" w:rsidRPr="00FD24DB">
        <w:rPr>
          <w:rFonts w:ascii="Calibri" w:eastAsia="Calibri" w:hAnsi="Calibri" w:cs="Times New Roman"/>
        </w:rPr>
        <w:t xml:space="preserve">i dostaviti Europskoj komisiji </w:t>
      </w:r>
      <w:r w:rsidR="00DF2A19">
        <w:rPr>
          <w:rFonts w:ascii="Calibri" w:eastAsia="Calibri" w:hAnsi="Calibri" w:cs="Times New Roman"/>
        </w:rPr>
        <w:t xml:space="preserve">Reviziju Akcijskog plana - </w:t>
      </w:r>
      <w:r w:rsidR="00A05780" w:rsidRPr="00FD24DB">
        <w:rPr>
          <w:rFonts w:ascii="Calibri" w:eastAsia="Calibri" w:hAnsi="Calibri" w:cs="Times New Roman"/>
        </w:rPr>
        <w:t>I</w:t>
      </w:r>
      <w:r w:rsidRPr="00FD24DB">
        <w:rPr>
          <w:rFonts w:ascii="Calibri" w:eastAsia="Calibri" w:hAnsi="Calibri" w:cs="Times New Roman"/>
        </w:rPr>
        <w:t>zvještaj o provedbi Akcijskog plana.</w:t>
      </w:r>
      <w:r w:rsidR="000A5E32" w:rsidRPr="00FD24DB">
        <w:rPr>
          <w:rStyle w:val="FootnoteReference"/>
          <w:rFonts w:ascii="Calibri" w:eastAsia="Calibri" w:hAnsi="Calibri"/>
        </w:rPr>
        <w:footnoteReference w:id="15"/>
      </w:r>
      <w:r w:rsidR="001562C2" w:rsidRPr="00FD24DB">
        <w:rPr>
          <w:rFonts w:ascii="Calibri" w:eastAsia="Calibri" w:hAnsi="Calibri" w:cs="Times New Roman"/>
        </w:rPr>
        <w:t>Pri čemu je važno napomenuti da je DIO II najkompleksniji u procesu praćenja i izvještavanja o provedbi Akcijskog plana te je Ured Sporazuma gradonačelnik za izradu istog dao dulji rok, odnosno obvezu izrade minimalno svake četiri godine.</w:t>
      </w:r>
      <w:r w:rsidRPr="007C7920">
        <w:rPr>
          <w:rFonts w:ascii="Calibri" w:eastAsia="Calibri" w:hAnsi="Calibri" w:cs="Times New Roman"/>
          <w:sz w:val="20"/>
          <w:szCs w:val="20"/>
          <w:highlight w:val="yellow"/>
        </w:rPr>
        <w:br w:type="page"/>
      </w:r>
    </w:p>
    <w:p w14:paraId="55209675" w14:textId="5E8CFD27" w:rsidR="000F64C5" w:rsidRPr="00635CE7" w:rsidRDefault="000F64C5" w:rsidP="00E92750">
      <w:pPr>
        <w:pStyle w:val="Heading1"/>
        <w:spacing w:after="240" w:line="240" w:lineRule="auto"/>
        <w:jc w:val="both"/>
        <w:rPr>
          <w:b/>
        </w:rPr>
      </w:pPr>
      <w:bookmarkStart w:id="14" w:name="_Toc258238887"/>
      <w:bookmarkStart w:id="15" w:name="_Toc468345344"/>
      <w:r w:rsidRPr="00635CE7">
        <w:rPr>
          <w:b/>
        </w:rPr>
        <w:lastRenderedPageBreak/>
        <w:t>ANALIZA ENERGETSKE POTROŠNJE U SEKTORU ZGRADARSTVA GRADA ZAGREBA U 2015. GODINI</w:t>
      </w:r>
      <w:bookmarkEnd w:id="14"/>
      <w:bookmarkEnd w:id="15"/>
    </w:p>
    <w:p w14:paraId="1223A1E6" w14:textId="69CAC697" w:rsidR="007A4583" w:rsidRPr="00635CE7" w:rsidRDefault="00352E28" w:rsidP="00E92750">
      <w:pPr>
        <w:spacing w:line="240" w:lineRule="auto"/>
        <w:jc w:val="both"/>
      </w:pPr>
      <w:r w:rsidRPr="00635CE7">
        <w:t xml:space="preserve">Za </w:t>
      </w:r>
      <w:r w:rsidR="00635CE7" w:rsidRPr="00635CE7">
        <w:t>izradu analize</w:t>
      </w:r>
      <w:r w:rsidRPr="00635CE7">
        <w:t xml:space="preserve"> energetske potrošnje u sektoru zgradarstva</w:t>
      </w:r>
      <w:r w:rsidR="006D3B65" w:rsidRPr="00635CE7">
        <w:t xml:space="preserve"> Grada Zagreba u 2015. godini svakako je važno napomenuti da su se </w:t>
      </w:r>
      <w:r w:rsidR="007A4583" w:rsidRPr="00635CE7">
        <w:t xml:space="preserve">dogodile </w:t>
      </w:r>
      <w:r w:rsidR="006D3B65" w:rsidRPr="00635CE7">
        <w:t>značajne promjene</w:t>
      </w:r>
      <w:r w:rsidR="00A814C6" w:rsidRPr="00635CE7">
        <w:t xml:space="preserve"> </w:t>
      </w:r>
      <w:r w:rsidR="007A4583" w:rsidRPr="00635CE7">
        <w:t xml:space="preserve">u </w:t>
      </w:r>
      <w:r w:rsidR="00635CE7" w:rsidRPr="00635CE7">
        <w:t>zakonodavnom okviru</w:t>
      </w:r>
      <w:r w:rsidR="007A4583" w:rsidRPr="00635CE7">
        <w:t xml:space="preserve"> </w:t>
      </w:r>
      <w:r w:rsidR="00A814C6" w:rsidRPr="00635CE7">
        <w:t>u odnosu na 2008. godinu</w:t>
      </w:r>
      <w:r w:rsidR="009D1558" w:rsidRPr="00635CE7">
        <w:t>, a det</w:t>
      </w:r>
      <w:r w:rsidR="00085D62" w:rsidRPr="00635CE7">
        <w:t>a</w:t>
      </w:r>
      <w:r w:rsidR="009D1558" w:rsidRPr="00635CE7">
        <w:t>ljan</w:t>
      </w:r>
      <w:r w:rsidR="007A4583" w:rsidRPr="00635CE7">
        <w:t xml:space="preserve"> pregled </w:t>
      </w:r>
      <w:r w:rsidR="00335D8E" w:rsidRPr="00635CE7">
        <w:t>dan</w:t>
      </w:r>
      <w:r w:rsidR="000148EE" w:rsidRPr="00635CE7">
        <w:t xml:space="preserve"> je</w:t>
      </w:r>
      <w:r w:rsidR="00085D62" w:rsidRPr="00635CE7">
        <w:t xml:space="preserve"> u Poglavlju </w:t>
      </w:r>
      <w:r w:rsidR="007A4583" w:rsidRPr="00635CE7">
        <w:t>12 ovog dokumenta.</w:t>
      </w:r>
    </w:p>
    <w:p w14:paraId="5E38E2E4" w14:textId="098DDE0A" w:rsidR="000F64C5" w:rsidRPr="00635CE7" w:rsidRDefault="00C17D82" w:rsidP="00E92750">
      <w:pPr>
        <w:spacing w:line="240" w:lineRule="auto"/>
        <w:jc w:val="both"/>
      </w:pPr>
      <w:r w:rsidRPr="00635CE7">
        <w:t>S</w:t>
      </w:r>
      <w:r w:rsidR="000F64C5" w:rsidRPr="00635CE7">
        <w:t>ektor zgradarstva Grada Zagreba</w:t>
      </w:r>
      <w:r w:rsidR="00B30B88" w:rsidRPr="00635CE7">
        <w:t xml:space="preserve"> za potrebe analize energetske potrošnje</w:t>
      </w:r>
      <w:r w:rsidR="000F64C5" w:rsidRPr="00635CE7">
        <w:t xml:space="preserve"> podijeljen je na sljedeće podsektore</w:t>
      </w:r>
      <w:r w:rsidR="00B30B88" w:rsidRPr="00635CE7">
        <w:rPr>
          <w:rStyle w:val="FootnoteReference"/>
        </w:rPr>
        <w:footnoteReference w:id="16"/>
      </w:r>
      <w:r w:rsidR="000F64C5" w:rsidRPr="00635CE7">
        <w:t>:</w:t>
      </w:r>
    </w:p>
    <w:p w14:paraId="1C2170A9" w14:textId="7DA285A1" w:rsidR="001B3F89" w:rsidRPr="00635CE7" w:rsidRDefault="006D567A" w:rsidP="00EE7021">
      <w:pPr>
        <w:pStyle w:val="ListParagraph"/>
        <w:numPr>
          <w:ilvl w:val="0"/>
          <w:numId w:val="23"/>
        </w:numPr>
        <w:spacing w:line="240" w:lineRule="auto"/>
        <w:jc w:val="both"/>
      </w:pPr>
      <w:r w:rsidRPr="00635CE7">
        <w:t>Stambene i javne zgrade u vlasništvu Grada Zagreba</w:t>
      </w:r>
      <w:r w:rsidR="000F64C5" w:rsidRPr="00635CE7">
        <w:t>;</w:t>
      </w:r>
    </w:p>
    <w:p w14:paraId="4360E4B6" w14:textId="4906F151" w:rsidR="001B3F89" w:rsidRPr="00635CE7" w:rsidRDefault="000F64C5" w:rsidP="00EE7021">
      <w:pPr>
        <w:pStyle w:val="ListParagraph"/>
        <w:numPr>
          <w:ilvl w:val="0"/>
          <w:numId w:val="23"/>
        </w:numPr>
        <w:spacing w:line="240" w:lineRule="auto"/>
        <w:jc w:val="both"/>
      </w:pPr>
      <w:r w:rsidRPr="00635CE7">
        <w:t>Stambene zgrad</w:t>
      </w:r>
      <w:r w:rsidR="001B3F89" w:rsidRPr="00635CE7">
        <w:t>e - kućanstva i</w:t>
      </w:r>
    </w:p>
    <w:p w14:paraId="15390437" w14:textId="773300B1" w:rsidR="000F64C5" w:rsidRPr="00635CE7" w:rsidRDefault="000F64C5" w:rsidP="00EE7021">
      <w:pPr>
        <w:pStyle w:val="ListParagraph"/>
        <w:numPr>
          <w:ilvl w:val="0"/>
          <w:numId w:val="23"/>
        </w:numPr>
        <w:spacing w:line="240" w:lineRule="auto"/>
        <w:jc w:val="both"/>
      </w:pPr>
      <w:r w:rsidRPr="00635CE7">
        <w:t>Zgrade komercijalnih i uslužnih djelatnosti.</w:t>
      </w:r>
    </w:p>
    <w:p w14:paraId="7C671B25" w14:textId="12E8093F" w:rsidR="000F64C5" w:rsidRPr="00635CE7" w:rsidRDefault="000F64C5" w:rsidP="00E92750">
      <w:pPr>
        <w:spacing w:line="240" w:lineRule="auto"/>
        <w:jc w:val="both"/>
      </w:pPr>
      <w:r w:rsidRPr="00635CE7">
        <w:t>Na</w:t>
      </w:r>
      <w:r w:rsidR="00B70FAD" w:rsidRPr="00635CE7">
        <w:t xml:space="preserve"> temelju prikupljenih podataka</w:t>
      </w:r>
      <w:r w:rsidRPr="00635CE7">
        <w:t xml:space="preserve"> za sve podsektore </w:t>
      </w:r>
      <w:r w:rsidR="00B70FAD" w:rsidRPr="00635CE7">
        <w:t xml:space="preserve">sektora </w:t>
      </w:r>
      <w:r w:rsidRPr="00635CE7">
        <w:t>z</w:t>
      </w:r>
      <w:r w:rsidR="00661F78" w:rsidRPr="00635CE7">
        <w:t>gradarstva Grada Zagreba da</w:t>
      </w:r>
      <w:r w:rsidRPr="00635CE7">
        <w:t>ni su sljedeći parametri:</w:t>
      </w:r>
    </w:p>
    <w:p w14:paraId="5CC388B1" w14:textId="7F063482" w:rsidR="00661F78" w:rsidRPr="00635CE7" w:rsidRDefault="00821B51" w:rsidP="00EE7021">
      <w:pPr>
        <w:pStyle w:val="ListParagraph"/>
        <w:numPr>
          <w:ilvl w:val="0"/>
          <w:numId w:val="25"/>
        </w:numPr>
        <w:spacing w:line="240" w:lineRule="auto"/>
        <w:jc w:val="both"/>
      </w:pPr>
      <w:r w:rsidRPr="00635CE7">
        <w:t>Opći podaci</w:t>
      </w:r>
      <w:r w:rsidR="000F64C5" w:rsidRPr="00635CE7">
        <w:t>;</w:t>
      </w:r>
    </w:p>
    <w:p w14:paraId="2CB953C2" w14:textId="078627D0" w:rsidR="00661F78" w:rsidRPr="00635CE7" w:rsidRDefault="00821B51" w:rsidP="00EE7021">
      <w:pPr>
        <w:pStyle w:val="ListParagraph"/>
        <w:numPr>
          <w:ilvl w:val="0"/>
          <w:numId w:val="25"/>
        </w:numPr>
        <w:spacing w:line="240" w:lineRule="auto"/>
        <w:jc w:val="both"/>
      </w:pPr>
      <w:r w:rsidRPr="00635CE7">
        <w:t xml:space="preserve">Ukupna </w:t>
      </w:r>
      <w:r w:rsidR="0079472F" w:rsidRPr="00635CE7">
        <w:t xml:space="preserve">grijana </w:t>
      </w:r>
      <w:r w:rsidRPr="00635CE7">
        <w:t xml:space="preserve">površina </w:t>
      </w:r>
      <w:r w:rsidR="000F64C5" w:rsidRPr="00635CE7">
        <w:t>(m</w:t>
      </w:r>
      <w:r w:rsidR="000F64C5" w:rsidRPr="00635CE7">
        <w:rPr>
          <w:vertAlign w:val="superscript"/>
        </w:rPr>
        <w:t>2</w:t>
      </w:r>
      <w:r w:rsidR="000F64C5" w:rsidRPr="00635CE7">
        <w:t>);</w:t>
      </w:r>
    </w:p>
    <w:p w14:paraId="7647846E" w14:textId="5BADE0C8" w:rsidR="00661F78" w:rsidRPr="00635CE7" w:rsidRDefault="00821B51" w:rsidP="00EE7021">
      <w:pPr>
        <w:pStyle w:val="ListParagraph"/>
        <w:numPr>
          <w:ilvl w:val="0"/>
          <w:numId w:val="25"/>
        </w:numPr>
        <w:spacing w:line="240" w:lineRule="auto"/>
        <w:jc w:val="both"/>
      </w:pPr>
      <w:r w:rsidRPr="00635CE7">
        <w:t>Broj objekata</w:t>
      </w:r>
      <w:r w:rsidR="000F64C5" w:rsidRPr="00635CE7">
        <w:t>;</w:t>
      </w:r>
    </w:p>
    <w:p w14:paraId="70448C61" w14:textId="31D34303" w:rsidR="00661F78" w:rsidRPr="00635CE7" w:rsidRDefault="000F64C5" w:rsidP="00EE7021">
      <w:pPr>
        <w:pStyle w:val="ListParagraph"/>
        <w:numPr>
          <w:ilvl w:val="0"/>
          <w:numId w:val="25"/>
        </w:numPr>
        <w:spacing w:line="240" w:lineRule="auto"/>
        <w:jc w:val="both"/>
      </w:pPr>
      <w:r w:rsidRPr="00635CE7">
        <w:t>Ukupna potrošnja električne energije</w:t>
      </w:r>
      <w:r w:rsidR="001C4BC3" w:rsidRPr="00635CE7">
        <w:t xml:space="preserve"> za ne-toplinske namjene</w:t>
      </w:r>
      <w:r w:rsidR="004B158B">
        <w:rPr>
          <w:rStyle w:val="FootnoteReference"/>
        </w:rPr>
        <w:footnoteReference w:id="17"/>
      </w:r>
      <w:r w:rsidRPr="00635CE7">
        <w:t xml:space="preserve"> (kWh);</w:t>
      </w:r>
    </w:p>
    <w:p w14:paraId="1D3DA7D7" w14:textId="1E7F2A7C" w:rsidR="0047402A" w:rsidRPr="00635CE7" w:rsidRDefault="000F64C5" w:rsidP="00EE7021">
      <w:pPr>
        <w:pStyle w:val="ListParagraph"/>
        <w:numPr>
          <w:ilvl w:val="0"/>
          <w:numId w:val="25"/>
        </w:numPr>
        <w:spacing w:line="240" w:lineRule="auto"/>
        <w:jc w:val="both"/>
      </w:pPr>
      <w:r w:rsidRPr="00635CE7">
        <w:t>Specifična potrošnja električne energije</w:t>
      </w:r>
      <w:r w:rsidR="001C4BC3" w:rsidRPr="00635CE7">
        <w:t xml:space="preserve"> za ne-toplinske namjene</w:t>
      </w:r>
      <w:r w:rsidRPr="00635CE7">
        <w:t xml:space="preserve"> (kWh/m</w:t>
      </w:r>
      <w:r w:rsidRPr="00635CE7">
        <w:rPr>
          <w:vertAlign w:val="superscript"/>
        </w:rPr>
        <w:t>2</w:t>
      </w:r>
      <w:r w:rsidRPr="00635CE7">
        <w:t>);</w:t>
      </w:r>
    </w:p>
    <w:p w14:paraId="653B4666" w14:textId="07107D6A" w:rsidR="0047402A" w:rsidRPr="00635CE7" w:rsidRDefault="0047402A" w:rsidP="00EE7021">
      <w:pPr>
        <w:pStyle w:val="ListParagraph"/>
        <w:numPr>
          <w:ilvl w:val="0"/>
          <w:numId w:val="25"/>
        </w:numPr>
        <w:spacing w:line="240" w:lineRule="auto"/>
        <w:jc w:val="both"/>
      </w:pPr>
      <w:r w:rsidRPr="00635CE7">
        <w:t xml:space="preserve">Ukupna potrošnja toplinske energije </w:t>
      </w:r>
      <w:r w:rsidR="00821B51" w:rsidRPr="00635CE7">
        <w:t>(M</w:t>
      </w:r>
      <w:r w:rsidR="00B10AB6" w:rsidRPr="00635CE7">
        <w:t>Wh) i</w:t>
      </w:r>
    </w:p>
    <w:p w14:paraId="010D369D" w14:textId="5DBE67F0" w:rsidR="0047402A" w:rsidRPr="00635CE7" w:rsidRDefault="00131530" w:rsidP="00EE7021">
      <w:pPr>
        <w:pStyle w:val="ListParagraph"/>
        <w:numPr>
          <w:ilvl w:val="0"/>
          <w:numId w:val="25"/>
        </w:numPr>
        <w:spacing w:line="240" w:lineRule="auto"/>
        <w:jc w:val="both"/>
      </w:pPr>
      <w:r w:rsidRPr="00635CE7">
        <w:t>Specifična</w:t>
      </w:r>
      <w:r w:rsidR="00E03689">
        <w:t xml:space="preserve"> toplinska</w:t>
      </w:r>
      <w:r w:rsidRPr="00635CE7">
        <w:t xml:space="preserve"> energija za grijanje</w:t>
      </w:r>
      <w:r w:rsidR="00B10AB6" w:rsidRPr="00635CE7">
        <w:t xml:space="preserve"> </w:t>
      </w:r>
      <w:r w:rsidR="0047402A" w:rsidRPr="00635CE7">
        <w:t>(kWh/m</w:t>
      </w:r>
      <w:r w:rsidR="0047402A" w:rsidRPr="00635CE7">
        <w:rPr>
          <w:vertAlign w:val="superscript"/>
        </w:rPr>
        <w:t>2</w:t>
      </w:r>
      <w:r w:rsidR="0047402A" w:rsidRPr="00635CE7">
        <w:t>).</w:t>
      </w:r>
    </w:p>
    <w:p w14:paraId="0A9B7860" w14:textId="6A9459BD" w:rsidR="00744A23" w:rsidRPr="00635CE7" w:rsidRDefault="0047402A" w:rsidP="00E92750">
      <w:pPr>
        <w:suppressAutoHyphens/>
        <w:autoSpaceDN w:val="0"/>
        <w:spacing w:after="240" w:line="240" w:lineRule="auto"/>
        <w:jc w:val="both"/>
        <w:textAlignment w:val="baseline"/>
      </w:pPr>
      <w:r w:rsidRPr="00635CE7">
        <w:t>Analiza energetske potrošnje u sektoru zgradarstva Grada Zagreba u</w:t>
      </w:r>
      <w:r w:rsidR="00D329F8" w:rsidRPr="00635CE7">
        <w:t xml:space="preserve"> 201</w:t>
      </w:r>
      <w:r w:rsidRPr="00635CE7">
        <w:t xml:space="preserve">5. godini za </w:t>
      </w:r>
      <w:r w:rsidR="00821B51" w:rsidRPr="00635CE7">
        <w:t xml:space="preserve">sve </w:t>
      </w:r>
      <w:r w:rsidRPr="00635CE7">
        <w:t>podsektore</w:t>
      </w:r>
      <w:r w:rsidR="00D329F8" w:rsidRPr="00635CE7">
        <w:t xml:space="preserve"> </w:t>
      </w:r>
      <w:r w:rsidRPr="00635CE7">
        <w:t>dana je u nastavku poglavlja.</w:t>
      </w:r>
    </w:p>
    <w:p w14:paraId="6FCCB821" w14:textId="34DA362C" w:rsidR="000F64C5" w:rsidRPr="00B449C3" w:rsidRDefault="00B8690E" w:rsidP="00E92750">
      <w:pPr>
        <w:pStyle w:val="Heading2"/>
        <w:spacing w:after="240"/>
      </w:pPr>
      <w:bookmarkStart w:id="16" w:name="_Toc258238888"/>
      <w:bookmarkStart w:id="17" w:name="_Toc468345345"/>
      <w:r w:rsidRPr="00B8690E">
        <w:t>ANALIZA ENERGETSKE POTROŠNJE PODSEKTORA</w:t>
      </w:r>
      <w:r w:rsidR="000F64C5" w:rsidRPr="00B8690E">
        <w:t xml:space="preserve"> </w:t>
      </w:r>
      <w:bookmarkStart w:id="18" w:name="_Toc258238889"/>
      <w:bookmarkEnd w:id="16"/>
      <w:r w:rsidRPr="00B8690E">
        <w:t xml:space="preserve">STAMBENE I JAVNE ZGRADE U </w:t>
      </w:r>
      <w:r w:rsidRPr="00B449C3">
        <w:t>VLASNIŠTVU GRADA ZAGREBA U</w:t>
      </w:r>
      <w:r w:rsidR="00533BA7" w:rsidRPr="00B449C3">
        <w:t xml:space="preserve"> </w:t>
      </w:r>
      <w:r w:rsidR="000F64C5" w:rsidRPr="00B449C3">
        <w:t xml:space="preserve">2015. </w:t>
      </w:r>
      <w:bookmarkEnd w:id="18"/>
      <w:r w:rsidRPr="00B449C3">
        <w:t>GODINI</w:t>
      </w:r>
      <w:bookmarkEnd w:id="17"/>
    </w:p>
    <w:p w14:paraId="49C11D85" w14:textId="0745633B" w:rsidR="000F64C5" w:rsidRPr="00B449C3" w:rsidRDefault="00BF11EB" w:rsidP="00E92750">
      <w:pPr>
        <w:spacing w:line="240" w:lineRule="auto"/>
        <w:jc w:val="both"/>
        <w:rPr>
          <w:color w:val="000000" w:themeColor="text1"/>
        </w:rPr>
      </w:pPr>
      <w:r w:rsidRPr="00B449C3">
        <w:rPr>
          <w:color w:val="000000" w:themeColor="text1"/>
        </w:rPr>
        <w:t>Za potrebe analize energetske potrošnje podsektor</w:t>
      </w:r>
      <w:r w:rsidR="006D567A" w:rsidRPr="00B449C3">
        <w:rPr>
          <w:color w:val="000000" w:themeColor="text1"/>
        </w:rPr>
        <w:t xml:space="preserve"> stambene i javne zgrade</w:t>
      </w:r>
      <w:r w:rsidR="009A7328" w:rsidRPr="00B449C3">
        <w:rPr>
          <w:color w:val="000000" w:themeColor="text1"/>
        </w:rPr>
        <w:t xml:space="preserve"> u vlasništvu Grada Zagreba</w:t>
      </w:r>
      <w:r w:rsidRPr="00B449C3">
        <w:rPr>
          <w:color w:val="000000" w:themeColor="text1"/>
        </w:rPr>
        <w:t xml:space="preserve"> podijeljen je u sljedeće </w:t>
      </w:r>
      <w:r w:rsidR="000F64C5" w:rsidRPr="00B449C3">
        <w:rPr>
          <w:color w:val="000000" w:themeColor="text1"/>
        </w:rPr>
        <w:t>dvije glavne kategorije:</w:t>
      </w:r>
    </w:p>
    <w:p w14:paraId="74ED3815" w14:textId="753E9DD3" w:rsidR="000F64C5" w:rsidRPr="00B449C3" w:rsidRDefault="0067447D" w:rsidP="00EE7021">
      <w:pPr>
        <w:pStyle w:val="ListParagraph"/>
        <w:numPr>
          <w:ilvl w:val="0"/>
          <w:numId w:val="19"/>
        </w:numPr>
        <w:spacing w:line="240" w:lineRule="auto"/>
        <w:jc w:val="both"/>
        <w:rPr>
          <w:color w:val="000000" w:themeColor="text1"/>
        </w:rPr>
      </w:pPr>
      <w:r w:rsidRPr="00B449C3">
        <w:rPr>
          <w:color w:val="000000" w:themeColor="text1"/>
        </w:rPr>
        <w:t>Z</w:t>
      </w:r>
      <w:r w:rsidR="000F64C5" w:rsidRPr="00B449C3">
        <w:rPr>
          <w:color w:val="000000" w:themeColor="text1"/>
        </w:rPr>
        <w:t>g</w:t>
      </w:r>
      <w:r w:rsidR="003F4874" w:rsidRPr="00B449C3">
        <w:rPr>
          <w:color w:val="000000" w:themeColor="text1"/>
        </w:rPr>
        <w:t>rade u vlasništvu Grada Zagreba i</w:t>
      </w:r>
    </w:p>
    <w:p w14:paraId="4B8D83E6" w14:textId="6835402A" w:rsidR="000F64C5" w:rsidRPr="00B449C3" w:rsidRDefault="0067447D" w:rsidP="00EE7021">
      <w:pPr>
        <w:pStyle w:val="ListParagraph"/>
        <w:numPr>
          <w:ilvl w:val="0"/>
          <w:numId w:val="19"/>
        </w:numPr>
        <w:spacing w:line="240" w:lineRule="auto"/>
        <w:jc w:val="both"/>
      </w:pPr>
      <w:r w:rsidRPr="00B449C3">
        <w:t>Z</w:t>
      </w:r>
      <w:r w:rsidR="006051D6" w:rsidRPr="00B449C3">
        <w:t xml:space="preserve">grade u vlasništvu </w:t>
      </w:r>
      <w:r w:rsidR="000F64C5" w:rsidRPr="00B449C3">
        <w:t xml:space="preserve">Zagrebačkog holdinga </w:t>
      </w:r>
      <w:r w:rsidR="003F4874" w:rsidRPr="00B449C3">
        <w:t>d.o.o. (dalje u te</w:t>
      </w:r>
      <w:r w:rsidR="000F64C5" w:rsidRPr="00B449C3">
        <w:t>kstu</w:t>
      </w:r>
      <w:r w:rsidR="009A7328" w:rsidRPr="00B449C3">
        <w:t>:</w:t>
      </w:r>
      <w:r w:rsidR="000F64C5" w:rsidRPr="00B449C3">
        <w:t xml:space="preserve"> Holding).</w:t>
      </w:r>
    </w:p>
    <w:p w14:paraId="0F09FB94" w14:textId="74C6F835" w:rsidR="000F64C5" w:rsidRPr="00B449C3" w:rsidRDefault="00BF11EB" w:rsidP="00E92750">
      <w:pPr>
        <w:spacing w:line="240" w:lineRule="auto"/>
        <w:jc w:val="both"/>
      </w:pPr>
      <w:r w:rsidRPr="00B449C3">
        <w:t>Kategorija</w:t>
      </w:r>
      <w:r w:rsidR="000F64C5" w:rsidRPr="00B449C3">
        <w:t xml:space="preserve"> zgrada u vlasništvu Grada Zag</w:t>
      </w:r>
      <w:r w:rsidR="006E64A1" w:rsidRPr="00B449C3">
        <w:t>r</w:t>
      </w:r>
      <w:r w:rsidR="00B449C3" w:rsidRPr="00B449C3">
        <w:t>eba</w:t>
      </w:r>
      <w:r w:rsidR="000F64C5" w:rsidRPr="00B449C3">
        <w:t xml:space="preserve"> </w:t>
      </w:r>
      <w:r w:rsidR="004E3D18" w:rsidRPr="00B449C3">
        <w:t xml:space="preserve">u ovisnosti o djelatnosti </w:t>
      </w:r>
      <w:r w:rsidR="005172C3" w:rsidRPr="00B449C3">
        <w:t>kojoj su namijenjene</w:t>
      </w:r>
      <w:r w:rsidR="004E3D18" w:rsidRPr="00B449C3">
        <w:t xml:space="preserve"> dijeli se </w:t>
      </w:r>
      <w:r w:rsidR="00E766AE" w:rsidRPr="00B449C3">
        <w:t xml:space="preserve">u sljedećih sedam </w:t>
      </w:r>
      <w:r w:rsidR="004E3D18" w:rsidRPr="00B449C3">
        <w:t>pod</w:t>
      </w:r>
      <w:r w:rsidR="000F64C5" w:rsidRPr="00B449C3">
        <w:t>kategorija:</w:t>
      </w:r>
    </w:p>
    <w:p w14:paraId="13C4B784" w14:textId="3E61DD6F" w:rsidR="00E766AE" w:rsidRPr="00B449C3" w:rsidRDefault="00287AF8" w:rsidP="00EE7021">
      <w:pPr>
        <w:pStyle w:val="ListParagraph"/>
        <w:numPr>
          <w:ilvl w:val="0"/>
          <w:numId w:val="21"/>
        </w:numPr>
        <w:spacing w:line="240" w:lineRule="auto"/>
        <w:jc w:val="both"/>
      </w:pPr>
      <w:r>
        <w:t>Obrazovne</w:t>
      </w:r>
      <w:r w:rsidR="000F64C5" w:rsidRPr="00B449C3">
        <w:t xml:space="preserve"> ustanove;</w:t>
      </w:r>
    </w:p>
    <w:p w14:paraId="1338F8E5" w14:textId="4F05EF30" w:rsidR="00E766AE" w:rsidRPr="00B449C3" w:rsidRDefault="000F64C5" w:rsidP="00EE7021">
      <w:pPr>
        <w:pStyle w:val="ListParagraph"/>
        <w:numPr>
          <w:ilvl w:val="0"/>
          <w:numId w:val="21"/>
        </w:numPr>
        <w:spacing w:line="240" w:lineRule="auto"/>
        <w:jc w:val="both"/>
      </w:pPr>
      <w:r w:rsidRPr="00B449C3">
        <w:t>Zdravstvene ustanove</w:t>
      </w:r>
      <w:r w:rsidR="00E766AE" w:rsidRPr="00B449C3">
        <w:t xml:space="preserve"> i ustanove socijalne zaštite</w:t>
      </w:r>
      <w:r w:rsidRPr="00B449C3">
        <w:t>;</w:t>
      </w:r>
    </w:p>
    <w:p w14:paraId="70780784" w14:textId="77777777" w:rsidR="00E766AE" w:rsidRPr="00B449C3" w:rsidRDefault="000F64C5" w:rsidP="00EE7021">
      <w:pPr>
        <w:pStyle w:val="ListParagraph"/>
        <w:numPr>
          <w:ilvl w:val="0"/>
          <w:numId w:val="21"/>
        </w:numPr>
        <w:spacing w:line="240" w:lineRule="auto"/>
        <w:jc w:val="both"/>
      </w:pPr>
      <w:r w:rsidRPr="00B449C3">
        <w:t>Kulturne ustanove;</w:t>
      </w:r>
    </w:p>
    <w:p w14:paraId="4EBE269A" w14:textId="77777777" w:rsidR="00E766AE" w:rsidRPr="00B449C3" w:rsidRDefault="000F64C5" w:rsidP="00EE7021">
      <w:pPr>
        <w:pStyle w:val="ListParagraph"/>
        <w:numPr>
          <w:ilvl w:val="0"/>
          <w:numId w:val="21"/>
        </w:numPr>
        <w:spacing w:line="240" w:lineRule="auto"/>
        <w:jc w:val="both"/>
      </w:pPr>
      <w:r w:rsidRPr="00B449C3">
        <w:t>Zgrade gradske uprave i mjesne samouprave;</w:t>
      </w:r>
    </w:p>
    <w:p w14:paraId="368B269A" w14:textId="359EE6CE" w:rsidR="00E766AE" w:rsidRPr="00B449C3" w:rsidRDefault="00E766AE" w:rsidP="00EE7021">
      <w:pPr>
        <w:pStyle w:val="ListParagraph"/>
        <w:numPr>
          <w:ilvl w:val="0"/>
          <w:numId w:val="21"/>
        </w:numPr>
        <w:spacing w:line="240" w:lineRule="auto"/>
        <w:jc w:val="both"/>
      </w:pPr>
      <w:r w:rsidRPr="00B449C3">
        <w:t>Sportski objekti;</w:t>
      </w:r>
    </w:p>
    <w:p w14:paraId="101B2EA3" w14:textId="708CDC8D" w:rsidR="000F64C5" w:rsidRPr="00B449C3" w:rsidRDefault="000F64C5" w:rsidP="00EE7021">
      <w:pPr>
        <w:pStyle w:val="ListParagraph"/>
        <w:numPr>
          <w:ilvl w:val="0"/>
          <w:numId w:val="21"/>
        </w:numPr>
        <w:spacing w:line="240" w:lineRule="auto"/>
        <w:jc w:val="both"/>
      </w:pPr>
      <w:r w:rsidRPr="00B449C3">
        <w:t>Poslovni prosto</w:t>
      </w:r>
      <w:r w:rsidR="00E04DA5" w:rsidRPr="00B449C3">
        <w:t>ri i stanovi u vlasništvu Grada i</w:t>
      </w:r>
    </w:p>
    <w:p w14:paraId="73B79222" w14:textId="47F61434" w:rsidR="00842942" w:rsidRPr="00B449C3" w:rsidRDefault="00842942" w:rsidP="00EE7021">
      <w:pPr>
        <w:pStyle w:val="ListParagraph"/>
        <w:numPr>
          <w:ilvl w:val="0"/>
          <w:numId w:val="21"/>
        </w:numPr>
        <w:spacing w:line="240" w:lineRule="auto"/>
        <w:jc w:val="both"/>
      </w:pPr>
      <w:r w:rsidRPr="00B449C3">
        <w:lastRenderedPageBreak/>
        <w:t>Ostali objekti.</w:t>
      </w:r>
    </w:p>
    <w:p w14:paraId="7DD8D184" w14:textId="31CBD3F1" w:rsidR="000F64C5" w:rsidRPr="00B449C3" w:rsidRDefault="000F64C5" w:rsidP="00E92750">
      <w:pPr>
        <w:spacing w:line="240" w:lineRule="auto"/>
        <w:jc w:val="both"/>
      </w:pPr>
      <w:r w:rsidRPr="00B449C3">
        <w:t>Kategori</w:t>
      </w:r>
      <w:r w:rsidR="00571245" w:rsidRPr="00B449C3">
        <w:t>ju članica Holdinga</w:t>
      </w:r>
      <w:r w:rsidR="00E54BB5" w:rsidRPr="00B449C3">
        <w:t xml:space="preserve"> čin</w:t>
      </w:r>
      <w:r w:rsidR="00AB0FE2" w:rsidRPr="00B449C3">
        <w:t>i šesnaest</w:t>
      </w:r>
      <w:r w:rsidRPr="00B449C3">
        <w:t xml:space="preserve"> </w:t>
      </w:r>
      <w:r w:rsidR="00E54BB5" w:rsidRPr="00B449C3">
        <w:t>podružnica</w:t>
      </w:r>
      <w:r w:rsidRPr="00B449C3">
        <w:t xml:space="preserve">, </w:t>
      </w:r>
      <w:r w:rsidR="00AB0FE2" w:rsidRPr="00B449C3">
        <w:t>osam</w:t>
      </w:r>
      <w:r w:rsidR="00E54BB5" w:rsidRPr="00B449C3">
        <w:t xml:space="preserve"> trgovačkih</w:t>
      </w:r>
      <w:r w:rsidRPr="00B449C3">
        <w:t xml:space="preserve"> društva i </w:t>
      </w:r>
      <w:r w:rsidR="00AB0FE2" w:rsidRPr="00B449C3">
        <w:t>jedna ustanova</w:t>
      </w:r>
      <w:r w:rsidRPr="00B449C3">
        <w:t xml:space="preserve">. </w:t>
      </w:r>
      <w:r w:rsidR="006A7110" w:rsidRPr="00B449C3">
        <w:t>Prikaz istih je dan u nastavku:</w:t>
      </w:r>
    </w:p>
    <w:p w14:paraId="084940A3" w14:textId="45B1C56E" w:rsidR="000F64C5" w:rsidRPr="00B449C3" w:rsidRDefault="000F64C5" w:rsidP="00EE7021">
      <w:pPr>
        <w:pStyle w:val="ListParagraph"/>
        <w:numPr>
          <w:ilvl w:val="0"/>
          <w:numId w:val="22"/>
        </w:numPr>
        <w:spacing w:line="240" w:lineRule="auto"/>
        <w:jc w:val="both"/>
      </w:pPr>
      <w:r w:rsidRPr="00B449C3">
        <w:t>AGM</w:t>
      </w:r>
      <w:r w:rsidR="006A7110" w:rsidRPr="00B449C3">
        <w:t xml:space="preserve"> d.o.o.</w:t>
      </w:r>
      <w:r w:rsidRPr="00B449C3">
        <w:t>;</w:t>
      </w:r>
    </w:p>
    <w:p w14:paraId="6E011D8C" w14:textId="568A84A1" w:rsidR="006A7110" w:rsidRPr="00B449C3" w:rsidRDefault="006A7110" w:rsidP="00EE7021">
      <w:pPr>
        <w:pStyle w:val="ListParagraph"/>
        <w:numPr>
          <w:ilvl w:val="0"/>
          <w:numId w:val="22"/>
        </w:numPr>
        <w:spacing w:line="240" w:lineRule="auto"/>
        <w:jc w:val="both"/>
      </w:pPr>
      <w:r w:rsidRPr="00B449C3">
        <w:t>Arena Zagreb;</w:t>
      </w:r>
    </w:p>
    <w:p w14:paraId="52ED3B4E" w14:textId="77777777" w:rsidR="006A7110" w:rsidRPr="00B449C3" w:rsidRDefault="000F64C5" w:rsidP="00EE7021">
      <w:pPr>
        <w:pStyle w:val="ListParagraph"/>
        <w:numPr>
          <w:ilvl w:val="0"/>
          <w:numId w:val="22"/>
        </w:numPr>
        <w:spacing w:line="240" w:lineRule="auto"/>
        <w:jc w:val="both"/>
      </w:pPr>
      <w:r w:rsidRPr="00B449C3">
        <w:t>Autobusni kolodvor;</w:t>
      </w:r>
    </w:p>
    <w:p w14:paraId="5E267B30" w14:textId="0550D9E6" w:rsidR="006A7110" w:rsidRPr="00B449C3" w:rsidRDefault="006A7110" w:rsidP="00EE7021">
      <w:pPr>
        <w:pStyle w:val="ListParagraph"/>
        <w:numPr>
          <w:ilvl w:val="0"/>
          <w:numId w:val="22"/>
        </w:numPr>
        <w:spacing w:line="240" w:lineRule="auto"/>
        <w:jc w:val="both"/>
      </w:pPr>
      <w:r w:rsidRPr="00B449C3">
        <w:t>Centar d.o.o.;</w:t>
      </w:r>
    </w:p>
    <w:p w14:paraId="52DED8AD" w14:textId="7208FEDE" w:rsidR="000F64C5" w:rsidRPr="00B449C3" w:rsidRDefault="000F64C5" w:rsidP="00EE7021">
      <w:pPr>
        <w:pStyle w:val="ListParagraph"/>
        <w:numPr>
          <w:ilvl w:val="0"/>
          <w:numId w:val="22"/>
        </w:numPr>
        <w:spacing w:line="240" w:lineRule="auto"/>
        <w:jc w:val="both"/>
      </w:pPr>
      <w:r w:rsidRPr="00B449C3">
        <w:t>Čistoća;</w:t>
      </w:r>
    </w:p>
    <w:p w14:paraId="09C410E5" w14:textId="4E998C8E" w:rsidR="006A7110" w:rsidRPr="00B449C3" w:rsidRDefault="006A7110" w:rsidP="00EE7021">
      <w:pPr>
        <w:pStyle w:val="ListParagraph"/>
        <w:numPr>
          <w:ilvl w:val="0"/>
          <w:numId w:val="22"/>
        </w:numPr>
        <w:spacing w:line="240" w:lineRule="auto"/>
        <w:jc w:val="both"/>
      </w:pPr>
      <w:r w:rsidRPr="00B449C3">
        <w:t>Gradska groblja;</w:t>
      </w:r>
    </w:p>
    <w:p w14:paraId="41C8C77B" w14:textId="0726AA5D" w:rsidR="006A7110" w:rsidRPr="00B449C3" w:rsidRDefault="006A7110" w:rsidP="00EE7021">
      <w:pPr>
        <w:pStyle w:val="ListParagraph"/>
        <w:numPr>
          <w:ilvl w:val="0"/>
          <w:numId w:val="22"/>
        </w:numPr>
        <w:spacing w:line="240" w:lineRule="auto"/>
        <w:jc w:val="both"/>
      </w:pPr>
      <w:r w:rsidRPr="00B449C3">
        <w:t>Gradska ljekarna Zagreb;</w:t>
      </w:r>
    </w:p>
    <w:p w14:paraId="73B1F960" w14:textId="67CDA1C2" w:rsidR="006A7110" w:rsidRPr="00B449C3" w:rsidRDefault="006A7110" w:rsidP="00EE7021">
      <w:pPr>
        <w:pStyle w:val="ListParagraph"/>
        <w:numPr>
          <w:ilvl w:val="0"/>
          <w:numId w:val="22"/>
        </w:numPr>
        <w:spacing w:line="240" w:lineRule="auto"/>
        <w:jc w:val="both"/>
      </w:pPr>
      <w:r w:rsidRPr="00B449C3">
        <w:t>Gradska plinara Zagreb d.o.o.;</w:t>
      </w:r>
    </w:p>
    <w:p w14:paraId="71626BC7" w14:textId="56C3820A" w:rsidR="006A7110" w:rsidRPr="00B449C3" w:rsidRDefault="006A7110" w:rsidP="00EE7021">
      <w:pPr>
        <w:pStyle w:val="ListParagraph"/>
        <w:numPr>
          <w:ilvl w:val="0"/>
          <w:numId w:val="22"/>
        </w:numPr>
        <w:spacing w:line="240" w:lineRule="auto"/>
        <w:jc w:val="both"/>
      </w:pPr>
      <w:r w:rsidRPr="00B449C3">
        <w:t>Gradska plinara Zagreb opskrba d.o.o.;</w:t>
      </w:r>
    </w:p>
    <w:p w14:paraId="1D36C02A" w14:textId="77777777" w:rsidR="006A7110" w:rsidRPr="00B449C3" w:rsidRDefault="000F64C5" w:rsidP="00EE7021">
      <w:pPr>
        <w:pStyle w:val="ListParagraph"/>
        <w:numPr>
          <w:ilvl w:val="0"/>
          <w:numId w:val="22"/>
        </w:numPr>
        <w:spacing w:line="240" w:lineRule="auto"/>
        <w:jc w:val="both"/>
      </w:pPr>
      <w:r w:rsidRPr="00B449C3">
        <w:t>Gradsko stambeno-komunalno gospodarstvo</w:t>
      </w:r>
      <w:r w:rsidR="006A7110" w:rsidRPr="00B449C3">
        <w:t xml:space="preserve"> d.o.o.</w:t>
      </w:r>
      <w:r w:rsidRPr="00B449C3">
        <w:t>;</w:t>
      </w:r>
    </w:p>
    <w:p w14:paraId="78053820" w14:textId="5876BFC8" w:rsidR="000F64C5" w:rsidRPr="00B449C3" w:rsidRDefault="000F64C5" w:rsidP="00EE7021">
      <w:pPr>
        <w:pStyle w:val="ListParagraph"/>
        <w:numPr>
          <w:ilvl w:val="0"/>
          <w:numId w:val="22"/>
        </w:numPr>
        <w:spacing w:line="240" w:lineRule="auto"/>
        <w:jc w:val="both"/>
      </w:pPr>
      <w:r w:rsidRPr="00B449C3">
        <w:t>Robni terminali Zagreb;</w:t>
      </w:r>
    </w:p>
    <w:p w14:paraId="5EA84228" w14:textId="08A2381D" w:rsidR="006A7110" w:rsidRPr="00B449C3" w:rsidRDefault="006A7110" w:rsidP="00EE7021">
      <w:pPr>
        <w:pStyle w:val="ListParagraph"/>
        <w:numPr>
          <w:ilvl w:val="0"/>
          <w:numId w:val="22"/>
        </w:numPr>
        <w:spacing w:line="240" w:lineRule="auto"/>
        <w:jc w:val="both"/>
      </w:pPr>
      <w:r w:rsidRPr="00B449C3">
        <w:t>Upravljanje nekretninama;</w:t>
      </w:r>
    </w:p>
    <w:p w14:paraId="77FEE4F3" w14:textId="524F7159" w:rsidR="006A7110" w:rsidRPr="00B449C3" w:rsidRDefault="006A7110" w:rsidP="00EE7021">
      <w:pPr>
        <w:pStyle w:val="ListParagraph"/>
        <w:numPr>
          <w:ilvl w:val="0"/>
          <w:numId w:val="22"/>
        </w:numPr>
        <w:spacing w:line="240" w:lineRule="auto"/>
        <w:jc w:val="both"/>
      </w:pPr>
      <w:r w:rsidRPr="00B449C3">
        <w:t>Upravljanje projektima;</w:t>
      </w:r>
    </w:p>
    <w:p w14:paraId="4CBC41BE" w14:textId="4ACDAE8A" w:rsidR="006A7110" w:rsidRPr="00B449C3" w:rsidRDefault="00744A23" w:rsidP="00EE7021">
      <w:pPr>
        <w:pStyle w:val="ListParagraph"/>
        <w:numPr>
          <w:ilvl w:val="0"/>
          <w:numId w:val="22"/>
        </w:numPr>
        <w:spacing w:line="240" w:lineRule="auto"/>
        <w:jc w:val="both"/>
      </w:pPr>
      <w:r w:rsidRPr="00B449C3">
        <w:t>Tržnice Z</w:t>
      </w:r>
      <w:r w:rsidR="006A7110" w:rsidRPr="00B449C3">
        <w:t>agreb;</w:t>
      </w:r>
    </w:p>
    <w:p w14:paraId="6D32EAC4" w14:textId="72724520" w:rsidR="006A7110" w:rsidRPr="00B449C3" w:rsidRDefault="006A7110" w:rsidP="00EE7021">
      <w:pPr>
        <w:pStyle w:val="ListParagraph"/>
        <w:numPr>
          <w:ilvl w:val="0"/>
          <w:numId w:val="22"/>
        </w:numPr>
        <w:spacing w:line="240" w:lineRule="auto"/>
        <w:jc w:val="both"/>
      </w:pPr>
      <w:r w:rsidRPr="00B449C3">
        <w:t>Vladimir Nazor;</w:t>
      </w:r>
    </w:p>
    <w:p w14:paraId="2A17E9D4" w14:textId="47B68B0A" w:rsidR="006A7110" w:rsidRPr="00B449C3" w:rsidRDefault="006A7110" w:rsidP="00EE7021">
      <w:pPr>
        <w:pStyle w:val="ListParagraph"/>
        <w:numPr>
          <w:ilvl w:val="0"/>
          <w:numId w:val="22"/>
        </w:numPr>
        <w:spacing w:line="240" w:lineRule="auto"/>
        <w:jc w:val="both"/>
      </w:pPr>
      <w:r w:rsidRPr="00B449C3">
        <w:t>Vodoopskrba i odvodnja d.o.o.;</w:t>
      </w:r>
    </w:p>
    <w:p w14:paraId="24D2D809" w14:textId="5750C8E3" w:rsidR="006A7110" w:rsidRPr="00B449C3" w:rsidRDefault="006A7110" w:rsidP="00EE7021">
      <w:pPr>
        <w:pStyle w:val="ListParagraph"/>
        <w:numPr>
          <w:ilvl w:val="0"/>
          <w:numId w:val="22"/>
        </w:numPr>
        <w:spacing w:line="240" w:lineRule="auto"/>
        <w:jc w:val="both"/>
      </w:pPr>
      <w:r w:rsidRPr="00B449C3">
        <w:t>Zagreb</w:t>
      </w:r>
      <w:r w:rsidR="00744A23" w:rsidRPr="00B449C3">
        <w:t xml:space="preserve"> </w:t>
      </w:r>
      <w:r w:rsidRPr="00B449C3">
        <w:t>plakat d.o.o.;</w:t>
      </w:r>
    </w:p>
    <w:p w14:paraId="7B470D7F" w14:textId="5FEBEE9B" w:rsidR="000F64C5" w:rsidRPr="00B449C3" w:rsidRDefault="006A7110" w:rsidP="00EE7021">
      <w:pPr>
        <w:pStyle w:val="ListParagraph"/>
        <w:numPr>
          <w:ilvl w:val="0"/>
          <w:numId w:val="22"/>
        </w:numPr>
        <w:spacing w:line="240" w:lineRule="auto"/>
        <w:jc w:val="both"/>
      </w:pPr>
      <w:r w:rsidRPr="00B449C3">
        <w:t>Zagreb s</w:t>
      </w:r>
      <w:r w:rsidR="000F64C5" w:rsidRPr="00B449C3">
        <w:t>tanogradnja</w:t>
      </w:r>
      <w:r w:rsidRPr="00B449C3">
        <w:t xml:space="preserve"> d.o.o.</w:t>
      </w:r>
      <w:r w:rsidR="000F64C5" w:rsidRPr="00B449C3">
        <w:t>;</w:t>
      </w:r>
    </w:p>
    <w:p w14:paraId="5FA8F785" w14:textId="77777777" w:rsidR="006A7110" w:rsidRPr="00B449C3" w:rsidRDefault="000F64C5" w:rsidP="00EE7021">
      <w:pPr>
        <w:pStyle w:val="ListParagraph"/>
        <w:numPr>
          <w:ilvl w:val="0"/>
          <w:numId w:val="22"/>
        </w:numPr>
        <w:spacing w:line="240" w:lineRule="auto"/>
        <w:jc w:val="both"/>
      </w:pPr>
      <w:r w:rsidRPr="00B449C3">
        <w:t>Zagrebparking;</w:t>
      </w:r>
    </w:p>
    <w:p w14:paraId="5FFDE9F8" w14:textId="77777777" w:rsidR="006A7110" w:rsidRPr="00B449C3" w:rsidRDefault="000F64C5" w:rsidP="00EE7021">
      <w:pPr>
        <w:pStyle w:val="ListParagraph"/>
        <w:numPr>
          <w:ilvl w:val="0"/>
          <w:numId w:val="22"/>
        </w:numPr>
        <w:spacing w:line="240" w:lineRule="auto"/>
        <w:jc w:val="both"/>
      </w:pPr>
      <w:r w:rsidRPr="00B449C3">
        <w:t>Zagrebačke ceste;</w:t>
      </w:r>
    </w:p>
    <w:p w14:paraId="62D80946" w14:textId="77777777" w:rsidR="006A7110" w:rsidRPr="00B449C3" w:rsidRDefault="000F64C5" w:rsidP="00EE7021">
      <w:pPr>
        <w:pStyle w:val="ListParagraph"/>
        <w:numPr>
          <w:ilvl w:val="0"/>
          <w:numId w:val="22"/>
        </w:numPr>
        <w:spacing w:line="240" w:lineRule="auto"/>
        <w:jc w:val="both"/>
      </w:pPr>
      <w:r w:rsidRPr="00B449C3">
        <w:t>Zagrebački digitalni grad;</w:t>
      </w:r>
    </w:p>
    <w:p w14:paraId="1EC91175" w14:textId="77777777" w:rsidR="006A7110" w:rsidRPr="00B449C3" w:rsidRDefault="000F64C5" w:rsidP="00EE7021">
      <w:pPr>
        <w:pStyle w:val="ListParagraph"/>
        <w:numPr>
          <w:ilvl w:val="0"/>
          <w:numId w:val="22"/>
        </w:numPr>
        <w:spacing w:line="240" w:lineRule="auto"/>
        <w:jc w:val="both"/>
      </w:pPr>
      <w:r w:rsidRPr="00B449C3">
        <w:t>Zagrebački električni tramvaj – ZET;</w:t>
      </w:r>
    </w:p>
    <w:p w14:paraId="36ACA8D9" w14:textId="77777777" w:rsidR="006A7110" w:rsidRPr="00B449C3" w:rsidRDefault="000F64C5" w:rsidP="00EE7021">
      <w:pPr>
        <w:pStyle w:val="ListParagraph"/>
        <w:numPr>
          <w:ilvl w:val="0"/>
          <w:numId w:val="22"/>
        </w:numPr>
        <w:spacing w:line="240" w:lineRule="auto"/>
        <w:jc w:val="both"/>
      </w:pPr>
      <w:r w:rsidRPr="00B449C3">
        <w:t>Zagrebački velesajam;</w:t>
      </w:r>
    </w:p>
    <w:p w14:paraId="3851F517" w14:textId="53ABC527" w:rsidR="006A7110" w:rsidRPr="00B449C3" w:rsidRDefault="00744A23" w:rsidP="00EE7021">
      <w:pPr>
        <w:pStyle w:val="ListParagraph"/>
        <w:numPr>
          <w:ilvl w:val="0"/>
          <w:numId w:val="22"/>
        </w:numPr>
        <w:spacing w:line="240" w:lineRule="auto"/>
        <w:jc w:val="both"/>
      </w:pPr>
      <w:r w:rsidRPr="00B449C3">
        <w:t>ZGOS</w:t>
      </w:r>
      <w:r w:rsidR="001B3F89" w:rsidRPr="00B449C3">
        <w:t xml:space="preserve"> i</w:t>
      </w:r>
    </w:p>
    <w:p w14:paraId="3A6B2955" w14:textId="3D8AD783" w:rsidR="00FE0EBE" w:rsidRPr="00B449C3" w:rsidRDefault="000F64C5" w:rsidP="00EE7021">
      <w:pPr>
        <w:pStyle w:val="ListParagraph"/>
        <w:numPr>
          <w:ilvl w:val="0"/>
          <w:numId w:val="22"/>
        </w:numPr>
        <w:spacing w:line="240" w:lineRule="auto"/>
        <w:jc w:val="both"/>
      </w:pPr>
      <w:r w:rsidRPr="00B449C3">
        <w:t>Zrinjevac.</w:t>
      </w:r>
    </w:p>
    <w:p w14:paraId="5CE2C279" w14:textId="11E5C9C4" w:rsidR="00350F6C" w:rsidRPr="00DA0410" w:rsidRDefault="00350F6C" w:rsidP="00E92750">
      <w:pPr>
        <w:pStyle w:val="Heading2"/>
        <w:spacing w:after="240"/>
      </w:pPr>
      <w:bookmarkStart w:id="19" w:name="_Toc468345346"/>
      <w:r w:rsidRPr="00DA0410">
        <w:t>Z</w:t>
      </w:r>
      <w:r w:rsidR="00DA0410" w:rsidRPr="00DA0410">
        <w:t>GRADE U VLASNIŠTVU GRADA ZAGREBA</w:t>
      </w:r>
      <w:bookmarkEnd w:id="19"/>
    </w:p>
    <w:p w14:paraId="6F12277C" w14:textId="5C57D9AC" w:rsidR="00DA0410" w:rsidRPr="000012EA" w:rsidRDefault="00350F6C" w:rsidP="00E92750">
      <w:pPr>
        <w:spacing w:after="240" w:line="240" w:lineRule="auto"/>
        <w:jc w:val="both"/>
        <w:rPr>
          <w:rFonts w:ascii="Calibri" w:eastAsia="Calibri" w:hAnsi="Calibri" w:cs="Calibri"/>
          <w:bCs/>
        </w:rPr>
      </w:pPr>
      <w:r w:rsidRPr="00DA0410">
        <w:t xml:space="preserve">Proces prikupljanja potrebnih podataka </w:t>
      </w:r>
      <w:r w:rsidR="004D7576" w:rsidRPr="00DA0410">
        <w:t>za izradu analize energetske potrošnje zgrada</w:t>
      </w:r>
      <w:r w:rsidRPr="00DA0410">
        <w:t xml:space="preserve"> u vlasništvu Grada</w:t>
      </w:r>
      <w:r w:rsidR="008D11E2" w:rsidRPr="00DA0410">
        <w:t xml:space="preserve"> Zagreba</w:t>
      </w:r>
      <w:r w:rsidRPr="00DA0410">
        <w:t xml:space="preserve"> bio je znatno ubrzan i olakšan</w:t>
      </w:r>
      <w:r w:rsidR="008D11E2" w:rsidRPr="00DA0410">
        <w:t xml:space="preserve"> činjenicom da </w:t>
      </w:r>
      <w:r w:rsidR="00792182" w:rsidRPr="00DA0410">
        <w:t xml:space="preserve">Grad Zagreb provodi sustavno gospodarenje energijom za sve </w:t>
      </w:r>
      <w:r w:rsidR="00792182" w:rsidRPr="000012EA">
        <w:t>objekte</w:t>
      </w:r>
      <w:r w:rsidR="00AE0692">
        <w:t xml:space="preserve">, a </w:t>
      </w:r>
      <w:r w:rsidR="00DA0410" w:rsidRPr="000012EA">
        <w:t>s</w:t>
      </w:r>
      <w:r w:rsidR="00DA0410" w:rsidRPr="000012EA">
        <w:rPr>
          <w:rFonts w:ascii="Calibri" w:eastAsia="Calibri" w:hAnsi="Calibri" w:cs="Calibri"/>
          <w:iCs/>
          <w:color w:val="000000"/>
        </w:rPr>
        <w:t>ustav daljinskog mjerenja</w:t>
      </w:r>
      <w:r w:rsidR="00AE0692">
        <w:rPr>
          <w:rFonts w:ascii="Calibri" w:eastAsia="Calibri" w:hAnsi="Calibri" w:cs="Calibri"/>
          <w:color w:val="000000"/>
        </w:rPr>
        <w:t xml:space="preserve"> je </w:t>
      </w:r>
      <w:r w:rsidR="00B70618">
        <w:rPr>
          <w:rFonts w:ascii="Calibri" w:eastAsia="Calibri" w:hAnsi="Calibri" w:cs="Calibri"/>
          <w:bCs/>
        </w:rPr>
        <w:t>uveden u</w:t>
      </w:r>
      <w:r w:rsidR="00DA0410" w:rsidRPr="000012EA">
        <w:rPr>
          <w:rFonts w:ascii="Calibri" w:eastAsia="Calibri" w:hAnsi="Calibri" w:cs="Calibri"/>
          <w:bCs/>
        </w:rPr>
        <w:t xml:space="preserve"> 13 objekata.</w:t>
      </w:r>
    </w:p>
    <w:p w14:paraId="011026EA" w14:textId="618A19DF" w:rsidR="00BE539F" w:rsidRPr="00DA0410" w:rsidRDefault="00792182" w:rsidP="00E92750">
      <w:pPr>
        <w:spacing w:after="240" w:line="240" w:lineRule="auto"/>
        <w:jc w:val="both"/>
      </w:pPr>
      <w:r w:rsidRPr="00DA0410">
        <w:t xml:space="preserve">Sustavno gospodarenje energijom podrazumijeva strateško planiranje energetike i održivo upravljanje energetskim resursima. </w:t>
      </w:r>
      <w:r w:rsidR="00173679">
        <w:t>Stručnjaci zaduženi za gospodarenje energijom u ISGE unose podatke za zgrade javnog sektora, odnosno zgrade u vlasništvu Grada</w:t>
      </w:r>
      <w:r w:rsidR="00AE0692">
        <w:t xml:space="preserve"> Zagreba</w:t>
      </w:r>
      <w:r w:rsidR="00173679">
        <w:t>.</w:t>
      </w:r>
    </w:p>
    <w:p w14:paraId="7CDDCB1B" w14:textId="7DE907D4" w:rsidR="00792182" w:rsidRPr="00DA0410" w:rsidRDefault="00792182" w:rsidP="00E92750">
      <w:pPr>
        <w:spacing w:after="240" w:line="240" w:lineRule="auto"/>
        <w:jc w:val="both"/>
      </w:pPr>
      <w:r w:rsidRPr="00DA0410">
        <w:t>ISGE je računalna aplikacija za praćenje i analizu potrošnje energije u zgradama javnog sektora</w:t>
      </w:r>
      <w:r w:rsidRPr="00DA0410">
        <w:rPr>
          <w:rFonts w:cs="Calibri"/>
        </w:rPr>
        <w:t xml:space="preserve"> </w:t>
      </w:r>
      <w:r w:rsidRPr="00DA0410">
        <w:t>koju vodi Agencija za pravni promet i posredovanje ne</w:t>
      </w:r>
      <w:r w:rsidR="00B74FC6">
        <w:t>kretninama</w:t>
      </w:r>
      <w:r w:rsidRPr="00DA0410">
        <w:t>, a u koju se unose opći, konstrukcijski i energetski podaci te podaci o neposrednoj potrošnji energije i/ili vode za svaku zgradu javnog sektora.</w:t>
      </w:r>
      <w:r w:rsidRPr="00DA0410">
        <w:rPr>
          <w:vertAlign w:val="superscript"/>
        </w:rPr>
        <w:footnoteReference w:id="18"/>
      </w:r>
    </w:p>
    <w:p w14:paraId="63C5CFE1" w14:textId="3E36EBFC" w:rsidR="00792182" w:rsidRPr="00DA0410" w:rsidRDefault="00792182" w:rsidP="00E92750">
      <w:pPr>
        <w:spacing w:line="240" w:lineRule="auto"/>
        <w:jc w:val="both"/>
      </w:pPr>
      <w:r w:rsidRPr="00DA0410">
        <w:lastRenderedPageBreak/>
        <w:t>Podaci uneseni u ISGE omogućavaju niz izračuna, analiza s ciljem dobivanja povratne informacije kako i na što se troši energija i voda u pojedinoj zgradi, kao i uspoređivanje pojedinih zgrada sa sebi sličnim zgradama te identificiranje neželjene, prekomjerne i neracionalne potrošnje. Dio potrebnih analiza i kontrola potrošnje ISGE aplikacija provodi automatizirano te o kritičnim rezultatima potrošnje energije ili vode obavještava nadležne osobe. Praćenjem potrošnje energije u svim objektima javne namjene korištenjem ISGE-a</w:t>
      </w:r>
      <w:r w:rsidR="00453CDA">
        <w:t>,</w:t>
      </w:r>
      <w:r w:rsidRPr="00DA0410">
        <w:t xml:space="preserve"> Grad je uveo kontrolu nad potrošnjom i troškovima energenata što je posljedično dovelo d</w:t>
      </w:r>
      <w:r w:rsidR="00B74FC6">
        <w:t>o smanjenja potrošnje energije.</w:t>
      </w:r>
    </w:p>
    <w:p w14:paraId="320C3AD4" w14:textId="372BC8F5" w:rsidR="00350F6C" w:rsidRPr="00DA0410" w:rsidRDefault="00350F6C" w:rsidP="00E92750">
      <w:pPr>
        <w:spacing w:line="240" w:lineRule="auto"/>
        <w:jc w:val="both"/>
        <w:rPr>
          <w:rFonts w:cs="Arial"/>
          <w:bCs/>
        </w:rPr>
      </w:pPr>
      <w:r w:rsidRPr="00DA0410">
        <w:rPr>
          <w:rFonts w:cs="Arial"/>
          <w:bCs/>
        </w:rPr>
        <w:t xml:space="preserve">Prikaz </w:t>
      </w:r>
      <w:r w:rsidR="004D7576" w:rsidRPr="00DA0410">
        <w:rPr>
          <w:rFonts w:cs="Arial"/>
          <w:bCs/>
        </w:rPr>
        <w:t xml:space="preserve">rezultata </w:t>
      </w:r>
      <w:r w:rsidRPr="00DA0410">
        <w:rPr>
          <w:rFonts w:cs="Arial"/>
          <w:bCs/>
        </w:rPr>
        <w:t xml:space="preserve">energetskih analiza zgrada u vlasništvu Grada </w:t>
      </w:r>
      <w:r w:rsidR="004D7576" w:rsidRPr="00DA0410">
        <w:rPr>
          <w:rFonts w:cs="Arial"/>
          <w:bCs/>
        </w:rPr>
        <w:t>Zagreba u</w:t>
      </w:r>
      <w:r w:rsidRPr="00DA0410">
        <w:rPr>
          <w:rFonts w:cs="Arial"/>
          <w:bCs/>
        </w:rPr>
        <w:t xml:space="preserve"> 2</w:t>
      </w:r>
      <w:r w:rsidR="004D7576" w:rsidRPr="00DA0410">
        <w:rPr>
          <w:rFonts w:cs="Arial"/>
          <w:bCs/>
        </w:rPr>
        <w:t>015</w:t>
      </w:r>
      <w:r w:rsidRPr="00DA0410">
        <w:rPr>
          <w:rFonts w:cs="Arial"/>
          <w:bCs/>
        </w:rPr>
        <w:t>. godini dan je u nastavku poglavlja.</w:t>
      </w:r>
    </w:p>
    <w:p w14:paraId="4E24E5E9" w14:textId="7983F1E7" w:rsidR="000F64C5" w:rsidRPr="00DB23DC" w:rsidRDefault="00161095" w:rsidP="00E92750">
      <w:pPr>
        <w:pStyle w:val="Heading3"/>
        <w:spacing w:after="240" w:line="240" w:lineRule="auto"/>
        <w:jc w:val="both"/>
        <w:rPr>
          <w:lang w:eastAsia="hr-HR"/>
        </w:rPr>
      </w:pPr>
      <w:bookmarkStart w:id="20" w:name="_Toc258238891"/>
      <w:bookmarkStart w:id="21" w:name="_Toc468345347"/>
      <w:r>
        <w:rPr>
          <w:lang w:eastAsia="hr-HR"/>
        </w:rPr>
        <w:t>Obrazovne</w:t>
      </w:r>
      <w:r w:rsidR="000F64C5" w:rsidRPr="00DB23DC">
        <w:rPr>
          <w:lang w:eastAsia="hr-HR"/>
        </w:rPr>
        <w:t xml:space="preserve"> ustanove u vlasništvu Grada Zagreba</w:t>
      </w:r>
      <w:bookmarkEnd w:id="20"/>
      <w:bookmarkEnd w:id="21"/>
    </w:p>
    <w:p w14:paraId="78950B96" w14:textId="6A30B881" w:rsidR="000F64C5" w:rsidRPr="00DB23DC" w:rsidRDefault="00161095" w:rsidP="00E92750">
      <w:pPr>
        <w:suppressAutoHyphens/>
        <w:autoSpaceDN w:val="0"/>
        <w:spacing w:after="120" w:line="240" w:lineRule="auto"/>
        <w:jc w:val="both"/>
        <w:textAlignment w:val="baseline"/>
        <w:rPr>
          <w:rFonts w:ascii="Calibri" w:eastAsia="Calibri" w:hAnsi="Calibri" w:cs="Times New Roman"/>
        </w:rPr>
      </w:pPr>
      <w:r>
        <w:rPr>
          <w:rFonts w:ascii="Calibri" w:eastAsia="Calibri" w:hAnsi="Calibri" w:cs="Times New Roman"/>
        </w:rPr>
        <w:t>Obrazovne</w:t>
      </w:r>
      <w:r w:rsidR="00E27102" w:rsidRPr="00DB23DC">
        <w:rPr>
          <w:rFonts w:ascii="Calibri" w:eastAsia="Calibri" w:hAnsi="Calibri" w:cs="Times New Roman"/>
        </w:rPr>
        <w:t xml:space="preserve"> ustanove u vlasništvu Grada Zagreba obuhvaćaju</w:t>
      </w:r>
      <w:r w:rsidR="000F64C5" w:rsidRPr="00DB23DC">
        <w:rPr>
          <w:rFonts w:ascii="Calibri" w:eastAsia="Calibri" w:hAnsi="Calibri" w:cs="Times New Roman"/>
        </w:rPr>
        <w:t>:</w:t>
      </w:r>
    </w:p>
    <w:p w14:paraId="08EA6192" w14:textId="77777777" w:rsidR="000F64C5" w:rsidRPr="00DB23DC" w:rsidRDefault="000F64C5" w:rsidP="00EE7021">
      <w:pPr>
        <w:numPr>
          <w:ilvl w:val="0"/>
          <w:numId w:val="18"/>
        </w:numPr>
        <w:suppressAutoHyphens/>
        <w:autoSpaceDN w:val="0"/>
        <w:spacing w:after="0" w:line="240" w:lineRule="auto"/>
        <w:jc w:val="both"/>
        <w:textAlignment w:val="baseline"/>
        <w:rPr>
          <w:rFonts w:ascii="Calibri" w:eastAsia="Calibri" w:hAnsi="Calibri" w:cs="Times New Roman"/>
        </w:rPr>
      </w:pPr>
      <w:r w:rsidRPr="00DB23DC">
        <w:rPr>
          <w:rFonts w:ascii="Calibri" w:eastAsia="Calibri" w:hAnsi="Calibri" w:cs="Times New Roman"/>
        </w:rPr>
        <w:t>Osnovne škole;</w:t>
      </w:r>
    </w:p>
    <w:p w14:paraId="22ADDD0E" w14:textId="3023F802" w:rsidR="000F64C5" w:rsidRPr="00DB23DC" w:rsidRDefault="000F64C5" w:rsidP="00EE7021">
      <w:pPr>
        <w:numPr>
          <w:ilvl w:val="0"/>
          <w:numId w:val="18"/>
        </w:numPr>
        <w:suppressAutoHyphens/>
        <w:autoSpaceDN w:val="0"/>
        <w:spacing w:after="0" w:line="240" w:lineRule="auto"/>
        <w:jc w:val="both"/>
        <w:textAlignment w:val="baseline"/>
        <w:rPr>
          <w:rFonts w:ascii="Calibri" w:eastAsia="Calibri" w:hAnsi="Calibri" w:cs="Times New Roman"/>
        </w:rPr>
      </w:pPr>
      <w:r w:rsidRPr="00DB23DC">
        <w:rPr>
          <w:rFonts w:ascii="Calibri" w:eastAsia="Calibri" w:hAnsi="Calibri" w:cs="Times New Roman"/>
        </w:rPr>
        <w:t>Dječ</w:t>
      </w:r>
      <w:r w:rsidR="00E27102" w:rsidRPr="00DB23DC">
        <w:rPr>
          <w:rFonts w:ascii="Calibri" w:eastAsia="Calibri" w:hAnsi="Calibri" w:cs="Times New Roman"/>
        </w:rPr>
        <w:t>je vrtiće</w:t>
      </w:r>
      <w:r w:rsidR="008C38D3" w:rsidRPr="00DB23DC">
        <w:rPr>
          <w:rFonts w:ascii="Calibri" w:eastAsia="Calibri" w:hAnsi="Calibri" w:cs="Times New Roman"/>
        </w:rPr>
        <w:t xml:space="preserve"> i</w:t>
      </w:r>
    </w:p>
    <w:p w14:paraId="030632B6" w14:textId="6448B5FD" w:rsidR="000F64C5" w:rsidRPr="00DB23DC" w:rsidRDefault="00E27102" w:rsidP="00EE7021">
      <w:pPr>
        <w:numPr>
          <w:ilvl w:val="0"/>
          <w:numId w:val="18"/>
        </w:numPr>
        <w:suppressAutoHyphens/>
        <w:autoSpaceDN w:val="0"/>
        <w:spacing w:after="240" w:line="240" w:lineRule="auto"/>
        <w:jc w:val="both"/>
        <w:textAlignment w:val="baseline"/>
        <w:rPr>
          <w:rFonts w:ascii="Calibri" w:eastAsia="Calibri" w:hAnsi="Calibri" w:cs="Times New Roman"/>
        </w:rPr>
      </w:pPr>
      <w:r w:rsidRPr="00DB23DC">
        <w:rPr>
          <w:rFonts w:ascii="Calibri" w:eastAsia="Calibri" w:hAnsi="Calibri" w:cs="Times New Roman"/>
        </w:rPr>
        <w:t>Srednje škole i učeničke domove</w:t>
      </w:r>
      <w:r w:rsidR="000F64C5" w:rsidRPr="00DB23DC">
        <w:rPr>
          <w:rFonts w:ascii="Calibri" w:eastAsia="Calibri" w:hAnsi="Calibri" w:cs="Times New Roman"/>
        </w:rPr>
        <w:t>.</w:t>
      </w:r>
    </w:p>
    <w:p w14:paraId="44A80B60" w14:textId="32AA4B03" w:rsidR="009E6967" w:rsidRPr="00DB23DC" w:rsidRDefault="000F64C5" w:rsidP="00E92750">
      <w:pPr>
        <w:suppressAutoHyphens/>
        <w:autoSpaceDN w:val="0"/>
        <w:spacing w:after="240" w:line="240" w:lineRule="auto"/>
        <w:jc w:val="both"/>
        <w:textAlignment w:val="baseline"/>
        <w:rPr>
          <w:rFonts w:ascii="Calibri" w:eastAsia="Calibri" w:hAnsi="Calibri" w:cs="Times New Roman"/>
        </w:rPr>
      </w:pPr>
      <w:r w:rsidRPr="00DB23DC">
        <w:rPr>
          <w:rFonts w:ascii="Calibri" w:eastAsia="Calibri" w:hAnsi="Calibri" w:cs="Times New Roman"/>
        </w:rPr>
        <w:t xml:space="preserve">U vlasništvu Grada Zagreba je 139 objekta osnovnih škola, ukupne </w:t>
      </w:r>
      <w:r w:rsidR="00734F86" w:rsidRPr="00DB23DC">
        <w:rPr>
          <w:rFonts w:ascii="Calibri" w:eastAsia="Calibri" w:hAnsi="Calibri" w:cs="Times New Roman"/>
        </w:rPr>
        <w:t xml:space="preserve">grijane </w:t>
      </w:r>
      <w:r w:rsidRPr="00DB23DC">
        <w:rPr>
          <w:rFonts w:ascii="Calibri" w:eastAsia="Calibri" w:hAnsi="Calibri" w:cs="Times New Roman"/>
        </w:rPr>
        <w:t>površine 410 232,34 m</w:t>
      </w:r>
      <w:r w:rsidRPr="00DB23DC">
        <w:rPr>
          <w:rFonts w:ascii="Calibri" w:eastAsia="Calibri" w:hAnsi="Calibri" w:cs="Times New Roman"/>
          <w:vertAlign w:val="superscript"/>
        </w:rPr>
        <w:t>2</w:t>
      </w:r>
      <w:r w:rsidRPr="00DB23DC">
        <w:rPr>
          <w:rFonts w:ascii="Calibri" w:eastAsia="Calibri" w:hAnsi="Calibri" w:cs="Times New Roman"/>
        </w:rPr>
        <w:t>, 209 objekta dječ</w:t>
      </w:r>
      <w:r w:rsidR="005716E5" w:rsidRPr="00DB23DC">
        <w:rPr>
          <w:rFonts w:ascii="Calibri" w:eastAsia="Calibri" w:hAnsi="Calibri" w:cs="Times New Roman"/>
        </w:rPr>
        <w:t xml:space="preserve">jih vrtića, ukupne </w:t>
      </w:r>
      <w:r w:rsidR="00734F86" w:rsidRPr="00DB23DC">
        <w:rPr>
          <w:rFonts w:ascii="Calibri" w:eastAsia="Calibri" w:hAnsi="Calibri" w:cs="Times New Roman"/>
        </w:rPr>
        <w:t xml:space="preserve">grijane </w:t>
      </w:r>
      <w:r w:rsidR="005716E5" w:rsidRPr="00DB23DC">
        <w:rPr>
          <w:rFonts w:ascii="Calibri" w:eastAsia="Calibri" w:hAnsi="Calibri" w:cs="Times New Roman"/>
        </w:rPr>
        <w:t xml:space="preserve">površine 204 </w:t>
      </w:r>
      <w:r w:rsidRPr="00DB23DC">
        <w:rPr>
          <w:rFonts w:ascii="Calibri" w:eastAsia="Calibri" w:hAnsi="Calibri" w:cs="Times New Roman"/>
        </w:rPr>
        <w:t>859,94 m</w:t>
      </w:r>
      <w:r w:rsidRPr="00DB23DC">
        <w:rPr>
          <w:rFonts w:ascii="Calibri" w:eastAsia="Calibri" w:hAnsi="Calibri" w:cs="Times New Roman"/>
          <w:vertAlign w:val="superscript"/>
        </w:rPr>
        <w:t>2</w:t>
      </w:r>
      <w:r w:rsidRPr="00DB23DC">
        <w:rPr>
          <w:rFonts w:ascii="Calibri" w:eastAsia="Calibri" w:hAnsi="Calibri" w:cs="Times New Roman"/>
        </w:rPr>
        <w:t xml:space="preserve"> i 70 objekata srednjih škola i učeničkih domova, ukupne </w:t>
      </w:r>
      <w:r w:rsidR="00734F86" w:rsidRPr="00DB23DC">
        <w:rPr>
          <w:rFonts w:ascii="Calibri" w:eastAsia="Calibri" w:hAnsi="Calibri" w:cs="Times New Roman"/>
        </w:rPr>
        <w:t xml:space="preserve">grijane </w:t>
      </w:r>
      <w:r w:rsidRPr="00DB23DC">
        <w:rPr>
          <w:rFonts w:ascii="Calibri" w:eastAsia="Calibri" w:hAnsi="Calibri" w:cs="Times New Roman"/>
        </w:rPr>
        <w:t>površine 252 191,74 m</w:t>
      </w:r>
      <w:r w:rsidRPr="00DB23DC">
        <w:rPr>
          <w:rFonts w:ascii="Calibri" w:eastAsia="Calibri" w:hAnsi="Calibri" w:cs="Times New Roman"/>
          <w:vertAlign w:val="superscript"/>
        </w:rPr>
        <w:t>2</w:t>
      </w:r>
      <w:r w:rsidRPr="00DB23DC">
        <w:rPr>
          <w:rFonts w:ascii="Calibri" w:eastAsia="Calibri" w:hAnsi="Calibri" w:cs="Times New Roman"/>
        </w:rPr>
        <w:t>. Ukupan bro</w:t>
      </w:r>
      <w:r w:rsidR="003D1299">
        <w:rPr>
          <w:rFonts w:ascii="Calibri" w:eastAsia="Calibri" w:hAnsi="Calibri" w:cs="Times New Roman"/>
        </w:rPr>
        <w:t>j objekata u kategoriji obrazovn</w:t>
      </w:r>
      <w:r w:rsidR="00734F86" w:rsidRPr="00DB23DC">
        <w:rPr>
          <w:rFonts w:ascii="Calibri" w:eastAsia="Calibri" w:hAnsi="Calibri" w:cs="Times New Roman"/>
        </w:rPr>
        <w:t>ih ustanova</w:t>
      </w:r>
      <w:r w:rsidRPr="00DB23DC">
        <w:rPr>
          <w:rFonts w:ascii="Calibri" w:eastAsia="Calibri" w:hAnsi="Calibri" w:cs="Times New Roman"/>
        </w:rPr>
        <w:t xml:space="preserve"> iznosi 418, ukupne </w:t>
      </w:r>
      <w:r w:rsidR="00734F86" w:rsidRPr="00DB23DC">
        <w:rPr>
          <w:rFonts w:ascii="Calibri" w:eastAsia="Calibri" w:hAnsi="Calibri" w:cs="Times New Roman"/>
        </w:rPr>
        <w:t xml:space="preserve">grijane </w:t>
      </w:r>
      <w:r w:rsidRPr="00DB23DC">
        <w:rPr>
          <w:rFonts w:ascii="Calibri" w:eastAsia="Calibri" w:hAnsi="Calibri" w:cs="Times New Roman"/>
        </w:rPr>
        <w:t>površine 867 284,02 m</w:t>
      </w:r>
      <w:r w:rsidRPr="00DB23DC">
        <w:rPr>
          <w:rFonts w:ascii="Calibri" w:eastAsia="Calibri" w:hAnsi="Calibri" w:cs="Times New Roman"/>
          <w:vertAlign w:val="superscript"/>
        </w:rPr>
        <w:t>2</w:t>
      </w:r>
      <w:r w:rsidR="00846C9D" w:rsidRPr="00DB23DC">
        <w:rPr>
          <w:rFonts w:ascii="Calibri" w:eastAsia="Calibri" w:hAnsi="Calibri" w:cs="Times New Roman"/>
        </w:rPr>
        <w:t>.</w:t>
      </w:r>
    </w:p>
    <w:p w14:paraId="1FD434AE" w14:textId="2EFC47E4" w:rsidR="000F64C5" w:rsidRPr="00DB23DC" w:rsidRDefault="003D1299" w:rsidP="00E92750">
      <w:pPr>
        <w:suppressAutoHyphens/>
        <w:autoSpaceDN w:val="0"/>
        <w:spacing w:after="240" w:line="240" w:lineRule="auto"/>
        <w:jc w:val="both"/>
        <w:textAlignment w:val="baseline"/>
        <w:rPr>
          <w:rFonts w:ascii="Calibri" w:eastAsia="Calibri" w:hAnsi="Calibri" w:cs="Times New Roman"/>
        </w:rPr>
      </w:pPr>
      <w:r>
        <w:rPr>
          <w:rFonts w:ascii="Calibri" w:eastAsia="Calibri" w:hAnsi="Calibri" w:cs="Times New Roman"/>
        </w:rPr>
        <w:t>U kategoriji obraz</w:t>
      </w:r>
      <w:r w:rsidR="008F74EF">
        <w:rPr>
          <w:rFonts w:ascii="Calibri" w:eastAsia="Calibri" w:hAnsi="Calibri" w:cs="Times New Roman"/>
        </w:rPr>
        <w:t>o</w:t>
      </w:r>
      <w:r>
        <w:rPr>
          <w:rFonts w:ascii="Calibri" w:eastAsia="Calibri" w:hAnsi="Calibri" w:cs="Times New Roman"/>
        </w:rPr>
        <w:t>v</w:t>
      </w:r>
      <w:r w:rsidR="008F74EF">
        <w:rPr>
          <w:rFonts w:ascii="Calibri" w:eastAsia="Calibri" w:hAnsi="Calibri" w:cs="Times New Roman"/>
        </w:rPr>
        <w:t>nih</w:t>
      </w:r>
      <w:r w:rsidR="00734F86" w:rsidRPr="00DB23DC">
        <w:rPr>
          <w:rFonts w:ascii="Calibri" w:eastAsia="Calibri" w:hAnsi="Calibri" w:cs="Times New Roman"/>
        </w:rPr>
        <w:t xml:space="preserve"> ustanova</w:t>
      </w:r>
      <w:r w:rsidR="000F64C5" w:rsidRPr="00DB23DC">
        <w:rPr>
          <w:rFonts w:ascii="Calibri" w:eastAsia="Calibri" w:hAnsi="Calibri" w:cs="Times New Roman"/>
        </w:rPr>
        <w:t xml:space="preserve"> u 2015. godini u</w:t>
      </w:r>
      <w:r w:rsidR="00DB23DC" w:rsidRPr="00DB23DC">
        <w:rPr>
          <w:rFonts w:ascii="Calibri" w:eastAsia="Calibri" w:hAnsi="Calibri" w:cs="Times New Roman"/>
        </w:rPr>
        <w:t>kupno je potrošeno 25 517 827</w:t>
      </w:r>
      <w:r w:rsidR="000F64C5" w:rsidRPr="00DB23DC">
        <w:rPr>
          <w:rFonts w:ascii="Calibri" w:eastAsia="Calibri" w:hAnsi="Calibri" w:cs="Times New Roman"/>
        </w:rPr>
        <w:t xml:space="preserve"> kWh električne energije</w:t>
      </w:r>
      <w:r w:rsidR="008C38D3" w:rsidRPr="00DB23DC">
        <w:rPr>
          <w:rFonts w:ascii="Calibri" w:eastAsia="Calibri" w:hAnsi="Calibri" w:cs="Times New Roman"/>
        </w:rPr>
        <w:t xml:space="preserve"> za ne-</w:t>
      </w:r>
      <w:r w:rsidR="009162C7" w:rsidRPr="00DB23DC">
        <w:rPr>
          <w:rFonts w:ascii="Calibri" w:eastAsia="Calibri" w:hAnsi="Calibri" w:cs="Times New Roman"/>
        </w:rPr>
        <w:t>toplinske namjene</w:t>
      </w:r>
      <w:r w:rsidR="000F64C5" w:rsidRPr="00DB23DC">
        <w:rPr>
          <w:rFonts w:ascii="Calibri" w:eastAsia="Calibri" w:hAnsi="Calibri" w:cs="Times New Roman"/>
        </w:rPr>
        <w:t xml:space="preserve">, što daje specifičnu potrošnju </w:t>
      </w:r>
      <w:r w:rsidR="009162C7" w:rsidRPr="00DB23DC">
        <w:rPr>
          <w:rFonts w:ascii="Calibri" w:eastAsia="Calibri" w:hAnsi="Calibri" w:cs="Times New Roman"/>
        </w:rPr>
        <w:t xml:space="preserve">električne energije za ne-toplinske namjene </w:t>
      </w:r>
      <w:r w:rsidR="000F64C5" w:rsidRPr="00DB23DC">
        <w:rPr>
          <w:rFonts w:ascii="Calibri" w:eastAsia="Calibri" w:hAnsi="Calibri" w:cs="Times New Roman"/>
        </w:rPr>
        <w:t>od 29,42 kWh/m</w:t>
      </w:r>
      <w:r w:rsidR="000F64C5" w:rsidRPr="00DB23DC">
        <w:rPr>
          <w:rFonts w:ascii="Calibri" w:eastAsia="Calibri" w:hAnsi="Calibri" w:cs="Times New Roman"/>
          <w:vertAlign w:val="superscript"/>
        </w:rPr>
        <w:t>2</w:t>
      </w:r>
      <w:r w:rsidR="000F64C5" w:rsidRPr="00DB23DC">
        <w:rPr>
          <w:rFonts w:ascii="Calibri" w:eastAsia="Calibri" w:hAnsi="Calibri" w:cs="Times New Roman"/>
        </w:rPr>
        <w:t xml:space="preserve">. Prikaz specifične potrošnje električne energije </w:t>
      </w:r>
      <w:r w:rsidR="009162C7" w:rsidRPr="00DB23DC">
        <w:rPr>
          <w:rFonts w:ascii="Calibri" w:eastAsia="Calibri" w:hAnsi="Calibri" w:cs="Times New Roman"/>
        </w:rPr>
        <w:t xml:space="preserve">za ne-toplinske namjene </w:t>
      </w:r>
      <w:r>
        <w:rPr>
          <w:rFonts w:ascii="Calibri" w:eastAsia="Calibri" w:hAnsi="Calibri" w:cs="Times New Roman"/>
        </w:rPr>
        <w:t>obrazovn</w:t>
      </w:r>
      <w:r w:rsidR="00734F86" w:rsidRPr="00DB23DC">
        <w:rPr>
          <w:rFonts w:ascii="Calibri" w:eastAsia="Calibri" w:hAnsi="Calibri" w:cs="Times New Roman"/>
        </w:rPr>
        <w:t>ih ustanova</w:t>
      </w:r>
      <w:r w:rsidR="000F64C5" w:rsidRPr="00DB23DC">
        <w:rPr>
          <w:rFonts w:ascii="Calibri" w:eastAsia="Calibri" w:hAnsi="Calibri" w:cs="Times New Roman"/>
        </w:rPr>
        <w:t xml:space="preserve"> dan je </w:t>
      </w:r>
      <w:r w:rsidR="003B119F" w:rsidRPr="00DB23DC">
        <w:rPr>
          <w:rFonts w:ascii="Calibri" w:eastAsia="Calibri" w:hAnsi="Calibri" w:cs="Times New Roman"/>
        </w:rPr>
        <w:t xml:space="preserve">na </w:t>
      </w:r>
      <w:r w:rsidR="00F32AC1" w:rsidRPr="00DB23DC">
        <w:rPr>
          <w:rFonts w:ascii="Calibri" w:eastAsia="Calibri" w:hAnsi="Calibri" w:cs="Times New Roman"/>
        </w:rPr>
        <w:fldChar w:fldCharType="begin"/>
      </w:r>
      <w:r w:rsidR="00F32AC1" w:rsidRPr="00DB23DC">
        <w:rPr>
          <w:rFonts w:ascii="Calibri" w:eastAsia="Calibri" w:hAnsi="Calibri" w:cs="Times New Roman"/>
        </w:rPr>
        <w:instrText xml:space="preserve"> REF _Ref461607484 \h </w:instrText>
      </w:r>
      <w:r w:rsidR="007B4A20" w:rsidRPr="00DB23DC">
        <w:rPr>
          <w:rFonts w:ascii="Calibri" w:eastAsia="Calibri" w:hAnsi="Calibri" w:cs="Times New Roman"/>
        </w:rPr>
        <w:instrText xml:space="preserve"> \* MERGEFORMAT </w:instrText>
      </w:r>
      <w:r w:rsidR="00F32AC1" w:rsidRPr="00DB23DC">
        <w:rPr>
          <w:rFonts w:ascii="Calibri" w:eastAsia="Calibri" w:hAnsi="Calibri" w:cs="Times New Roman"/>
        </w:rPr>
      </w:r>
      <w:r w:rsidR="00F32AC1" w:rsidRPr="00DB23DC">
        <w:rPr>
          <w:rFonts w:ascii="Calibri" w:eastAsia="Calibri" w:hAnsi="Calibri" w:cs="Times New Roman"/>
        </w:rPr>
        <w:fldChar w:fldCharType="separate"/>
      </w:r>
      <w:r w:rsidR="001C0830">
        <w:rPr>
          <w:b/>
        </w:rPr>
        <w:t>Slici</w:t>
      </w:r>
      <w:r w:rsidR="009C319B" w:rsidRPr="009C319B">
        <w:rPr>
          <w:b/>
        </w:rPr>
        <w:t xml:space="preserve"> </w:t>
      </w:r>
      <w:r w:rsidR="009C319B" w:rsidRPr="009C319B">
        <w:rPr>
          <w:b/>
          <w:noProof/>
        </w:rPr>
        <w:t>4.1</w:t>
      </w:r>
      <w:r w:rsidR="00F32AC1" w:rsidRPr="00DB23DC">
        <w:rPr>
          <w:rFonts w:ascii="Calibri" w:eastAsia="Calibri" w:hAnsi="Calibri" w:cs="Times New Roman"/>
        </w:rPr>
        <w:fldChar w:fldCharType="end"/>
      </w:r>
      <w:r w:rsidR="000F64C5" w:rsidRPr="00DB23DC">
        <w:rPr>
          <w:rFonts w:ascii="Calibri" w:eastAsia="Calibri" w:hAnsi="Calibri" w:cs="Times New Roman"/>
        </w:rPr>
        <w:t>.</w:t>
      </w:r>
    </w:p>
    <w:p w14:paraId="1C599068" w14:textId="54C6AAE7" w:rsidR="009E6967" w:rsidRPr="00B21D56" w:rsidRDefault="008C38D3" w:rsidP="00D511CA">
      <w:pPr>
        <w:suppressAutoHyphens/>
        <w:autoSpaceDN w:val="0"/>
        <w:spacing w:after="0" w:line="240" w:lineRule="auto"/>
        <w:jc w:val="center"/>
        <w:textAlignment w:val="baseline"/>
        <w:rPr>
          <w:noProof/>
          <w:lang w:eastAsia="hr-HR"/>
        </w:rPr>
      </w:pPr>
      <w:r w:rsidRPr="00B21D56">
        <w:rPr>
          <w:noProof/>
          <w:lang w:eastAsia="hr-HR"/>
        </w:rPr>
        <w:drawing>
          <wp:inline distT="0" distB="0" distL="0" distR="0" wp14:anchorId="64974DB0" wp14:editId="7673259F">
            <wp:extent cx="4742597" cy="3220871"/>
            <wp:effectExtent l="0" t="0" r="127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D29419" w14:textId="046EF637" w:rsidR="000F64C5" w:rsidRPr="004C0750" w:rsidRDefault="00FD4B54" w:rsidP="00D511CA">
      <w:pPr>
        <w:spacing w:line="240" w:lineRule="auto"/>
        <w:jc w:val="center"/>
      </w:pPr>
      <w:bookmarkStart w:id="22" w:name="_Ref461607484"/>
      <w:bookmarkStart w:id="23" w:name="_Toc468277405"/>
      <w:r w:rsidRPr="004C0750">
        <w:rPr>
          <w:b/>
        </w:rPr>
        <w:t xml:space="preserve">Slika </w:t>
      </w:r>
      <w:r w:rsidRPr="004C0750">
        <w:rPr>
          <w:b/>
        </w:rPr>
        <w:fldChar w:fldCharType="begin"/>
      </w:r>
      <w:r w:rsidRPr="004C0750">
        <w:rPr>
          <w:b/>
        </w:rPr>
        <w:instrText xml:space="preserve"> STYLEREF 1 \s </w:instrText>
      </w:r>
      <w:r w:rsidRPr="004C0750">
        <w:rPr>
          <w:b/>
        </w:rPr>
        <w:fldChar w:fldCharType="separate"/>
      </w:r>
      <w:r w:rsidR="009C319B" w:rsidRPr="004C0750">
        <w:rPr>
          <w:b/>
          <w:noProof/>
        </w:rPr>
        <w:t>4</w:t>
      </w:r>
      <w:r w:rsidRPr="004C0750">
        <w:rPr>
          <w:b/>
          <w:noProof/>
        </w:rPr>
        <w:fldChar w:fldCharType="end"/>
      </w:r>
      <w:r w:rsidRPr="004C0750">
        <w:rPr>
          <w:b/>
        </w:rPr>
        <w:t>.</w:t>
      </w:r>
      <w:r w:rsidRPr="004C0750">
        <w:rPr>
          <w:b/>
        </w:rPr>
        <w:fldChar w:fldCharType="begin"/>
      </w:r>
      <w:r w:rsidRPr="004C0750">
        <w:rPr>
          <w:b/>
        </w:rPr>
        <w:instrText xml:space="preserve"> SEQ Slika \* ARABIC \s 1 </w:instrText>
      </w:r>
      <w:r w:rsidRPr="004C0750">
        <w:rPr>
          <w:b/>
        </w:rPr>
        <w:fldChar w:fldCharType="separate"/>
      </w:r>
      <w:r w:rsidR="009C319B" w:rsidRPr="004C0750">
        <w:rPr>
          <w:b/>
          <w:noProof/>
        </w:rPr>
        <w:t>1</w:t>
      </w:r>
      <w:r w:rsidRPr="004C0750">
        <w:rPr>
          <w:b/>
          <w:noProof/>
        </w:rPr>
        <w:fldChar w:fldCharType="end"/>
      </w:r>
      <w:bookmarkStart w:id="24" w:name="_Toc258239015"/>
      <w:bookmarkEnd w:id="22"/>
      <w:r w:rsidRPr="004C0750">
        <w:rPr>
          <w:b/>
        </w:rPr>
        <w:t xml:space="preserve"> </w:t>
      </w:r>
      <w:r w:rsidR="000F64C5" w:rsidRPr="004C0750">
        <w:t>Specifična potrošnja električne energije</w:t>
      </w:r>
      <w:r w:rsidR="009162C7" w:rsidRPr="004C0750">
        <w:t xml:space="preserve"> za ne-toplinske namjene</w:t>
      </w:r>
      <w:r w:rsidR="000F64C5" w:rsidRPr="004C0750">
        <w:t xml:space="preserve"> kategorije</w:t>
      </w:r>
      <w:bookmarkEnd w:id="24"/>
      <w:r w:rsidR="00E55FE1" w:rsidRPr="004C0750">
        <w:t xml:space="preserve"> obrazovne</w:t>
      </w:r>
      <w:r w:rsidR="003B119F" w:rsidRPr="004C0750">
        <w:t xml:space="preserve"> ustanove u vlasništvu</w:t>
      </w:r>
      <w:r w:rsidR="00846C9D" w:rsidRPr="004C0750">
        <w:t xml:space="preserve"> Grada Zagreba</w:t>
      </w:r>
      <w:r w:rsidR="00F305B5" w:rsidRPr="004C0750">
        <w:t xml:space="preserve"> u 2015. godini</w:t>
      </w:r>
      <w:bookmarkEnd w:id="23"/>
    </w:p>
    <w:p w14:paraId="1F2BAF4C" w14:textId="21FC8F53" w:rsidR="009E6967" w:rsidRPr="00B21D56" w:rsidRDefault="009E6967" w:rsidP="00E92750">
      <w:pPr>
        <w:suppressAutoHyphens/>
        <w:autoSpaceDN w:val="0"/>
        <w:spacing w:after="240" w:line="240" w:lineRule="auto"/>
        <w:jc w:val="both"/>
        <w:textAlignment w:val="baseline"/>
        <w:rPr>
          <w:rFonts w:ascii="Calibri" w:eastAsia="Calibri" w:hAnsi="Calibri" w:cs="Times New Roman"/>
        </w:rPr>
      </w:pPr>
      <w:r w:rsidRPr="00B21D56">
        <w:rPr>
          <w:rFonts w:ascii="Calibri" w:eastAsia="Calibri" w:hAnsi="Calibri" w:cs="Times New Roman"/>
        </w:rPr>
        <w:lastRenderedPageBreak/>
        <w:t xml:space="preserve">Parametri potrošnje toplinske energije </w:t>
      </w:r>
      <w:r w:rsidR="003D1299">
        <w:rPr>
          <w:rFonts w:ascii="Calibri" w:eastAsia="Calibri" w:hAnsi="Calibri" w:cs="Times New Roman"/>
        </w:rPr>
        <w:t>obrazovn</w:t>
      </w:r>
      <w:r w:rsidR="00F57851" w:rsidRPr="00B21D56">
        <w:rPr>
          <w:rFonts w:ascii="Calibri" w:eastAsia="Calibri" w:hAnsi="Calibri" w:cs="Times New Roman"/>
        </w:rPr>
        <w:t>ih ustanova u 2015. godini,</w:t>
      </w:r>
      <w:r w:rsidR="0093130D" w:rsidRPr="00B21D56">
        <w:rPr>
          <w:rFonts w:ascii="Calibri" w:eastAsia="Calibri" w:hAnsi="Calibri" w:cs="Times New Roman"/>
        </w:rPr>
        <w:t xml:space="preserve"> dan</w:t>
      </w:r>
      <w:r w:rsidR="005716E5" w:rsidRPr="00B21D56">
        <w:rPr>
          <w:rFonts w:ascii="Calibri" w:eastAsia="Calibri" w:hAnsi="Calibri" w:cs="Times New Roman"/>
        </w:rPr>
        <w:t>i su</w:t>
      </w:r>
      <w:r w:rsidR="0093130D" w:rsidRPr="00B21D56">
        <w:rPr>
          <w:rFonts w:ascii="Calibri" w:eastAsia="Calibri" w:hAnsi="Calibri" w:cs="Times New Roman"/>
        </w:rPr>
        <w:t xml:space="preserve"> </w:t>
      </w:r>
      <w:r w:rsidR="00026AE0" w:rsidRPr="00B21D56">
        <w:rPr>
          <w:rFonts w:ascii="Calibri" w:eastAsia="Calibri" w:hAnsi="Calibri" w:cs="Times New Roman"/>
        </w:rPr>
        <w:t xml:space="preserve">u nastavku, </w:t>
      </w:r>
      <w:r w:rsidRPr="00B21D56">
        <w:rPr>
          <w:rFonts w:ascii="Calibri" w:eastAsia="Calibri" w:hAnsi="Calibri" w:cs="Times New Roman"/>
        </w:rPr>
        <w:fldChar w:fldCharType="begin"/>
      </w:r>
      <w:r w:rsidRPr="00B21D56">
        <w:rPr>
          <w:rFonts w:ascii="Calibri" w:eastAsia="Calibri" w:hAnsi="Calibri" w:cs="Times New Roman"/>
        </w:rPr>
        <w:instrText xml:space="preserve"> REF _Ref461607689 \h  \* MERGEFORMAT </w:instrText>
      </w:r>
      <w:r w:rsidRPr="00B21D56">
        <w:rPr>
          <w:rFonts w:ascii="Calibri" w:eastAsia="Calibri" w:hAnsi="Calibri" w:cs="Times New Roman"/>
        </w:rPr>
      </w:r>
      <w:r w:rsidRPr="00B21D56">
        <w:rPr>
          <w:rFonts w:ascii="Calibri" w:eastAsia="Calibri" w:hAnsi="Calibri" w:cs="Times New Roman"/>
        </w:rPr>
        <w:fldChar w:fldCharType="separate"/>
      </w:r>
      <w:r w:rsidR="009C319B" w:rsidRPr="00B21D56">
        <w:rPr>
          <w:rFonts w:eastAsia="Calibri" w:cs="Times New Roman"/>
          <w:b/>
          <w:bCs/>
        </w:rPr>
        <w:t xml:space="preserve">Tablica </w:t>
      </w:r>
      <w:r w:rsidR="009C319B">
        <w:rPr>
          <w:rFonts w:eastAsia="Calibri" w:cs="Times New Roman"/>
          <w:b/>
          <w:bCs/>
          <w:noProof/>
        </w:rPr>
        <w:t>4</w:t>
      </w:r>
      <w:r w:rsidR="009C319B" w:rsidRPr="00B21D56">
        <w:rPr>
          <w:rFonts w:eastAsia="Calibri" w:cs="Times New Roman"/>
          <w:b/>
          <w:bCs/>
          <w:noProof/>
        </w:rPr>
        <w:t>.</w:t>
      </w:r>
      <w:r w:rsidR="009C319B">
        <w:rPr>
          <w:rFonts w:eastAsia="Calibri" w:cs="Times New Roman"/>
          <w:b/>
          <w:bCs/>
          <w:noProof/>
        </w:rPr>
        <w:t>1</w:t>
      </w:r>
      <w:r w:rsidRPr="00B21D56">
        <w:rPr>
          <w:rFonts w:ascii="Calibri" w:eastAsia="Calibri" w:hAnsi="Calibri" w:cs="Times New Roman"/>
        </w:rPr>
        <w:fldChar w:fldCharType="end"/>
      </w:r>
      <w:r w:rsidR="00BE56AB" w:rsidRPr="00B21D56">
        <w:rPr>
          <w:rFonts w:ascii="Calibri" w:eastAsia="Calibri" w:hAnsi="Calibri" w:cs="Times New Roman"/>
        </w:rPr>
        <w:t xml:space="preserve">, </w:t>
      </w:r>
      <w:r w:rsidRPr="00B21D56">
        <w:rPr>
          <w:rFonts w:ascii="Calibri" w:eastAsia="Calibri" w:hAnsi="Calibri" w:cs="Times New Roman"/>
        </w:rPr>
        <w:fldChar w:fldCharType="begin"/>
      </w:r>
      <w:r w:rsidRPr="00B21D56">
        <w:rPr>
          <w:rFonts w:ascii="Calibri" w:eastAsia="Calibri" w:hAnsi="Calibri" w:cs="Times New Roman"/>
        </w:rPr>
        <w:instrText xml:space="preserve"> REF _Ref461611007 \h  \* MERGEFORMAT </w:instrText>
      </w:r>
      <w:r w:rsidRPr="00B21D56">
        <w:rPr>
          <w:rFonts w:ascii="Calibri" w:eastAsia="Calibri" w:hAnsi="Calibri" w:cs="Times New Roman"/>
        </w:rPr>
      </w:r>
      <w:r w:rsidRPr="00B21D56">
        <w:rPr>
          <w:rFonts w:ascii="Calibri" w:eastAsia="Calibri" w:hAnsi="Calibri" w:cs="Times New Roman"/>
        </w:rPr>
        <w:fldChar w:fldCharType="separate"/>
      </w:r>
      <w:r w:rsidR="009C319B" w:rsidRPr="009C319B">
        <w:rPr>
          <w:b/>
        </w:rPr>
        <w:t xml:space="preserve">Slika </w:t>
      </w:r>
      <w:r w:rsidR="009C319B" w:rsidRPr="009C319B">
        <w:rPr>
          <w:b/>
          <w:noProof/>
        </w:rPr>
        <w:t>4.2</w:t>
      </w:r>
      <w:r w:rsidRPr="00B21D56">
        <w:rPr>
          <w:rFonts w:ascii="Calibri" w:eastAsia="Calibri" w:hAnsi="Calibri" w:cs="Times New Roman"/>
        </w:rPr>
        <w:fldChar w:fldCharType="end"/>
      </w:r>
      <w:r w:rsidR="00BE56AB" w:rsidRPr="00B21D56">
        <w:rPr>
          <w:rFonts w:ascii="Calibri" w:eastAsia="Calibri" w:hAnsi="Calibri" w:cs="Times New Roman"/>
        </w:rPr>
        <w:t xml:space="preserve">, </w:t>
      </w:r>
      <w:r w:rsidR="00802546" w:rsidRPr="00B21D56">
        <w:rPr>
          <w:rFonts w:ascii="Calibri" w:eastAsia="Calibri" w:hAnsi="Calibri" w:cs="Times New Roman"/>
        </w:rPr>
        <w:fldChar w:fldCharType="begin"/>
      </w:r>
      <w:r w:rsidR="00802546" w:rsidRPr="00B21D56">
        <w:rPr>
          <w:rFonts w:ascii="Calibri" w:eastAsia="Calibri" w:hAnsi="Calibri" w:cs="Times New Roman"/>
        </w:rPr>
        <w:instrText xml:space="preserve"> REF _Ref461623765 \h </w:instrText>
      </w:r>
      <w:r w:rsidR="0093130D" w:rsidRPr="00B21D56">
        <w:rPr>
          <w:rFonts w:ascii="Calibri" w:eastAsia="Calibri" w:hAnsi="Calibri" w:cs="Times New Roman"/>
        </w:rPr>
        <w:instrText xml:space="preserve"> \* MERGEFORMAT </w:instrText>
      </w:r>
      <w:r w:rsidR="00802546" w:rsidRPr="00B21D56">
        <w:rPr>
          <w:rFonts w:ascii="Calibri" w:eastAsia="Calibri" w:hAnsi="Calibri" w:cs="Times New Roman"/>
        </w:rPr>
      </w:r>
      <w:r w:rsidR="00802546" w:rsidRPr="00B21D56">
        <w:rPr>
          <w:rFonts w:ascii="Calibri" w:eastAsia="Calibri" w:hAnsi="Calibri" w:cs="Times New Roman"/>
        </w:rPr>
        <w:fldChar w:fldCharType="separate"/>
      </w:r>
      <w:r w:rsidR="009C319B" w:rsidRPr="009C319B">
        <w:rPr>
          <w:b/>
        </w:rPr>
        <w:t xml:space="preserve">Slika </w:t>
      </w:r>
      <w:r w:rsidR="009C319B" w:rsidRPr="009C319B">
        <w:rPr>
          <w:b/>
          <w:noProof/>
        </w:rPr>
        <w:t>4.3</w:t>
      </w:r>
      <w:r w:rsidR="00802546" w:rsidRPr="00B21D56">
        <w:rPr>
          <w:rFonts w:ascii="Calibri" w:eastAsia="Calibri" w:hAnsi="Calibri" w:cs="Times New Roman"/>
        </w:rPr>
        <w:fldChar w:fldCharType="end"/>
      </w:r>
      <w:r w:rsidR="00BE56AB" w:rsidRPr="00B21D56">
        <w:rPr>
          <w:rFonts w:ascii="Calibri" w:eastAsia="Calibri" w:hAnsi="Calibri" w:cs="Times New Roman"/>
        </w:rPr>
        <w:t xml:space="preserve"> i </w:t>
      </w:r>
      <w:r w:rsidR="00802546" w:rsidRPr="00B21D56">
        <w:rPr>
          <w:rFonts w:ascii="Calibri" w:eastAsia="Calibri" w:hAnsi="Calibri" w:cs="Times New Roman"/>
        </w:rPr>
        <w:fldChar w:fldCharType="begin"/>
      </w:r>
      <w:r w:rsidR="00802546" w:rsidRPr="00B21D56">
        <w:rPr>
          <w:rFonts w:ascii="Calibri" w:eastAsia="Calibri" w:hAnsi="Calibri" w:cs="Times New Roman"/>
        </w:rPr>
        <w:instrText xml:space="preserve"> REF _Ref461623953 \h </w:instrText>
      </w:r>
      <w:r w:rsidR="0093130D" w:rsidRPr="00B21D56">
        <w:rPr>
          <w:rFonts w:ascii="Calibri" w:eastAsia="Calibri" w:hAnsi="Calibri" w:cs="Times New Roman"/>
        </w:rPr>
        <w:instrText xml:space="preserve"> \* MERGEFORMAT </w:instrText>
      </w:r>
      <w:r w:rsidR="00802546" w:rsidRPr="00B21D56">
        <w:rPr>
          <w:rFonts w:ascii="Calibri" w:eastAsia="Calibri" w:hAnsi="Calibri" w:cs="Times New Roman"/>
        </w:rPr>
      </w:r>
      <w:r w:rsidR="00802546" w:rsidRPr="00B21D56">
        <w:rPr>
          <w:rFonts w:ascii="Calibri" w:eastAsia="Calibri" w:hAnsi="Calibri" w:cs="Times New Roman"/>
        </w:rPr>
        <w:fldChar w:fldCharType="separate"/>
      </w:r>
      <w:r w:rsidR="009C319B" w:rsidRPr="009C319B">
        <w:rPr>
          <w:b/>
        </w:rPr>
        <w:t xml:space="preserve">Slika </w:t>
      </w:r>
      <w:r w:rsidR="009C319B" w:rsidRPr="009C319B">
        <w:rPr>
          <w:b/>
          <w:noProof/>
        </w:rPr>
        <w:t>4.4</w:t>
      </w:r>
      <w:r w:rsidR="00802546" w:rsidRPr="00B21D56">
        <w:rPr>
          <w:rFonts w:ascii="Calibri" w:eastAsia="Calibri" w:hAnsi="Calibri" w:cs="Times New Roman"/>
        </w:rPr>
        <w:fldChar w:fldCharType="end"/>
      </w:r>
      <w:r w:rsidR="00802546" w:rsidRPr="00B21D56">
        <w:rPr>
          <w:rFonts w:ascii="Calibri" w:eastAsia="Calibri" w:hAnsi="Calibri" w:cs="Times New Roman"/>
        </w:rPr>
        <w:t>.</w:t>
      </w:r>
    </w:p>
    <w:p w14:paraId="5946EE2C" w14:textId="432BAF6B" w:rsidR="005F472E" w:rsidRPr="00B21D56" w:rsidRDefault="005F472E" w:rsidP="00E92750">
      <w:pPr>
        <w:suppressAutoHyphens/>
        <w:autoSpaceDN w:val="0"/>
        <w:spacing w:after="0" w:line="240" w:lineRule="auto"/>
        <w:jc w:val="both"/>
        <w:textAlignment w:val="baseline"/>
        <w:rPr>
          <w:rFonts w:ascii="Calibri" w:eastAsia="Calibri" w:hAnsi="Calibri" w:cs="Times New Roman"/>
        </w:rPr>
      </w:pPr>
      <w:bookmarkStart w:id="25" w:name="_Ref461607689"/>
      <w:bookmarkStart w:id="26" w:name="_Toc468277493"/>
      <w:r w:rsidRPr="00B21D56">
        <w:rPr>
          <w:rFonts w:eastAsia="Calibri" w:cs="Times New Roman"/>
          <w:b/>
          <w:bCs/>
        </w:rPr>
        <w:t xml:space="preserve">Tablica </w:t>
      </w:r>
      <w:r w:rsidR="000B3499" w:rsidRPr="00B21D56">
        <w:rPr>
          <w:rFonts w:eastAsia="Calibri" w:cs="Times New Roman"/>
          <w:b/>
          <w:bCs/>
        </w:rPr>
        <w:fldChar w:fldCharType="begin"/>
      </w:r>
      <w:r w:rsidR="000B3499" w:rsidRPr="00B21D56">
        <w:rPr>
          <w:rFonts w:eastAsia="Calibri" w:cs="Times New Roman"/>
          <w:b/>
          <w:bCs/>
        </w:rPr>
        <w:instrText xml:space="preserve"> STYLEREF 1 \s </w:instrText>
      </w:r>
      <w:r w:rsidR="000B3499" w:rsidRPr="00B21D56">
        <w:rPr>
          <w:rFonts w:eastAsia="Calibri" w:cs="Times New Roman"/>
          <w:b/>
          <w:bCs/>
        </w:rPr>
        <w:fldChar w:fldCharType="separate"/>
      </w:r>
      <w:r w:rsidR="009C319B">
        <w:rPr>
          <w:rFonts w:eastAsia="Calibri" w:cs="Times New Roman"/>
          <w:b/>
          <w:bCs/>
          <w:noProof/>
        </w:rPr>
        <w:t>4</w:t>
      </w:r>
      <w:r w:rsidR="000B3499" w:rsidRPr="00B21D56">
        <w:rPr>
          <w:rFonts w:eastAsia="Calibri" w:cs="Times New Roman"/>
          <w:b/>
          <w:bCs/>
        </w:rPr>
        <w:fldChar w:fldCharType="end"/>
      </w:r>
      <w:r w:rsidR="000B3499" w:rsidRPr="00B21D56">
        <w:rPr>
          <w:rFonts w:eastAsia="Calibri" w:cs="Times New Roman"/>
          <w:b/>
          <w:bCs/>
        </w:rPr>
        <w:t>.</w:t>
      </w:r>
      <w:r w:rsidR="000B3499" w:rsidRPr="00B21D56">
        <w:rPr>
          <w:rFonts w:eastAsia="Calibri" w:cs="Times New Roman"/>
          <w:b/>
          <w:bCs/>
        </w:rPr>
        <w:fldChar w:fldCharType="begin"/>
      </w:r>
      <w:r w:rsidR="000B3499" w:rsidRPr="00B21D56">
        <w:rPr>
          <w:rFonts w:eastAsia="Calibri" w:cs="Times New Roman"/>
          <w:b/>
          <w:bCs/>
        </w:rPr>
        <w:instrText xml:space="preserve"> SEQ Tablica \* ARABIC \s 1 </w:instrText>
      </w:r>
      <w:r w:rsidR="000B3499" w:rsidRPr="00B21D56">
        <w:rPr>
          <w:rFonts w:eastAsia="Calibri" w:cs="Times New Roman"/>
          <w:b/>
          <w:bCs/>
        </w:rPr>
        <w:fldChar w:fldCharType="separate"/>
      </w:r>
      <w:r w:rsidR="009C319B">
        <w:rPr>
          <w:rFonts w:eastAsia="Calibri" w:cs="Times New Roman"/>
          <w:b/>
          <w:bCs/>
          <w:noProof/>
        </w:rPr>
        <w:t>1</w:t>
      </w:r>
      <w:r w:rsidR="000B3499" w:rsidRPr="00B21D56">
        <w:rPr>
          <w:rFonts w:eastAsia="Calibri" w:cs="Times New Roman"/>
          <w:b/>
          <w:bCs/>
        </w:rPr>
        <w:fldChar w:fldCharType="end"/>
      </w:r>
      <w:bookmarkEnd w:id="25"/>
      <w:r w:rsidRPr="00B21D56">
        <w:rPr>
          <w:rFonts w:eastAsia="Calibri" w:cs="Times New Roman"/>
          <w:b/>
          <w:bCs/>
        </w:rPr>
        <w:t xml:space="preserve"> </w:t>
      </w:r>
      <w:r w:rsidRPr="00B21D56">
        <w:rPr>
          <w:rFonts w:ascii="Calibri" w:eastAsia="Calibri" w:hAnsi="Calibri" w:cs="Times New Roman"/>
        </w:rPr>
        <w:t xml:space="preserve">Parametri potrošnje toplinske energije </w:t>
      </w:r>
      <w:r w:rsidR="003D1299">
        <w:rPr>
          <w:rFonts w:ascii="Calibri" w:eastAsia="Calibri" w:hAnsi="Calibri" w:cs="Times New Roman"/>
        </w:rPr>
        <w:t>obrazovn</w:t>
      </w:r>
      <w:r w:rsidR="00F82CB2" w:rsidRPr="00B21D56">
        <w:rPr>
          <w:rFonts w:ascii="Calibri" w:eastAsia="Calibri" w:hAnsi="Calibri" w:cs="Times New Roman"/>
        </w:rPr>
        <w:t>ih ustanova u vlasništvu</w:t>
      </w:r>
      <w:r w:rsidRPr="00B21D56">
        <w:rPr>
          <w:rFonts w:ascii="Calibri" w:eastAsia="Calibri" w:hAnsi="Calibri" w:cs="Times New Roman"/>
        </w:rPr>
        <w:t xml:space="preserve"> Grada Zagreba</w:t>
      </w:r>
      <w:r w:rsidR="00F305B5" w:rsidRPr="00B21D56">
        <w:rPr>
          <w:rFonts w:ascii="Calibri" w:eastAsia="Calibri" w:hAnsi="Calibri" w:cs="Times New Roman"/>
        </w:rPr>
        <w:t xml:space="preserve"> u 2015. godini</w:t>
      </w:r>
      <w:bookmarkEnd w:id="26"/>
    </w:p>
    <w:tbl>
      <w:tblPr>
        <w:tblW w:w="4942" w:type="pct"/>
        <w:tblInd w:w="108" w:type="dxa"/>
        <w:tblLook w:val="04A0" w:firstRow="1" w:lastRow="0" w:firstColumn="1" w:lastColumn="0" w:noHBand="0" w:noVBand="1"/>
      </w:tblPr>
      <w:tblGrid>
        <w:gridCol w:w="1880"/>
        <w:gridCol w:w="1333"/>
        <w:gridCol w:w="1781"/>
        <w:gridCol w:w="1793"/>
        <w:gridCol w:w="2170"/>
      </w:tblGrid>
      <w:tr w:rsidR="0056632F" w:rsidRPr="00B21D56" w14:paraId="5D2EA08A" w14:textId="77777777" w:rsidTr="00CE2C73">
        <w:trPr>
          <w:trHeight w:val="328"/>
        </w:trPr>
        <w:tc>
          <w:tcPr>
            <w:tcW w:w="105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F5FAE7" w14:textId="77777777" w:rsidR="0056632F" w:rsidRPr="00B21D56" w:rsidRDefault="0056632F" w:rsidP="00E92750">
            <w:pPr>
              <w:spacing w:after="0" w:line="240" w:lineRule="auto"/>
              <w:rPr>
                <w:rFonts w:eastAsia="Times New Roman" w:cs="Times New Roman"/>
                <w:b/>
                <w:bCs/>
                <w:sz w:val="20"/>
                <w:szCs w:val="20"/>
                <w:lang w:eastAsia="hr-HR"/>
              </w:rPr>
            </w:pPr>
            <w:r w:rsidRPr="00B21D56">
              <w:rPr>
                <w:rFonts w:eastAsia="Times New Roman" w:cs="Times New Roman"/>
                <w:b/>
                <w:bCs/>
                <w:sz w:val="20"/>
                <w:szCs w:val="20"/>
                <w:lang w:eastAsia="hr-HR"/>
              </w:rPr>
              <w:t>Energent</w:t>
            </w:r>
          </w:p>
        </w:tc>
        <w:tc>
          <w:tcPr>
            <w:tcW w:w="727" w:type="pct"/>
            <w:tcBorders>
              <w:top w:val="single" w:sz="4" w:space="0" w:color="auto"/>
              <w:left w:val="nil"/>
              <w:bottom w:val="single" w:sz="4" w:space="0" w:color="auto"/>
              <w:right w:val="single" w:sz="4" w:space="0" w:color="auto"/>
            </w:tcBorders>
            <w:shd w:val="clear" w:color="000000" w:fill="D9D9D9"/>
            <w:noWrap/>
            <w:vAlign w:val="center"/>
            <w:hideMark/>
          </w:tcPr>
          <w:p w14:paraId="63A74EED" w14:textId="77777777" w:rsidR="0056632F" w:rsidRPr="00B21D56" w:rsidRDefault="0056632F" w:rsidP="00E92750">
            <w:pPr>
              <w:spacing w:after="0" w:line="240" w:lineRule="auto"/>
              <w:rPr>
                <w:rFonts w:eastAsia="Times New Roman" w:cs="Times New Roman"/>
                <w:b/>
                <w:bCs/>
                <w:sz w:val="20"/>
                <w:szCs w:val="20"/>
                <w:lang w:eastAsia="hr-HR"/>
              </w:rPr>
            </w:pPr>
            <w:r w:rsidRPr="00B21D56">
              <w:rPr>
                <w:rFonts w:eastAsia="Times New Roman" w:cs="Times New Roman"/>
                <w:b/>
                <w:bCs/>
                <w:sz w:val="20"/>
                <w:szCs w:val="20"/>
                <w:lang w:eastAsia="hr-HR"/>
              </w:rPr>
              <w:t>Broj objekata</w:t>
            </w:r>
          </w:p>
        </w:tc>
        <w:tc>
          <w:tcPr>
            <w:tcW w:w="998" w:type="pct"/>
            <w:tcBorders>
              <w:top w:val="single" w:sz="4" w:space="0" w:color="auto"/>
              <w:left w:val="nil"/>
              <w:bottom w:val="single" w:sz="4" w:space="0" w:color="auto"/>
              <w:right w:val="single" w:sz="4" w:space="0" w:color="auto"/>
            </w:tcBorders>
            <w:shd w:val="clear" w:color="000000" w:fill="D9D9D9"/>
            <w:vAlign w:val="center"/>
            <w:hideMark/>
          </w:tcPr>
          <w:p w14:paraId="248BC03A" w14:textId="77777777" w:rsidR="0056632F" w:rsidRPr="00B21D56" w:rsidRDefault="0056632F" w:rsidP="00E92750">
            <w:pPr>
              <w:spacing w:after="0" w:line="240" w:lineRule="auto"/>
              <w:jc w:val="center"/>
              <w:rPr>
                <w:rFonts w:eastAsia="Times New Roman" w:cs="Times New Roman"/>
                <w:b/>
                <w:bCs/>
                <w:color w:val="000000"/>
                <w:sz w:val="20"/>
                <w:szCs w:val="20"/>
                <w:lang w:eastAsia="hr-HR"/>
              </w:rPr>
            </w:pPr>
            <w:r w:rsidRPr="00B21D56">
              <w:rPr>
                <w:rFonts w:eastAsia="Times New Roman" w:cs="Times New Roman"/>
                <w:b/>
                <w:bCs/>
                <w:color w:val="000000"/>
                <w:sz w:val="20"/>
                <w:szCs w:val="20"/>
                <w:lang w:eastAsia="hr-HR"/>
              </w:rPr>
              <w:t>Ukupna grijana površina (m</w:t>
            </w:r>
            <w:r w:rsidRPr="00B21D56">
              <w:rPr>
                <w:rFonts w:eastAsia="Times New Roman" w:cs="Times New Roman"/>
                <w:b/>
                <w:bCs/>
                <w:color w:val="000000"/>
                <w:sz w:val="20"/>
                <w:szCs w:val="20"/>
                <w:vertAlign w:val="superscript"/>
                <w:lang w:eastAsia="hr-HR"/>
              </w:rPr>
              <w:t>2</w:t>
            </w:r>
            <w:r w:rsidRPr="00B21D56">
              <w:rPr>
                <w:rFonts w:eastAsia="Times New Roman" w:cs="Times New Roman"/>
                <w:b/>
                <w:bCs/>
                <w:color w:val="000000"/>
                <w:sz w:val="20"/>
                <w:szCs w:val="20"/>
                <w:lang w:eastAsia="hr-HR"/>
              </w:rPr>
              <w:t>)</w:t>
            </w:r>
          </w:p>
        </w:tc>
        <w:tc>
          <w:tcPr>
            <w:tcW w:w="1005" w:type="pct"/>
            <w:tcBorders>
              <w:top w:val="single" w:sz="4" w:space="0" w:color="auto"/>
              <w:left w:val="nil"/>
              <w:bottom w:val="single" w:sz="4" w:space="0" w:color="auto"/>
              <w:right w:val="single" w:sz="4" w:space="0" w:color="auto"/>
            </w:tcBorders>
            <w:shd w:val="clear" w:color="000000" w:fill="D9D9D9"/>
            <w:vAlign w:val="center"/>
            <w:hideMark/>
          </w:tcPr>
          <w:p w14:paraId="205A3AA7" w14:textId="77777777" w:rsidR="0056632F" w:rsidRPr="00B21D56" w:rsidRDefault="0056632F" w:rsidP="00E92750">
            <w:pPr>
              <w:spacing w:after="0" w:line="240" w:lineRule="auto"/>
              <w:jc w:val="center"/>
              <w:rPr>
                <w:rFonts w:eastAsia="Times New Roman" w:cs="Times New Roman"/>
                <w:b/>
                <w:bCs/>
                <w:color w:val="000000"/>
                <w:sz w:val="20"/>
                <w:szCs w:val="20"/>
                <w:lang w:eastAsia="hr-HR"/>
              </w:rPr>
            </w:pPr>
            <w:r w:rsidRPr="00B21D56">
              <w:rPr>
                <w:rFonts w:eastAsia="Times New Roman" w:cs="Times New Roman"/>
                <w:b/>
                <w:bCs/>
                <w:color w:val="000000"/>
                <w:sz w:val="20"/>
                <w:szCs w:val="20"/>
                <w:lang w:eastAsia="hr-HR"/>
              </w:rPr>
              <w:t>Potrošnja toplinske energije (MWh)</w:t>
            </w:r>
          </w:p>
        </w:tc>
        <w:tc>
          <w:tcPr>
            <w:tcW w:w="1215" w:type="pct"/>
            <w:tcBorders>
              <w:top w:val="single" w:sz="4" w:space="0" w:color="auto"/>
              <w:left w:val="nil"/>
              <w:bottom w:val="single" w:sz="4" w:space="0" w:color="auto"/>
              <w:right w:val="single" w:sz="4" w:space="0" w:color="auto"/>
            </w:tcBorders>
            <w:shd w:val="clear" w:color="000000" w:fill="D9D9D9"/>
            <w:vAlign w:val="center"/>
            <w:hideMark/>
          </w:tcPr>
          <w:p w14:paraId="4088DA61" w14:textId="77777777" w:rsidR="0056632F" w:rsidRPr="00B21D56" w:rsidRDefault="0056632F" w:rsidP="00E92750">
            <w:pPr>
              <w:spacing w:after="0" w:line="240" w:lineRule="auto"/>
              <w:jc w:val="center"/>
              <w:rPr>
                <w:rFonts w:eastAsia="Times New Roman" w:cs="Times New Roman"/>
                <w:b/>
                <w:bCs/>
                <w:color w:val="000000"/>
                <w:sz w:val="20"/>
                <w:szCs w:val="20"/>
                <w:lang w:eastAsia="hr-HR"/>
              </w:rPr>
            </w:pPr>
            <w:r w:rsidRPr="00B21D56">
              <w:rPr>
                <w:rFonts w:eastAsia="Times New Roman" w:cs="Times New Roman"/>
                <w:b/>
                <w:bCs/>
                <w:color w:val="000000"/>
                <w:sz w:val="20"/>
                <w:szCs w:val="20"/>
                <w:lang w:eastAsia="hr-HR"/>
              </w:rPr>
              <w:t>Specifična potrošnja (kWh/m</w:t>
            </w:r>
            <w:r w:rsidRPr="00B21D56">
              <w:rPr>
                <w:rFonts w:eastAsia="Times New Roman" w:cs="Times New Roman"/>
                <w:b/>
                <w:bCs/>
                <w:color w:val="000000"/>
                <w:sz w:val="20"/>
                <w:szCs w:val="20"/>
                <w:vertAlign w:val="superscript"/>
                <w:lang w:eastAsia="hr-HR"/>
              </w:rPr>
              <w:t>2</w:t>
            </w:r>
            <w:r w:rsidRPr="00B21D56">
              <w:rPr>
                <w:rFonts w:eastAsia="Times New Roman" w:cs="Times New Roman"/>
                <w:b/>
                <w:bCs/>
                <w:color w:val="000000"/>
                <w:sz w:val="20"/>
                <w:szCs w:val="20"/>
                <w:lang w:eastAsia="hr-HR"/>
              </w:rPr>
              <w:t>)</w:t>
            </w:r>
          </w:p>
        </w:tc>
      </w:tr>
      <w:tr w:rsidR="00CE2C73" w:rsidRPr="00B21D56" w14:paraId="114AAEE9" w14:textId="77777777" w:rsidTr="00CE2C73">
        <w:trPr>
          <w:trHeight w:val="95"/>
        </w:trPr>
        <w:tc>
          <w:tcPr>
            <w:tcW w:w="1054" w:type="pct"/>
            <w:tcBorders>
              <w:top w:val="nil"/>
              <w:left w:val="single" w:sz="4" w:space="0" w:color="auto"/>
              <w:bottom w:val="single" w:sz="4" w:space="0" w:color="auto"/>
              <w:right w:val="nil"/>
            </w:tcBorders>
            <w:shd w:val="clear" w:color="auto" w:fill="auto"/>
            <w:vAlign w:val="center"/>
            <w:hideMark/>
          </w:tcPr>
          <w:p w14:paraId="60D1BE26" w14:textId="77777777" w:rsidR="0056632F" w:rsidRPr="00B21D56" w:rsidRDefault="0056632F" w:rsidP="00E92750">
            <w:pPr>
              <w:spacing w:after="0" w:line="240" w:lineRule="auto"/>
              <w:rPr>
                <w:rFonts w:eastAsia="Times New Roman" w:cs="Times New Roman"/>
                <w:color w:val="000000"/>
                <w:sz w:val="20"/>
                <w:szCs w:val="20"/>
                <w:lang w:eastAsia="hr-HR"/>
              </w:rPr>
            </w:pPr>
            <w:r w:rsidRPr="00B21D56">
              <w:rPr>
                <w:rFonts w:eastAsia="Times New Roman" w:cs="Times New Roman"/>
                <w:color w:val="000000"/>
                <w:sz w:val="20"/>
                <w:szCs w:val="20"/>
                <w:lang w:eastAsia="hr-HR"/>
              </w:rPr>
              <w:t>Toplana vrelovod</w:t>
            </w:r>
          </w:p>
        </w:tc>
        <w:tc>
          <w:tcPr>
            <w:tcW w:w="727" w:type="pct"/>
            <w:tcBorders>
              <w:top w:val="nil"/>
              <w:left w:val="single" w:sz="4" w:space="0" w:color="auto"/>
              <w:bottom w:val="single" w:sz="4" w:space="0" w:color="auto"/>
              <w:right w:val="nil"/>
            </w:tcBorders>
            <w:shd w:val="clear" w:color="auto" w:fill="auto"/>
            <w:vAlign w:val="center"/>
            <w:hideMark/>
          </w:tcPr>
          <w:p w14:paraId="6978A6D9"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122</w:t>
            </w:r>
          </w:p>
        </w:tc>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54A5B403" w14:textId="2044DD2D" w:rsidR="0056632F" w:rsidRPr="00B21D56" w:rsidRDefault="00F57851"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 xml:space="preserve">295 </w:t>
            </w:r>
            <w:r w:rsidR="0056632F" w:rsidRPr="00B21D56">
              <w:rPr>
                <w:rFonts w:eastAsia="Times New Roman" w:cs="Times New Roman"/>
                <w:color w:val="000000"/>
                <w:sz w:val="20"/>
                <w:szCs w:val="20"/>
                <w:lang w:eastAsia="hr-HR"/>
              </w:rPr>
              <w:t>331,63</w:t>
            </w:r>
          </w:p>
        </w:tc>
        <w:tc>
          <w:tcPr>
            <w:tcW w:w="1005" w:type="pct"/>
            <w:tcBorders>
              <w:top w:val="nil"/>
              <w:left w:val="nil"/>
              <w:bottom w:val="single" w:sz="4" w:space="0" w:color="auto"/>
              <w:right w:val="single" w:sz="4" w:space="0" w:color="auto"/>
            </w:tcBorders>
            <w:shd w:val="clear" w:color="auto" w:fill="auto"/>
            <w:noWrap/>
            <w:vAlign w:val="center"/>
            <w:hideMark/>
          </w:tcPr>
          <w:p w14:paraId="73F7C77B" w14:textId="24AB7536" w:rsidR="0056632F" w:rsidRPr="00B21D56" w:rsidRDefault="00F57851"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 xml:space="preserve">47 </w:t>
            </w:r>
            <w:r w:rsidR="0056632F" w:rsidRPr="00B21D56">
              <w:rPr>
                <w:rFonts w:eastAsia="Times New Roman" w:cs="Times New Roman"/>
                <w:color w:val="000000"/>
                <w:sz w:val="20"/>
                <w:szCs w:val="20"/>
                <w:lang w:eastAsia="hr-HR"/>
              </w:rPr>
              <w:t>675,83</w:t>
            </w:r>
          </w:p>
        </w:tc>
        <w:tc>
          <w:tcPr>
            <w:tcW w:w="1215" w:type="pct"/>
            <w:tcBorders>
              <w:top w:val="nil"/>
              <w:left w:val="nil"/>
              <w:bottom w:val="single" w:sz="4" w:space="0" w:color="auto"/>
              <w:right w:val="single" w:sz="4" w:space="0" w:color="auto"/>
            </w:tcBorders>
            <w:shd w:val="clear" w:color="auto" w:fill="auto"/>
            <w:noWrap/>
            <w:vAlign w:val="center"/>
            <w:hideMark/>
          </w:tcPr>
          <w:p w14:paraId="03ACA536"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161,43</w:t>
            </w:r>
          </w:p>
        </w:tc>
      </w:tr>
      <w:tr w:rsidR="00CE2C73" w:rsidRPr="00B21D56" w14:paraId="52731B9B" w14:textId="77777777" w:rsidTr="00CE2C73">
        <w:trPr>
          <w:trHeight w:val="70"/>
        </w:trPr>
        <w:tc>
          <w:tcPr>
            <w:tcW w:w="1054" w:type="pct"/>
            <w:tcBorders>
              <w:top w:val="nil"/>
              <w:left w:val="single" w:sz="4" w:space="0" w:color="auto"/>
              <w:bottom w:val="single" w:sz="4" w:space="0" w:color="auto"/>
              <w:right w:val="nil"/>
            </w:tcBorders>
            <w:shd w:val="clear" w:color="auto" w:fill="auto"/>
            <w:vAlign w:val="center"/>
            <w:hideMark/>
          </w:tcPr>
          <w:p w14:paraId="7924CD26" w14:textId="77777777" w:rsidR="0056632F" w:rsidRPr="00B21D56" w:rsidRDefault="0056632F" w:rsidP="00E92750">
            <w:pPr>
              <w:spacing w:after="0" w:line="240" w:lineRule="auto"/>
              <w:rPr>
                <w:rFonts w:eastAsia="Times New Roman" w:cs="Times New Roman"/>
                <w:color w:val="000000"/>
                <w:sz w:val="20"/>
                <w:szCs w:val="20"/>
                <w:lang w:eastAsia="hr-HR"/>
              </w:rPr>
            </w:pPr>
            <w:r w:rsidRPr="00B21D56">
              <w:rPr>
                <w:rFonts w:eastAsia="Times New Roman" w:cs="Times New Roman"/>
                <w:color w:val="000000"/>
                <w:sz w:val="20"/>
                <w:szCs w:val="20"/>
                <w:lang w:eastAsia="hr-HR"/>
              </w:rPr>
              <w:t>Toplana para</w:t>
            </w:r>
          </w:p>
        </w:tc>
        <w:tc>
          <w:tcPr>
            <w:tcW w:w="727" w:type="pct"/>
            <w:tcBorders>
              <w:top w:val="nil"/>
              <w:left w:val="single" w:sz="4" w:space="0" w:color="auto"/>
              <w:bottom w:val="single" w:sz="4" w:space="0" w:color="auto"/>
              <w:right w:val="nil"/>
            </w:tcBorders>
            <w:shd w:val="clear" w:color="auto" w:fill="auto"/>
            <w:vAlign w:val="center"/>
            <w:hideMark/>
          </w:tcPr>
          <w:p w14:paraId="13DF26F7"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11</w:t>
            </w:r>
          </w:p>
        </w:tc>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72E68474" w14:textId="06CA0D94" w:rsidR="0056632F" w:rsidRPr="00B21D56" w:rsidRDefault="00F57851"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 xml:space="preserve">41 </w:t>
            </w:r>
            <w:r w:rsidR="0056632F" w:rsidRPr="00B21D56">
              <w:rPr>
                <w:rFonts w:eastAsia="Times New Roman" w:cs="Times New Roman"/>
                <w:color w:val="000000"/>
                <w:sz w:val="20"/>
                <w:szCs w:val="20"/>
                <w:lang w:eastAsia="hr-HR"/>
              </w:rPr>
              <w:t>746,21</w:t>
            </w:r>
          </w:p>
        </w:tc>
        <w:tc>
          <w:tcPr>
            <w:tcW w:w="1005" w:type="pct"/>
            <w:tcBorders>
              <w:top w:val="nil"/>
              <w:left w:val="nil"/>
              <w:bottom w:val="single" w:sz="4" w:space="0" w:color="auto"/>
              <w:right w:val="single" w:sz="4" w:space="0" w:color="auto"/>
            </w:tcBorders>
            <w:shd w:val="clear" w:color="auto" w:fill="auto"/>
            <w:noWrap/>
            <w:vAlign w:val="center"/>
            <w:hideMark/>
          </w:tcPr>
          <w:p w14:paraId="10745539" w14:textId="566FF820" w:rsidR="0056632F" w:rsidRPr="00B21D56" w:rsidRDefault="00F57851"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 xml:space="preserve">5 </w:t>
            </w:r>
            <w:r w:rsidR="0056632F" w:rsidRPr="00B21D56">
              <w:rPr>
                <w:rFonts w:eastAsia="Times New Roman" w:cs="Times New Roman"/>
                <w:color w:val="000000"/>
                <w:sz w:val="20"/>
                <w:szCs w:val="20"/>
                <w:lang w:eastAsia="hr-HR"/>
              </w:rPr>
              <w:t>561,07</w:t>
            </w:r>
          </w:p>
        </w:tc>
        <w:tc>
          <w:tcPr>
            <w:tcW w:w="1215" w:type="pct"/>
            <w:tcBorders>
              <w:top w:val="nil"/>
              <w:left w:val="nil"/>
              <w:bottom w:val="single" w:sz="4" w:space="0" w:color="auto"/>
              <w:right w:val="single" w:sz="4" w:space="0" w:color="auto"/>
            </w:tcBorders>
            <w:shd w:val="clear" w:color="auto" w:fill="auto"/>
            <w:noWrap/>
            <w:vAlign w:val="center"/>
            <w:hideMark/>
          </w:tcPr>
          <w:p w14:paraId="59F62194"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133,21</w:t>
            </w:r>
          </w:p>
        </w:tc>
      </w:tr>
      <w:tr w:rsidR="00CE2C73" w:rsidRPr="00B21D56" w14:paraId="2F35DACD" w14:textId="77777777" w:rsidTr="00CE2C73">
        <w:trPr>
          <w:trHeight w:val="70"/>
        </w:trPr>
        <w:tc>
          <w:tcPr>
            <w:tcW w:w="1054" w:type="pct"/>
            <w:tcBorders>
              <w:top w:val="nil"/>
              <w:left w:val="single" w:sz="4" w:space="0" w:color="auto"/>
              <w:bottom w:val="single" w:sz="4" w:space="0" w:color="auto"/>
              <w:right w:val="nil"/>
            </w:tcBorders>
            <w:shd w:val="clear" w:color="auto" w:fill="auto"/>
            <w:noWrap/>
            <w:vAlign w:val="center"/>
            <w:hideMark/>
          </w:tcPr>
          <w:p w14:paraId="24F6F848" w14:textId="77777777" w:rsidR="0056632F" w:rsidRPr="00B21D56" w:rsidRDefault="0056632F" w:rsidP="00E92750">
            <w:pPr>
              <w:spacing w:after="0" w:line="240" w:lineRule="auto"/>
              <w:rPr>
                <w:rFonts w:eastAsia="Times New Roman" w:cs="Times New Roman"/>
                <w:color w:val="000000"/>
                <w:sz w:val="20"/>
                <w:szCs w:val="20"/>
                <w:lang w:eastAsia="hr-HR"/>
              </w:rPr>
            </w:pPr>
            <w:r w:rsidRPr="00B21D56">
              <w:rPr>
                <w:rFonts w:eastAsia="Times New Roman" w:cs="Times New Roman"/>
                <w:color w:val="000000"/>
                <w:sz w:val="20"/>
                <w:szCs w:val="20"/>
                <w:lang w:eastAsia="hr-HR"/>
              </w:rPr>
              <w:t>Prirodni plin</w:t>
            </w:r>
          </w:p>
        </w:tc>
        <w:tc>
          <w:tcPr>
            <w:tcW w:w="727" w:type="pct"/>
            <w:tcBorders>
              <w:top w:val="nil"/>
              <w:left w:val="single" w:sz="4" w:space="0" w:color="auto"/>
              <w:bottom w:val="single" w:sz="4" w:space="0" w:color="auto"/>
              <w:right w:val="nil"/>
            </w:tcBorders>
            <w:shd w:val="clear" w:color="auto" w:fill="auto"/>
            <w:noWrap/>
            <w:vAlign w:val="center"/>
            <w:hideMark/>
          </w:tcPr>
          <w:p w14:paraId="319F9602"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185</w:t>
            </w:r>
          </w:p>
        </w:tc>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524A98E0" w14:textId="79B82E51" w:rsidR="0056632F" w:rsidRPr="00B21D56" w:rsidRDefault="00F57851"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 xml:space="preserve">335 </w:t>
            </w:r>
            <w:r w:rsidR="0056632F" w:rsidRPr="00B21D56">
              <w:rPr>
                <w:rFonts w:eastAsia="Times New Roman" w:cs="Times New Roman"/>
                <w:color w:val="000000"/>
                <w:sz w:val="20"/>
                <w:szCs w:val="20"/>
                <w:lang w:eastAsia="hr-HR"/>
              </w:rPr>
              <w:t>122,02</w:t>
            </w:r>
          </w:p>
        </w:tc>
        <w:tc>
          <w:tcPr>
            <w:tcW w:w="1005" w:type="pct"/>
            <w:tcBorders>
              <w:top w:val="nil"/>
              <w:left w:val="nil"/>
              <w:bottom w:val="single" w:sz="4" w:space="0" w:color="auto"/>
              <w:right w:val="single" w:sz="4" w:space="0" w:color="auto"/>
            </w:tcBorders>
            <w:shd w:val="clear" w:color="auto" w:fill="auto"/>
            <w:noWrap/>
            <w:vAlign w:val="center"/>
            <w:hideMark/>
          </w:tcPr>
          <w:p w14:paraId="12D7B487" w14:textId="37D86C6D" w:rsidR="0056632F" w:rsidRPr="00B21D56" w:rsidRDefault="00F57851"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 xml:space="preserve">49 </w:t>
            </w:r>
            <w:r w:rsidR="0056632F" w:rsidRPr="00B21D56">
              <w:rPr>
                <w:rFonts w:eastAsia="Times New Roman" w:cs="Times New Roman"/>
                <w:color w:val="000000"/>
                <w:sz w:val="20"/>
                <w:szCs w:val="20"/>
                <w:lang w:eastAsia="hr-HR"/>
              </w:rPr>
              <w:t>539,06</w:t>
            </w:r>
          </w:p>
        </w:tc>
        <w:tc>
          <w:tcPr>
            <w:tcW w:w="1215" w:type="pct"/>
            <w:tcBorders>
              <w:top w:val="nil"/>
              <w:left w:val="nil"/>
              <w:bottom w:val="single" w:sz="4" w:space="0" w:color="auto"/>
              <w:right w:val="single" w:sz="4" w:space="0" w:color="auto"/>
            </w:tcBorders>
            <w:shd w:val="clear" w:color="auto" w:fill="auto"/>
            <w:noWrap/>
            <w:vAlign w:val="center"/>
            <w:hideMark/>
          </w:tcPr>
          <w:p w14:paraId="783548C6"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147,82</w:t>
            </w:r>
          </w:p>
        </w:tc>
      </w:tr>
      <w:tr w:rsidR="00CE2C73" w:rsidRPr="00B21D56" w14:paraId="1C512D51" w14:textId="77777777" w:rsidTr="00CE2C73">
        <w:trPr>
          <w:trHeight w:val="70"/>
        </w:trPr>
        <w:tc>
          <w:tcPr>
            <w:tcW w:w="1054" w:type="pct"/>
            <w:tcBorders>
              <w:top w:val="nil"/>
              <w:left w:val="single" w:sz="4" w:space="0" w:color="auto"/>
              <w:bottom w:val="single" w:sz="4" w:space="0" w:color="auto"/>
              <w:right w:val="nil"/>
            </w:tcBorders>
            <w:shd w:val="clear" w:color="auto" w:fill="auto"/>
            <w:noWrap/>
            <w:vAlign w:val="center"/>
            <w:hideMark/>
          </w:tcPr>
          <w:p w14:paraId="4017C284" w14:textId="77777777" w:rsidR="0056632F" w:rsidRPr="00B21D56" w:rsidRDefault="0056632F" w:rsidP="00E92750">
            <w:pPr>
              <w:spacing w:after="0" w:line="240" w:lineRule="auto"/>
              <w:rPr>
                <w:rFonts w:eastAsia="Times New Roman" w:cs="Times New Roman"/>
                <w:color w:val="000000"/>
                <w:sz w:val="20"/>
                <w:szCs w:val="20"/>
                <w:lang w:eastAsia="hr-HR"/>
              </w:rPr>
            </w:pPr>
            <w:r w:rsidRPr="00B21D56">
              <w:rPr>
                <w:rFonts w:eastAsia="Times New Roman" w:cs="Times New Roman"/>
                <w:color w:val="000000"/>
                <w:sz w:val="20"/>
                <w:szCs w:val="20"/>
                <w:lang w:eastAsia="hr-HR"/>
              </w:rPr>
              <w:t>Lož ulje</w:t>
            </w:r>
          </w:p>
        </w:tc>
        <w:tc>
          <w:tcPr>
            <w:tcW w:w="727" w:type="pct"/>
            <w:tcBorders>
              <w:top w:val="nil"/>
              <w:left w:val="single" w:sz="4" w:space="0" w:color="auto"/>
              <w:bottom w:val="single" w:sz="4" w:space="0" w:color="auto"/>
              <w:right w:val="nil"/>
            </w:tcBorders>
            <w:shd w:val="clear" w:color="auto" w:fill="auto"/>
            <w:noWrap/>
            <w:vAlign w:val="center"/>
            <w:hideMark/>
          </w:tcPr>
          <w:p w14:paraId="6A8E05D6"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88</w:t>
            </w:r>
          </w:p>
        </w:tc>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6582D24F" w14:textId="6442CCBF" w:rsidR="0056632F" w:rsidRPr="00B21D56" w:rsidRDefault="00F57851"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 xml:space="preserve">193 </w:t>
            </w:r>
            <w:r w:rsidR="0056632F" w:rsidRPr="00B21D56">
              <w:rPr>
                <w:rFonts w:eastAsia="Times New Roman" w:cs="Times New Roman"/>
                <w:color w:val="000000"/>
                <w:sz w:val="20"/>
                <w:szCs w:val="20"/>
                <w:lang w:eastAsia="hr-HR"/>
              </w:rPr>
              <w:t>270,27</w:t>
            </w:r>
          </w:p>
        </w:tc>
        <w:tc>
          <w:tcPr>
            <w:tcW w:w="1005" w:type="pct"/>
            <w:tcBorders>
              <w:top w:val="nil"/>
              <w:left w:val="nil"/>
              <w:bottom w:val="single" w:sz="4" w:space="0" w:color="auto"/>
              <w:right w:val="single" w:sz="4" w:space="0" w:color="auto"/>
            </w:tcBorders>
            <w:shd w:val="clear" w:color="auto" w:fill="auto"/>
            <w:noWrap/>
            <w:vAlign w:val="center"/>
            <w:hideMark/>
          </w:tcPr>
          <w:p w14:paraId="66CB0C4B" w14:textId="6765D816" w:rsidR="0056632F" w:rsidRPr="00B21D56" w:rsidRDefault="00F57851"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 xml:space="preserve">32 </w:t>
            </w:r>
            <w:r w:rsidR="0056632F" w:rsidRPr="00B21D56">
              <w:rPr>
                <w:rFonts w:eastAsia="Times New Roman" w:cs="Times New Roman"/>
                <w:color w:val="000000"/>
                <w:sz w:val="20"/>
                <w:szCs w:val="20"/>
                <w:lang w:eastAsia="hr-HR"/>
              </w:rPr>
              <w:t>171,75</w:t>
            </w:r>
          </w:p>
        </w:tc>
        <w:tc>
          <w:tcPr>
            <w:tcW w:w="1215" w:type="pct"/>
            <w:tcBorders>
              <w:top w:val="nil"/>
              <w:left w:val="nil"/>
              <w:bottom w:val="single" w:sz="4" w:space="0" w:color="auto"/>
              <w:right w:val="single" w:sz="4" w:space="0" w:color="auto"/>
            </w:tcBorders>
            <w:shd w:val="clear" w:color="auto" w:fill="auto"/>
            <w:noWrap/>
            <w:vAlign w:val="center"/>
            <w:hideMark/>
          </w:tcPr>
          <w:p w14:paraId="16A39328"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166,46</w:t>
            </w:r>
          </w:p>
        </w:tc>
      </w:tr>
      <w:tr w:rsidR="00CE2C73" w:rsidRPr="00B21D56" w14:paraId="3511834D" w14:textId="77777777" w:rsidTr="00CE2C73">
        <w:trPr>
          <w:trHeight w:val="70"/>
        </w:trPr>
        <w:tc>
          <w:tcPr>
            <w:tcW w:w="1054" w:type="pct"/>
            <w:tcBorders>
              <w:top w:val="nil"/>
              <w:left w:val="single" w:sz="4" w:space="0" w:color="auto"/>
              <w:bottom w:val="single" w:sz="4" w:space="0" w:color="auto"/>
              <w:right w:val="nil"/>
            </w:tcBorders>
            <w:shd w:val="clear" w:color="auto" w:fill="auto"/>
            <w:noWrap/>
            <w:vAlign w:val="center"/>
            <w:hideMark/>
          </w:tcPr>
          <w:p w14:paraId="71443059" w14:textId="77777777" w:rsidR="0056632F" w:rsidRPr="00B21D56" w:rsidRDefault="0056632F" w:rsidP="00E92750">
            <w:pPr>
              <w:spacing w:after="0" w:line="240" w:lineRule="auto"/>
              <w:rPr>
                <w:rFonts w:eastAsia="Times New Roman" w:cs="Times New Roman"/>
                <w:color w:val="000000"/>
                <w:sz w:val="20"/>
                <w:szCs w:val="20"/>
                <w:lang w:eastAsia="hr-HR"/>
              </w:rPr>
            </w:pPr>
            <w:r w:rsidRPr="00B21D56">
              <w:rPr>
                <w:rFonts w:eastAsia="Times New Roman" w:cs="Times New Roman"/>
                <w:color w:val="000000"/>
                <w:sz w:val="20"/>
                <w:szCs w:val="20"/>
                <w:lang w:eastAsia="hr-HR"/>
              </w:rPr>
              <w:t>Električna energija</w:t>
            </w:r>
          </w:p>
        </w:tc>
        <w:tc>
          <w:tcPr>
            <w:tcW w:w="727" w:type="pct"/>
            <w:tcBorders>
              <w:top w:val="nil"/>
              <w:left w:val="single" w:sz="4" w:space="0" w:color="auto"/>
              <w:bottom w:val="single" w:sz="4" w:space="0" w:color="auto"/>
              <w:right w:val="nil"/>
            </w:tcBorders>
            <w:shd w:val="clear" w:color="auto" w:fill="auto"/>
            <w:noWrap/>
            <w:vAlign w:val="center"/>
            <w:hideMark/>
          </w:tcPr>
          <w:p w14:paraId="5FFFC1D0"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9</w:t>
            </w:r>
          </w:p>
        </w:tc>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71BB2F96" w14:textId="6BBB44EA" w:rsidR="0056632F" w:rsidRPr="00B21D56" w:rsidRDefault="00F57851"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 xml:space="preserve">1 </w:t>
            </w:r>
            <w:r w:rsidR="0056632F" w:rsidRPr="00B21D56">
              <w:rPr>
                <w:rFonts w:eastAsia="Times New Roman" w:cs="Times New Roman"/>
                <w:color w:val="000000"/>
                <w:sz w:val="20"/>
                <w:szCs w:val="20"/>
                <w:lang w:eastAsia="hr-HR"/>
              </w:rPr>
              <w:t>149,87</w:t>
            </w:r>
          </w:p>
        </w:tc>
        <w:tc>
          <w:tcPr>
            <w:tcW w:w="1005" w:type="pct"/>
            <w:tcBorders>
              <w:top w:val="nil"/>
              <w:left w:val="nil"/>
              <w:bottom w:val="single" w:sz="4" w:space="0" w:color="auto"/>
              <w:right w:val="single" w:sz="4" w:space="0" w:color="auto"/>
            </w:tcBorders>
            <w:shd w:val="clear" w:color="auto" w:fill="auto"/>
            <w:noWrap/>
            <w:vAlign w:val="center"/>
            <w:hideMark/>
          </w:tcPr>
          <w:p w14:paraId="351D8454"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197,48</w:t>
            </w:r>
          </w:p>
        </w:tc>
        <w:tc>
          <w:tcPr>
            <w:tcW w:w="1215" w:type="pct"/>
            <w:tcBorders>
              <w:top w:val="nil"/>
              <w:left w:val="nil"/>
              <w:bottom w:val="single" w:sz="4" w:space="0" w:color="auto"/>
              <w:right w:val="single" w:sz="4" w:space="0" w:color="auto"/>
            </w:tcBorders>
            <w:shd w:val="clear" w:color="auto" w:fill="auto"/>
            <w:noWrap/>
            <w:vAlign w:val="center"/>
            <w:hideMark/>
          </w:tcPr>
          <w:p w14:paraId="486A6780"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171,74</w:t>
            </w:r>
          </w:p>
        </w:tc>
      </w:tr>
      <w:tr w:rsidR="00CE2C73" w:rsidRPr="00B21D56" w14:paraId="30B4DCA4" w14:textId="77777777" w:rsidTr="00CE2C73">
        <w:trPr>
          <w:trHeight w:val="70"/>
        </w:trPr>
        <w:tc>
          <w:tcPr>
            <w:tcW w:w="1054" w:type="pct"/>
            <w:tcBorders>
              <w:top w:val="nil"/>
              <w:left w:val="single" w:sz="4" w:space="0" w:color="auto"/>
              <w:bottom w:val="single" w:sz="4" w:space="0" w:color="auto"/>
              <w:right w:val="nil"/>
            </w:tcBorders>
            <w:shd w:val="clear" w:color="auto" w:fill="auto"/>
            <w:noWrap/>
            <w:vAlign w:val="center"/>
            <w:hideMark/>
          </w:tcPr>
          <w:p w14:paraId="7BE6E6BA" w14:textId="77777777" w:rsidR="0056632F" w:rsidRPr="00B21D56" w:rsidRDefault="0056632F" w:rsidP="00E92750">
            <w:pPr>
              <w:spacing w:after="0" w:line="240" w:lineRule="auto"/>
              <w:rPr>
                <w:rFonts w:eastAsia="Times New Roman" w:cs="Times New Roman"/>
                <w:color w:val="000000"/>
                <w:sz w:val="20"/>
                <w:szCs w:val="20"/>
                <w:lang w:eastAsia="hr-HR"/>
              </w:rPr>
            </w:pPr>
            <w:r w:rsidRPr="00B21D56">
              <w:rPr>
                <w:rFonts w:eastAsia="Times New Roman" w:cs="Times New Roman"/>
                <w:color w:val="000000"/>
                <w:sz w:val="20"/>
                <w:szCs w:val="20"/>
                <w:lang w:eastAsia="hr-HR"/>
              </w:rPr>
              <w:t>UNP</w:t>
            </w:r>
          </w:p>
        </w:tc>
        <w:tc>
          <w:tcPr>
            <w:tcW w:w="727" w:type="pct"/>
            <w:tcBorders>
              <w:top w:val="nil"/>
              <w:left w:val="single" w:sz="4" w:space="0" w:color="auto"/>
              <w:bottom w:val="single" w:sz="4" w:space="0" w:color="auto"/>
              <w:right w:val="nil"/>
            </w:tcBorders>
            <w:shd w:val="clear" w:color="auto" w:fill="auto"/>
            <w:noWrap/>
            <w:vAlign w:val="center"/>
            <w:hideMark/>
          </w:tcPr>
          <w:p w14:paraId="642E71E4"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2</w:t>
            </w:r>
          </w:p>
        </w:tc>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64D42F7D"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461,02</w:t>
            </w:r>
          </w:p>
        </w:tc>
        <w:tc>
          <w:tcPr>
            <w:tcW w:w="1005" w:type="pct"/>
            <w:tcBorders>
              <w:top w:val="nil"/>
              <w:left w:val="nil"/>
              <w:bottom w:val="single" w:sz="4" w:space="0" w:color="auto"/>
              <w:right w:val="single" w:sz="4" w:space="0" w:color="auto"/>
            </w:tcBorders>
            <w:shd w:val="clear" w:color="auto" w:fill="auto"/>
            <w:noWrap/>
            <w:vAlign w:val="center"/>
            <w:hideMark/>
          </w:tcPr>
          <w:p w14:paraId="3B2EAB52"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81,96</w:t>
            </w:r>
          </w:p>
        </w:tc>
        <w:tc>
          <w:tcPr>
            <w:tcW w:w="1215" w:type="pct"/>
            <w:tcBorders>
              <w:top w:val="nil"/>
              <w:left w:val="nil"/>
              <w:bottom w:val="single" w:sz="4" w:space="0" w:color="auto"/>
              <w:right w:val="single" w:sz="4" w:space="0" w:color="auto"/>
            </w:tcBorders>
            <w:shd w:val="clear" w:color="auto" w:fill="auto"/>
            <w:noWrap/>
            <w:vAlign w:val="center"/>
            <w:hideMark/>
          </w:tcPr>
          <w:p w14:paraId="086F4BA0"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177,78</w:t>
            </w:r>
          </w:p>
        </w:tc>
      </w:tr>
      <w:tr w:rsidR="00CE2C73" w:rsidRPr="00B21D56" w14:paraId="17BFCC47" w14:textId="77777777" w:rsidTr="00CE2C73">
        <w:trPr>
          <w:trHeight w:val="70"/>
        </w:trPr>
        <w:tc>
          <w:tcPr>
            <w:tcW w:w="1054" w:type="pct"/>
            <w:tcBorders>
              <w:top w:val="nil"/>
              <w:left w:val="single" w:sz="4" w:space="0" w:color="auto"/>
              <w:bottom w:val="single" w:sz="4" w:space="0" w:color="auto"/>
              <w:right w:val="nil"/>
            </w:tcBorders>
            <w:shd w:val="clear" w:color="auto" w:fill="auto"/>
            <w:noWrap/>
            <w:vAlign w:val="center"/>
            <w:hideMark/>
          </w:tcPr>
          <w:p w14:paraId="25815D2A" w14:textId="77777777" w:rsidR="0056632F" w:rsidRPr="00B21D56" w:rsidRDefault="0056632F" w:rsidP="00E92750">
            <w:pPr>
              <w:spacing w:after="0" w:line="240" w:lineRule="auto"/>
              <w:rPr>
                <w:rFonts w:eastAsia="Times New Roman" w:cs="Times New Roman"/>
                <w:color w:val="000000"/>
                <w:sz w:val="20"/>
                <w:szCs w:val="20"/>
                <w:lang w:eastAsia="hr-HR"/>
              </w:rPr>
            </w:pPr>
            <w:r w:rsidRPr="00B21D56">
              <w:rPr>
                <w:rFonts w:eastAsia="Times New Roman" w:cs="Times New Roman"/>
                <w:color w:val="000000"/>
                <w:sz w:val="20"/>
                <w:szCs w:val="20"/>
                <w:lang w:eastAsia="hr-HR"/>
              </w:rPr>
              <w:t>Biomasa drvo</w:t>
            </w:r>
          </w:p>
        </w:tc>
        <w:tc>
          <w:tcPr>
            <w:tcW w:w="727" w:type="pct"/>
            <w:tcBorders>
              <w:top w:val="nil"/>
              <w:left w:val="single" w:sz="4" w:space="0" w:color="auto"/>
              <w:bottom w:val="single" w:sz="4" w:space="0" w:color="auto"/>
              <w:right w:val="nil"/>
            </w:tcBorders>
            <w:shd w:val="clear" w:color="auto" w:fill="auto"/>
            <w:noWrap/>
            <w:vAlign w:val="center"/>
            <w:hideMark/>
          </w:tcPr>
          <w:p w14:paraId="6EDFE913"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w:t>
            </w:r>
          </w:p>
        </w:tc>
        <w:tc>
          <w:tcPr>
            <w:tcW w:w="998" w:type="pct"/>
            <w:tcBorders>
              <w:top w:val="nil"/>
              <w:left w:val="single" w:sz="4" w:space="0" w:color="auto"/>
              <w:bottom w:val="single" w:sz="4" w:space="0" w:color="auto"/>
              <w:right w:val="single" w:sz="4" w:space="0" w:color="auto"/>
            </w:tcBorders>
            <w:shd w:val="clear" w:color="auto" w:fill="auto"/>
            <w:noWrap/>
            <w:vAlign w:val="center"/>
            <w:hideMark/>
          </w:tcPr>
          <w:p w14:paraId="1EFD6F6C"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203,00</w:t>
            </w:r>
          </w:p>
        </w:tc>
        <w:tc>
          <w:tcPr>
            <w:tcW w:w="1005" w:type="pct"/>
            <w:tcBorders>
              <w:top w:val="nil"/>
              <w:left w:val="nil"/>
              <w:bottom w:val="single" w:sz="4" w:space="0" w:color="auto"/>
              <w:right w:val="single" w:sz="4" w:space="0" w:color="auto"/>
            </w:tcBorders>
            <w:shd w:val="clear" w:color="auto" w:fill="auto"/>
            <w:noWrap/>
            <w:vAlign w:val="center"/>
            <w:hideMark/>
          </w:tcPr>
          <w:p w14:paraId="7BA83CE6"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29,06</w:t>
            </w:r>
          </w:p>
        </w:tc>
        <w:tc>
          <w:tcPr>
            <w:tcW w:w="1215" w:type="pct"/>
            <w:tcBorders>
              <w:top w:val="nil"/>
              <w:left w:val="nil"/>
              <w:bottom w:val="single" w:sz="4" w:space="0" w:color="auto"/>
              <w:right w:val="single" w:sz="4" w:space="0" w:color="auto"/>
            </w:tcBorders>
            <w:shd w:val="clear" w:color="auto" w:fill="auto"/>
            <w:noWrap/>
            <w:vAlign w:val="center"/>
            <w:hideMark/>
          </w:tcPr>
          <w:p w14:paraId="00354C61" w14:textId="77777777" w:rsidR="0056632F" w:rsidRPr="00B21D56" w:rsidRDefault="0056632F" w:rsidP="00E92750">
            <w:pPr>
              <w:spacing w:after="0" w:line="240" w:lineRule="auto"/>
              <w:jc w:val="center"/>
              <w:rPr>
                <w:rFonts w:eastAsia="Times New Roman" w:cs="Times New Roman"/>
                <w:color w:val="000000"/>
                <w:sz w:val="20"/>
                <w:szCs w:val="20"/>
                <w:lang w:eastAsia="hr-HR"/>
              </w:rPr>
            </w:pPr>
            <w:r w:rsidRPr="00B21D56">
              <w:rPr>
                <w:rFonts w:eastAsia="Times New Roman" w:cs="Times New Roman"/>
                <w:color w:val="000000"/>
                <w:sz w:val="20"/>
                <w:szCs w:val="20"/>
                <w:lang w:eastAsia="hr-HR"/>
              </w:rPr>
              <w:t>143,14</w:t>
            </w:r>
          </w:p>
        </w:tc>
      </w:tr>
      <w:tr w:rsidR="0056632F" w:rsidRPr="007C7920" w14:paraId="510EAD88" w14:textId="77777777" w:rsidTr="00CE2C73">
        <w:trPr>
          <w:trHeight w:val="70"/>
        </w:trPr>
        <w:tc>
          <w:tcPr>
            <w:tcW w:w="1054" w:type="pct"/>
            <w:tcBorders>
              <w:top w:val="nil"/>
              <w:left w:val="single" w:sz="4" w:space="0" w:color="auto"/>
              <w:bottom w:val="single" w:sz="4" w:space="0" w:color="auto"/>
              <w:right w:val="nil"/>
            </w:tcBorders>
            <w:shd w:val="clear" w:color="000000" w:fill="D9D9D9"/>
            <w:noWrap/>
            <w:vAlign w:val="center"/>
            <w:hideMark/>
          </w:tcPr>
          <w:p w14:paraId="340C8B9F" w14:textId="77777777" w:rsidR="0056632F" w:rsidRPr="00B21D56" w:rsidRDefault="0056632F" w:rsidP="00E92750">
            <w:pPr>
              <w:spacing w:after="0" w:line="240" w:lineRule="auto"/>
              <w:rPr>
                <w:rFonts w:eastAsia="Times New Roman" w:cs="Times New Roman"/>
                <w:b/>
                <w:bCs/>
                <w:color w:val="000000"/>
                <w:sz w:val="20"/>
                <w:szCs w:val="20"/>
                <w:lang w:eastAsia="hr-HR"/>
              </w:rPr>
            </w:pPr>
            <w:r w:rsidRPr="00B21D56">
              <w:rPr>
                <w:rFonts w:eastAsia="Times New Roman" w:cs="Times New Roman"/>
                <w:b/>
                <w:bCs/>
                <w:color w:val="000000"/>
                <w:sz w:val="20"/>
                <w:szCs w:val="20"/>
                <w:lang w:eastAsia="hr-HR"/>
              </w:rPr>
              <w:t>UKUPNO</w:t>
            </w:r>
          </w:p>
        </w:tc>
        <w:tc>
          <w:tcPr>
            <w:tcW w:w="727" w:type="pct"/>
            <w:tcBorders>
              <w:top w:val="nil"/>
              <w:left w:val="single" w:sz="4" w:space="0" w:color="auto"/>
              <w:bottom w:val="single" w:sz="4" w:space="0" w:color="auto"/>
              <w:right w:val="nil"/>
            </w:tcBorders>
            <w:shd w:val="clear" w:color="000000" w:fill="D9D9D9"/>
            <w:noWrap/>
            <w:vAlign w:val="center"/>
            <w:hideMark/>
          </w:tcPr>
          <w:p w14:paraId="60553413" w14:textId="77777777" w:rsidR="0056632F" w:rsidRPr="00B21D56" w:rsidRDefault="0056632F" w:rsidP="00E92750">
            <w:pPr>
              <w:spacing w:after="0" w:line="240" w:lineRule="auto"/>
              <w:jc w:val="center"/>
              <w:rPr>
                <w:rFonts w:eastAsia="Times New Roman" w:cs="Times New Roman"/>
                <w:b/>
                <w:bCs/>
                <w:color w:val="000000"/>
                <w:sz w:val="20"/>
                <w:szCs w:val="20"/>
                <w:lang w:eastAsia="hr-HR"/>
              </w:rPr>
            </w:pPr>
            <w:r w:rsidRPr="00B21D56">
              <w:rPr>
                <w:rFonts w:eastAsia="Times New Roman" w:cs="Times New Roman"/>
                <w:b/>
                <w:bCs/>
                <w:color w:val="000000"/>
                <w:sz w:val="20"/>
                <w:szCs w:val="20"/>
                <w:lang w:eastAsia="hr-HR"/>
              </w:rPr>
              <w:t>418</w:t>
            </w:r>
          </w:p>
        </w:tc>
        <w:tc>
          <w:tcPr>
            <w:tcW w:w="998" w:type="pct"/>
            <w:tcBorders>
              <w:top w:val="nil"/>
              <w:left w:val="single" w:sz="4" w:space="0" w:color="auto"/>
              <w:bottom w:val="single" w:sz="4" w:space="0" w:color="auto"/>
              <w:right w:val="single" w:sz="4" w:space="0" w:color="auto"/>
            </w:tcBorders>
            <w:shd w:val="clear" w:color="000000" w:fill="D9D9D9"/>
            <w:noWrap/>
            <w:vAlign w:val="center"/>
            <w:hideMark/>
          </w:tcPr>
          <w:p w14:paraId="3FBB9CBC" w14:textId="58A2BF45" w:rsidR="0056632F" w:rsidRPr="00B21D56" w:rsidRDefault="00F57851" w:rsidP="00E92750">
            <w:pPr>
              <w:spacing w:after="0" w:line="240" w:lineRule="auto"/>
              <w:jc w:val="center"/>
              <w:rPr>
                <w:rFonts w:eastAsia="Times New Roman" w:cs="Times New Roman"/>
                <w:b/>
                <w:bCs/>
                <w:color w:val="000000"/>
                <w:sz w:val="20"/>
                <w:szCs w:val="20"/>
                <w:lang w:eastAsia="hr-HR"/>
              </w:rPr>
            </w:pPr>
            <w:r w:rsidRPr="00B21D56">
              <w:rPr>
                <w:rFonts w:eastAsia="Times New Roman" w:cs="Times New Roman"/>
                <w:b/>
                <w:bCs/>
                <w:color w:val="000000"/>
                <w:sz w:val="20"/>
                <w:szCs w:val="20"/>
                <w:lang w:eastAsia="hr-HR"/>
              </w:rPr>
              <w:t xml:space="preserve">867 </w:t>
            </w:r>
            <w:r w:rsidR="0056632F" w:rsidRPr="00B21D56">
              <w:rPr>
                <w:rFonts w:eastAsia="Times New Roman" w:cs="Times New Roman"/>
                <w:b/>
                <w:bCs/>
                <w:color w:val="000000"/>
                <w:sz w:val="20"/>
                <w:szCs w:val="20"/>
                <w:lang w:eastAsia="hr-HR"/>
              </w:rPr>
              <w:t>284,02</w:t>
            </w:r>
          </w:p>
        </w:tc>
        <w:tc>
          <w:tcPr>
            <w:tcW w:w="1005" w:type="pct"/>
            <w:tcBorders>
              <w:top w:val="nil"/>
              <w:left w:val="nil"/>
              <w:bottom w:val="single" w:sz="4" w:space="0" w:color="auto"/>
              <w:right w:val="single" w:sz="4" w:space="0" w:color="auto"/>
            </w:tcBorders>
            <w:shd w:val="clear" w:color="000000" w:fill="D9D9D9"/>
            <w:noWrap/>
            <w:vAlign w:val="center"/>
            <w:hideMark/>
          </w:tcPr>
          <w:p w14:paraId="1B78BE5A" w14:textId="3700FE2E" w:rsidR="0056632F" w:rsidRPr="00B21D56" w:rsidRDefault="00F57851" w:rsidP="00E92750">
            <w:pPr>
              <w:spacing w:after="0" w:line="240" w:lineRule="auto"/>
              <w:jc w:val="center"/>
              <w:rPr>
                <w:rFonts w:eastAsia="Times New Roman" w:cs="Times New Roman"/>
                <w:b/>
                <w:bCs/>
                <w:color w:val="000000"/>
                <w:sz w:val="20"/>
                <w:szCs w:val="20"/>
                <w:lang w:eastAsia="hr-HR"/>
              </w:rPr>
            </w:pPr>
            <w:r w:rsidRPr="00B21D56">
              <w:rPr>
                <w:rFonts w:eastAsia="Times New Roman" w:cs="Times New Roman"/>
                <w:b/>
                <w:bCs/>
                <w:color w:val="000000"/>
                <w:sz w:val="20"/>
                <w:szCs w:val="20"/>
                <w:lang w:eastAsia="hr-HR"/>
              </w:rPr>
              <w:t xml:space="preserve">135 </w:t>
            </w:r>
            <w:r w:rsidR="0056632F" w:rsidRPr="00B21D56">
              <w:rPr>
                <w:rFonts w:eastAsia="Times New Roman" w:cs="Times New Roman"/>
                <w:b/>
                <w:bCs/>
                <w:color w:val="000000"/>
                <w:sz w:val="20"/>
                <w:szCs w:val="20"/>
                <w:lang w:eastAsia="hr-HR"/>
              </w:rPr>
              <w:t>256,22</w:t>
            </w:r>
          </w:p>
        </w:tc>
        <w:tc>
          <w:tcPr>
            <w:tcW w:w="1215" w:type="pct"/>
            <w:tcBorders>
              <w:top w:val="nil"/>
              <w:left w:val="nil"/>
              <w:bottom w:val="single" w:sz="4" w:space="0" w:color="auto"/>
              <w:right w:val="single" w:sz="4" w:space="0" w:color="auto"/>
            </w:tcBorders>
            <w:shd w:val="clear" w:color="000000" w:fill="D9D9D9"/>
            <w:noWrap/>
            <w:vAlign w:val="center"/>
            <w:hideMark/>
          </w:tcPr>
          <w:p w14:paraId="022B4550" w14:textId="77777777" w:rsidR="0056632F" w:rsidRPr="00B21D56" w:rsidRDefault="0056632F" w:rsidP="00E92750">
            <w:pPr>
              <w:spacing w:after="0" w:line="240" w:lineRule="auto"/>
              <w:jc w:val="center"/>
              <w:rPr>
                <w:rFonts w:eastAsia="Times New Roman" w:cs="Times New Roman"/>
                <w:b/>
                <w:bCs/>
                <w:color w:val="000000"/>
                <w:sz w:val="20"/>
                <w:szCs w:val="20"/>
                <w:lang w:eastAsia="hr-HR"/>
              </w:rPr>
            </w:pPr>
            <w:r w:rsidRPr="00B21D56">
              <w:rPr>
                <w:rFonts w:eastAsia="Times New Roman" w:cs="Times New Roman"/>
                <w:b/>
                <w:bCs/>
                <w:color w:val="000000"/>
                <w:sz w:val="20"/>
                <w:szCs w:val="20"/>
                <w:lang w:eastAsia="hr-HR"/>
              </w:rPr>
              <w:t>155,95</w:t>
            </w:r>
          </w:p>
        </w:tc>
      </w:tr>
    </w:tbl>
    <w:p w14:paraId="70C4DCDF" w14:textId="791D95C7" w:rsidR="000F64C5" w:rsidRPr="007C7920" w:rsidRDefault="000F64C5" w:rsidP="00E92750">
      <w:pPr>
        <w:suppressAutoHyphens/>
        <w:autoSpaceDN w:val="0"/>
        <w:spacing w:after="0" w:line="240" w:lineRule="auto"/>
        <w:jc w:val="center"/>
        <w:textAlignment w:val="baseline"/>
        <w:rPr>
          <w:noProof/>
          <w:highlight w:val="yellow"/>
          <w:lang w:eastAsia="hr-HR"/>
        </w:rPr>
      </w:pPr>
    </w:p>
    <w:p w14:paraId="0D2EF90B" w14:textId="7D3FE0FA" w:rsidR="00F82CB2" w:rsidRPr="00B21D56" w:rsidRDefault="00F82CB2" w:rsidP="00E92750">
      <w:pPr>
        <w:suppressAutoHyphens/>
        <w:autoSpaceDN w:val="0"/>
        <w:spacing w:after="0" w:line="240" w:lineRule="auto"/>
        <w:jc w:val="center"/>
        <w:textAlignment w:val="baseline"/>
        <w:rPr>
          <w:noProof/>
          <w:lang w:eastAsia="hr-HR"/>
        </w:rPr>
      </w:pPr>
      <w:r w:rsidRPr="00B21D56">
        <w:rPr>
          <w:noProof/>
          <w:lang w:eastAsia="hr-HR"/>
        </w:rPr>
        <w:drawing>
          <wp:inline distT="0" distB="0" distL="0" distR="0" wp14:anchorId="16A6D620" wp14:editId="1971547B">
            <wp:extent cx="5743575" cy="24574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5A4CB9" w14:textId="13D5586C" w:rsidR="000F64C5" w:rsidRPr="00BB0033" w:rsidRDefault="00307E2A" w:rsidP="00E92750">
      <w:pPr>
        <w:suppressAutoHyphens/>
        <w:autoSpaceDN w:val="0"/>
        <w:spacing w:after="240" w:line="240" w:lineRule="auto"/>
        <w:jc w:val="center"/>
        <w:textAlignment w:val="baseline"/>
        <w:rPr>
          <w:rFonts w:ascii="Calibri" w:eastAsia="Calibri" w:hAnsi="Calibri" w:cs="Times New Roman"/>
        </w:rPr>
      </w:pPr>
      <w:bookmarkStart w:id="27" w:name="_Ref461611007"/>
      <w:bookmarkStart w:id="28" w:name="_Toc468277406"/>
      <w:r w:rsidRPr="00BB0033">
        <w:rPr>
          <w:b/>
        </w:rPr>
        <w:t xml:space="preserve">Slika </w:t>
      </w:r>
      <w:r w:rsidRPr="00BB0033">
        <w:rPr>
          <w:b/>
        </w:rPr>
        <w:fldChar w:fldCharType="begin"/>
      </w:r>
      <w:r w:rsidRPr="00BB0033">
        <w:rPr>
          <w:b/>
        </w:rPr>
        <w:instrText xml:space="preserve"> STYLEREF 1 \s </w:instrText>
      </w:r>
      <w:r w:rsidRPr="00BB0033">
        <w:rPr>
          <w:b/>
        </w:rPr>
        <w:fldChar w:fldCharType="separate"/>
      </w:r>
      <w:r w:rsidR="009C319B" w:rsidRPr="00BB0033">
        <w:rPr>
          <w:b/>
          <w:noProof/>
        </w:rPr>
        <w:t>4</w:t>
      </w:r>
      <w:r w:rsidRPr="00BB0033">
        <w:rPr>
          <w:b/>
          <w:noProof/>
        </w:rPr>
        <w:fldChar w:fldCharType="end"/>
      </w:r>
      <w:r w:rsidRPr="00BB0033">
        <w:rPr>
          <w:b/>
        </w:rPr>
        <w:t>.</w:t>
      </w:r>
      <w:r w:rsidRPr="00BB0033">
        <w:rPr>
          <w:b/>
        </w:rPr>
        <w:fldChar w:fldCharType="begin"/>
      </w:r>
      <w:r w:rsidRPr="00BB0033">
        <w:rPr>
          <w:b/>
        </w:rPr>
        <w:instrText xml:space="preserve"> SEQ Slika \* ARABIC \s 1 </w:instrText>
      </w:r>
      <w:r w:rsidRPr="00BB0033">
        <w:rPr>
          <w:b/>
        </w:rPr>
        <w:fldChar w:fldCharType="separate"/>
      </w:r>
      <w:r w:rsidR="009C319B" w:rsidRPr="00BB0033">
        <w:rPr>
          <w:b/>
          <w:noProof/>
        </w:rPr>
        <w:t>2</w:t>
      </w:r>
      <w:r w:rsidRPr="00BB0033">
        <w:rPr>
          <w:b/>
          <w:noProof/>
        </w:rPr>
        <w:fldChar w:fldCharType="end"/>
      </w:r>
      <w:bookmarkEnd w:id="27"/>
      <w:r w:rsidRPr="00BB0033">
        <w:rPr>
          <w:rFonts w:ascii="Calibri" w:eastAsia="Calibri" w:hAnsi="Calibri" w:cs="Times New Roman"/>
          <w:b/>
        </w:rPr>
        <w:t xml:space="preserve"> </w:t>
      </w:r>
      <w:r w:rsidR="000F64C5" w:rsidRPr="00BB0033">
        <w:rPr>
          <w:rFonts w:ascii="Calibri" w:eastAsia="Calibri" w:hAnsi="Calibri" w:cs="Times New Roman"/>
        </w:rPr>
        <w:t xml:space="preserve">Struktura potrošnje toplinske energije </w:t>
      </w:r>
      <w:r w:rsidR="003D1299" w:rsidRPr="00BB0033">
        <w:rPr>
          <w:rFonts w:ascii="Calibri" w:eastAsia="Calibri" w:hAnsi="Calibri" w:cs="Times New Roman"/>
        </w:rPr>
        <w:t>obrazovnih</w:t>
      </w:r>
      <w:r w:rsidR="00F82CB2" w:rsidRPr="00BB0033">
        <w:rPr>
          <w:rFonts w:ascii="Calibri" w:eastAsia="Calibri" w:hAnsi="Calibri" w:cs="Times New Roman"/>
        </w:rPr>
        <w:t xml:space="preserve"> ustanova u vlasništvu</w:t>
      </w:r>
      <w:r w:rsidR="000F64C5" w:rsidRPr="00BB0033">
        <w:rPr>
          <w:rFonts w:ascii="Calibri" w:eastAsia="Calibri" w:hAnsi="Calibri" w:cs="Times New Roman"/>
        </w:rPr>
        <w:t xml:space="preserve"> Grada Zagreba</w:t>
      </w:r>
      <w:r w:rsidR="00790363" w:rsidRPr="00BB0033">
        <w:rPr>
          <w:rFonts w:ascii="Calibri" w:eastAsia="Calibri" w:hAnsi="Calibri" w:cs="Times New Roman"/>
        </w:rPr>
        <w:t xml:space="preserve"> u 2015. godini</w:t>
      </w:r>
      <w:bookmarkEnd w:id="28"/>
    </w:p>
    <w:p w14:paraId="23F62B9E" w14:textId="07F624B1" w:rsidR="00C539F8" w:rsidRPr="00B21D56" w:rsidRDefault="00C539F8" w:rsidP="00E92750">
      <w:pPr>
        <w:suppressAutoHyphens/>
        <w:autoSpaceDN w:val="0"/>
        <w:spacing w:after="240" w:line="240" w:lineRule="auto"/>
        <w:jc w:val="both"/>
        <w:textAlignment w:val="baseline"/>
        <w:rPr>
          <w:rFonts w:ascii="Calibri" w:eastAsia="Calibri" w:hAnsi="Calibri" w:cs="Times New Roman"/>
        </w:rPr>
      </w:pPr>
      <w:r w:rsidRPr="00B21D56">
        <w:rPr>
          <w:rFonts w:ascii="Calibri" w:eastAsia="Calibri" w:hAnsi="Calibri" w:cs="Times New Roman"/>
        </w:rPr>
        <w:t>Gledajući udio pojedinih energenata u ukupnoj potrošnji toplin</w:t>
      </w:r>
      <w:r w:rsidR="002F0F14" w:rsidRPr="00B21D56">
        <w:rPr>
          <w:rFonts w:ascii="Calibri" w:eastAsia="Calibri" w:hAnsi="Calibri" w:cs="Times New Roman"/>
        </w:rPr>
        <w:t>ske energije kategorij</w:t>
      </w:r>
      <w:r w:rsidR="00790363" w:rsidRPr="00B21D56">
        <w:rPr>
          <w:rFonts w:ascii="Calibri" w:eastAsia="Calibri" w:hAnsi="Calibri" w:cs="Times New Roman"/>
        </w:rPr>
        <w:t xml:space="preserve">e </w:t>
      </w:r>
      <w:r w:rsidR="003D1299">
        <w:rPr>
          <w:rFonts w:ascii="Calibri" w:eastAsia="Calibri" w:hAnsi="Calibri" w:cs="Times New Roman"/>
        </w:rPr>
        <w:t>obrazovnih</w:t>
      </w:r>
      <w:r w:rsidR="00790363" w:rsidRPr="00B21D56">
        <w:rPr>
          <w:rFonts w:ascii="Calibri" w:eastAsia="Calibri" w:hAnsi="Calibri" w:cs="Times New Roman"/>
        </w:rPr>
        <w:t xml:space="preserve"> ustanova u 2015. godini,</w:t>
      </w:r>
      <w:r w:rsidRPr="00B21D56">
        <w:rPr>
          <w:rFonts w:ascii="Calibri" w:eastAsia="Calibri" w:hAnsi="Calibri" w:cs="Times New Roman"/>
        </w:rPr>
        <w:t xml:space="preserve"> omjer je sljedeći: prirodni plin 36,63%, </w:t>
      </w:r>
      <w:r w:rsidR="002F0F14" w:rsidRPr="00B21D56">
        <w:rPr>
          <w:rFonts w:ascii="Calibri" w:eastAsia="Calibri" w:hAnsi="Calibri" w:cs="Times New Roman"/>
        </w:rPr>
        <w:t xml:space="preserve">toplana vrelovod 35,25%, </w:t>
      </w:r>
      <w:r w:rsidRPr="00B21D56">
        <w:rPr>
          <w:rFonts w:ascii="Calibri" w:eastAsia="Calibri" w:hAnsi="Calibri" w:cs="Times New Roman"/>
        </w:rPr>
        <w:t>lož ulje 23</w:t>
      </w:r>
      <w:r w:rsidR="007F1F55" w:rsidRPr="00B21D56">
        <w:rPr>
          <w:rFonts w:ascii="Calibri" w:eastAsia="Calibri" w:hAnsi="Calibri" w:cs="Times New Roman"/>
        </w:rPr>
        <w:t>,79%</w:t>
      </w:r>
      <w:r w:rsidRPr="00B21D56">
        <w:rPr>
          <w:rFonts w:ascii="Calibri" w:eastAsia="Calibri" w:hAnsi="Calibri" w:cs="Times New Roman"/>
        </w:rPr>
        <w:t>,</w:t>
      </w:r>
      <w:r w:rsidR="00B74081" w:rsidRPr="00B21D56">
        <w:rPr>
          <w:rFonts w:ascii="Calibri" w:eastAsia="Calibri" w:hAnsi="Calibri" w:cs="Times New Roman"/>
        </w:rPr>
        <w:t xml:space="preserve"> toplana para 4,11%</w:t>
      </w:r>
      <w:r w:rsidR="00C35760">
        <w:rPr>
          <w:rFonts w:ascii="Calibri" w:eastAsia="Calibri" w:hAnsi="Calibri" w:cs="Times New Roman"/>
        </w:rPr>
        <w:t xml:space="preserve"> dok 0,22</w:t>
      </w:r>
      <w:r w:rsidRPr="00B21D56">
        <w:rPr>
          <w:rFonts w:ascii="Calibri" w:eastAsia="Calibri" w:hAnsi="Calibri" w:cs="Times New Roman"/>
        </w:rPr>
        <w:t>% se odnosi na električnu energiju, UNP i biomasu.</w:t>
      </w:r>
    </w:p>
    <w:p w14:paraId="3FEB2B35" w14:textId="35285E6C" w:rsidR="00802546" w:rsidRPr="00B21D56" w:rsidRDefault="001600EC" w:rsidP="00E92750">
      <w:pPr>
        <w:suppressAutoHyphens/>
        <w:autoSpaceDN w:val="0"/>
        <w:spacing w:after="0" w:line="240" w:lineRule="auto"/>
        <w:jc w:val="center"/>
        <w:textAlignment w:val="baseline"/>
        <w:rPr>
          <w:noProof/>
          <w:lang w:eastAsia="hr-HR"/>
        </w:rPr>
      </w:pPr>
      <w:r w:rsidRPr="00B21D56">
        <w:rPr>
          <w:noProof/>
          <w:lang w:eastAsia="hr-HR"/>
        </w:rPr>
        <w:lastRenderedPageBreak/>
        <w:drawing>
          <wp:inline distT="0" distB="0" distL="0" distR="0" wp14:anchorId="68BB3285" wp14:editId="4C955842">
            <wp:extent cx="4742597" cy="2941093"/>
            <wp:effectExtent l="0" t="0" r="127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1C16F9" w14:textId="49E938F2" w:rsidR="001600EC" w:rsidRPr="00BB0033" w:rsidRDefault="00307E2A" w:rsidP="00E92750">
      <w:pPr>
        <w:spacing w:line="240" w:lineRule="auto"/>
        <w:jc w:val="center"/>
        <w:rPr>
          <w:noProof/>
        </w:rPr>
      </w:pPr>
      <w:bookmarkStart w:id="29" w:name="_Ref461623765"/>
      <w:bookmarkStart w:id="30" w:name="_Toc468277407"/>
      <w:bookmarkStart w:id="31" w:name="_Toc258239016"/>
      <w:r w:rsidRPr="00BB0033">
        <w:rPr>
          <w:b/>
        </w:rPr>
        <w:t xml:space="preserve">Slika </w:t>
      </w:r>
      <w:r w:rsidRPr="00BB0033">
        <w:rPr>
          <w:b/>
        </w:rPr>
        <w:fldChar w:fldCharType="begin"/>
      </w:r>
      <w:r w:rsidRPr="00BB0033">
        <w:rPr>
          <w:b/>
        </w:rPr>
        <w:instrText xml:space="preserve"> STYLEREF 1 \s </w:instrText>
      </w:r>
      <w:r w:rsidRPr="00BB0033">
        <w:rPr>
          <w:b/>
        </w:rPr>
        <w:fldChar w:fldCharType="separate"/>
      </w:r>
      <w:r w:rsidR="009C319B" w:rsidRPr="00BB0033">
        <w:rPr>
          <w:b/>
          <w:noProof/>
        </w:rPr>
        <w:t>4</w:t>
      </w:r>
      <w:r w:rsidRPr="00BB0033">
        <w:rPr>
          <w:b/>
          <w:noProof/>
        </w:rPr>
        <w:fldChar w:fldCharType="end"/>
      </w:r>
      <w:r w:rsidRPr="00BB0033">
        <w:rPr>
          <w:b/>
        </w:rPr>
        <w:t>.</w:t>
      </w:r>
      <w:r w:rsidRPr="00BB0033">
        <w:rPr>
          <w:b/>
        </w:rPr>
        <w:fldChar w:fldCharType="begin"/>
      </w:r>
      <w:r w:rsidRPr="00BB0033">
        <w:rPr>
          <w:b/>
        </w:rPr>
        <w:instrText xml:space="preserve"> SEQ Slika \* ARABIC \s 1 </w:instrText>
      </w:r>
      <w:r w:rsidRPr="00BB0033">
        <w:rPr>
          <w:b/>
        </w:rPr>
        <w:fldChar w:fldCharType="separate"/>
      </w:r>
      <w:r w:rsidR="009C319B" w:rsidRPr="00BB0033">
        <w:rPr>
          <w:b/>
          <w:noProof/>
        </w:rPr>
        <w:t>3</w:t>
      </w:r>
      <w:r w:rsidRPr="00BB0033">
        <w:rPr>
          <w:b/>
          <w:noProof/>
        </w:rPr>
        <w:fldChar w:fldCharType="end"/>
      </w:r>
      <w:bookmarkEnd w:id="29"/>
      <w:r w:rsidR="001600EC" w:rsidRPr="00BB0033">
        <w:rPr>
          <w:b/>
          <w:noProof/>
        </w:rPr>
        <w:t xml:space="preserve"> </w:t>
      </w:r>
      <w:r w:rsidR="00131530" w:rsidRPr="00BB0033">
        <w:rPr>
          <w:noProof/>
        </w:rPr>
        <w:t>Specifična korisna energija za grijanje</w:t>
      </w:r>
      <w:r w:rsidR="00C43020" w:rsidRPr="00BB0033">
        <w:rPr>
          <w:noProof/>
        </w:rPr>
        <w:t xml:space="preserve"> </w:t>
      </w:r>
      <w:r w:rsidR="003D1299" w:rsidRPr="00BB0033">
        <w:rPr>
          <w:noProof/>
        </w:rPr>
        <w:t>obrazovnih</w:t>
      </w:r>
      <w:r w:rsidR="00C43020" w:rsidRPr="00BB0033">
        <w:rPr>
          <w:noProof/>
        </w:rPr>
        <w:t xml:space="preserve"> ustanova u vlasništvu</w:t>
      </w:r>
      <w:r w:rsidR="001600EC" w:rsidRPr="00BB0033">
        <w:rPr>
          <w:noProof/>
        </w:rPr>
        <w:t xml:space="preserve"> Grada Zagreba</w:t>
      </w:r>
      <w:r w:rsidR="00D508D0" w:rsidRPr="00BB0033">
        <w:rPr>
          <w:noProof/>
        </w:rPr>
        <w:t xml:space="preserve"> u 2015. godini</w:t>
      </w:r>
      <w:bookmarkEnd w:id="30"/>
    </w:p>
    <w:bookmarkEnd w:id="31"/>
    <w:p w14:paraId="576C461B" w14:textId="1EC2B1FA" w:rsidR="00802546" w:rsidRPr="000D208F" w:rsidRDefault="000D208F" w:rsidP="00E92750">
      <w:pPr>
        <w:suppressAutoHyphens/>
        <w:autoSpaceDN w:val="0"/>
        <w:spacing w:after="240" w:line="240" w:lineRule="auto"/>
        <w:jc w:val="both"/>
        <w:textAlignment w:val="baseline"/>
        <w:rPr>
          <w:rFonts w:ascii="Calibri" w:eastAsia="Calibri" w:hAnsi="Calibri" w:cs="Times New Roman"/>
        </w:rPr>
      </w:pPr>
      <w:r w:rsidRPr="000D208F">
        <w:rPr>
          <w:rFonts w:ascii="Calibri" w:eastAsia="Calibri" w:hAnsi="Calibri" w:cs="Times New Roman"/>
        </w:rPr>
        <w:t>Gledajući podk</w:t>
      </w:r>
      <w:r w:rsidR="004977D9" w:rsidRPr="000D208F">
        <w:rPr>
          <w:rFonts w:ascii="Calibri" w:eastAsia="Calibri" w:hAnsi="Calibri" w:cs="Times New Roman"/>
        </w:rPr>
        <w:t xml:space="preserve">ategorije </w:t>
      </w:r>
      <w:r w:rsidR="003D1299">
        <w:rPr>
          <w:rFonts w:ascii="Calibri" w:eastAsia="Calibri" w:hAnsi="Calibri" w:cs="Times New Roman"/>
        </w:rPr>
        <w:t>obrazovnih</w:t>
      </w:r>
      <w:r w:rsidR="00DF509F" w:rsidRPr="000D208F">
        <w:rPr>
          <w:rFonts w:ascii="Calibri" w:eastAsia="Calibri" w:hAnsi="Calibri" w:cs="Times New Roman"/>
        </w:rPr>
        <w:t xml:space="preserve"> ust</w:t>
      </w:r>
      <w:r w:rsidR="00D9645E" w:rsidRPr="000D208F">
        <w:rPr>
          <w:rFonts w:ascii="Calibri" w:eastAsia="Calibri" w:hAnsi="Calibri" w:cs="Times New Roman"/>
        </w:rPr>
        <w:t>anova u 2015. godini</w:t>
      </w:r>
      <w:r w:rsidR="004977D9" w:rsidRPr="000D208F">
        <w:rPr>
          <w:rFonts w:ascii="Calibri" w:eastAsia="Calibri" w:hAnsi="Calibri" w:cs="Times New Roman"/>
        </w:rPr>
        <w:t>, n</w:t>
      </w:r>
      <w:r w:rsidR="00802546" w:rsidRPr="000D208F">
        <w:rPr>
          <w:rFonts w:ascii="Calibri" w:eastAsia="Calibri" w:hAnsi="Calibri" w:cs="Times New Roman"/>
        </w:rPr>
        <w:t>ajveća specifična</w:t>
      </w:r>
      <w:r w:rsidR="00DF509F" w:rsidRPr="000D208F">
        <w:rPr>
          <w:rFonts w:ascii="Calibri" w:eastAsia="Calibri" w:hAnsi="Calibri" w:cs="Times New Roman"/>
        </w:rPr>
        <w:t xml:space="preserve"> korisna</w:t>
      </w:r>
      <w:r w:rsidR="00802546" w:rsidRPr="000D208F">
        <w:rPr>
          <w:rFonts w:ascii="Calibri" w:eastAsia="Calibri" w:hAnsi="Calibri" w:cs="Times New Roman"/>
        </w:rPr>
        <w:t xml:space="preserve"> </w:t>
      </w:r>
      <w:r w:rsidR="00DF509F" w:rsidRPr="000D208F">
        <w:rPr>
          <w:rFonts w:ascii="Calibri" w:eastAsia="Calibri" w:hAnsi="Calibri" w:cs="Times New Roman"/>
        </w:rPr>
        <w:t>energija</w:t>
      </w:r>
      <w:r w:rsidR="00802546" w:rsidRPr="000D208F">
        <w:rPr>
          <w:rFonts w:ascii="Calibri" w:eastAsia="Calibri" w:hAnsi="Calibri" w:cs="Times New Roman"/>
        </w:rPr>
        <w:t xml:space="preserve"> za grijanje prisutna je u objektima dječji</w:t>
      </w:r>
      <w:r w:rsidR="009A7662">
        <w:rPr>
          <w:rFonts w:ascii="Calibri" w:eastAsia="Calibri" w:hAnsi="Calibri" w:cs="Times New Roman"/>
        </w:rPr>
        <w:t>h</w:t>
      </w:r>
      <w:r w:rsidR="00802546" w:rsidRPr="000D208F">
        <w:rPr>
          <w:rFonts w:ascii="Calibri" w:eastAsia="Calibri" w:hAnsi="Calibri" w:cs="Times New Roman"/>
        </w:rPr>
        <w:t xml:space="preserve"> vrtić</w:t>
      </w:r>
      <w:r w:rsidR="009A7662">
        <w:rPr>
          <w:rFonts w:ascii="Calibri" w:eastAsia="Calibri" w:hAnsi="Calibri" w:cs="Times New Roman"/>
        </w:rPr>
        <w:t>a</w:t>
      </w:r>
      <w:r w:rsidR="00802546" w:rsidRPr="000D208F">
        <w:rPr>
          <w:rFonts w:ascii="Calibri" w:eastAsia="Calibri" w:hAnsi="Calibri" w:cs="Times New Roman"/>
        </w:rPr>
        <w:t>, zatim srednj</w:t>
      </w:r>
      <w:r w:rsidR="009A7662">
        <w:rPr>
          <w:rFonts w:ascii="Calibri" w:eastAsia="Calibri" w:hAnsi="Calibri" w:cs="Times New Roman"/>
        </w:rPr>
        <w:t>ih</w:t>
      </w:r>
      <w:r w:rsidR="00802546" w:rsidRPr="000D208F">
        <w:rPr>
          <w:rFonts w:ascii="Calibri" w:eastAsia="Calibri" w:hAnsi="Calibri" w:cs="Times New Roman"/>
        </w:rPr>
        <w:t xml:space="preserve"> škol</w:t>
      </w:r>
      <w:r w:rsidR="009A7662">
        <w:rPr>
          <w:rFonts w:ascii="Calibri" w:eastAsia="Calibri" w:hAnsi="Calibri" w:cs="Times New Roman"/>
        </w:rPr>
        <w:t>a</w:t>
      </w:r>
      <w:r w:rsidR="00802546" w:rsidRPr="000D208F">
        <w:rPr>
          <w:rFonts w:ascii="Calibri" w:eastAsia="Calibri" w:hAnsi="Calibri" w:cs="Times New Roman"/>
        </w:rPr>
        <w:t xml:space="preserve"> i učenički</w:t>
      </w:r>
      <w:r w:rsidR="009A7662">
        <w:rPr>
          <w:rFonts w:ascii="Calibri" w:eastAsia="Calibri" w:hAnsi="Calibri" w:cs="Times New Roman"/>
        </w:rPr>
        <w:t>h</w:t>
      </w:r>
      <w:r w:rsidR="00802546" w:rsidRPr="000D208F">
        <w:rPr>
          <w:rFonts w:ascii="Calibri" w:eastAsia="Calibri" w:hAnsi="Calibri" w:cs="Times New Roman"/>
        </w:rPr>
        <w:t xml:space="preserve"> domov</w:t>
      </w:r>
      <w:r w:rsidR="009A7662">
        <w:rPr>
          <w:rFonts w:ascii="Calibri" w:eastAsia="Calibri" w:hAnsi="Calibri" w:cs="Times New Roman"/>
        </w:rPr>
        <w:t>a</w:t>
      </w:r>
      <w:r w:rsidR="00802546" w:rsidRPr="000D208F">
        <w:rPr>
          <w:rFonts w:ascii="Calibri" w:eastAsia="Calibri" w:hAnsi="Calibri" w:cs="Times New Roman"/>
        </w:rPr>
        <w:t>, dok je najmanja specifična potrošnja energije zabilježena u objektima osnovnih škola.</w:t>
      </w:r>
    </w:p>
    <w:p w14:paraId="7ED3073D" w14:textId="5993AA70" w:rsidR="000F64C5" w:rsidRPr="000D208F" w:rsidRDefault="007E1FDE" w:rsidP="00E92750">
      <w:pPr>
        <w:suppressAutoHyphens/>
        <w:autoSpaceDN w:val="0"/>
        <w:spacing w:after="0" w:line="240" w:lineRule="auto"/>
        <w:jc w:val="center"/>
        <w:textAlignment w:val="baseline"/>
        <w:rPr>
          <w:noProof/>
          <w:lang w:eastAsia="hr-HR"/>
        </w:rPr>
      </w:pPr>
      <w:r w:rsidRPr="000D208F">
        <w:rPr>
          <w:noProof/>
          <w:lang w:eastAsia="hr-HR"/>
        </w:rPr>
        <w:drawing>
          <wp:inline distT="0" distB="0" distL="0" distR="0" wp14:anchorId="10FE6295" wp14:editId="22743125">
            <wp:extent cx="5381625" cy="321945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640621" w14:textId="66AA0FAA" w:rsidR="004977D9" w:rsidRPr="00BB0033" w:rsidRDefault="00307E2A" w:rsidP="00E92750">
      <w:pPr>
        <w:spacing w:line="240" w:lineRule="auto"/>
        <w:jc w:val="center"/>
        <w:rPr>
          <w:noProof/>
        </w:rPr>
      </w:pPr>
      <w:bookmarkStart w:id="32" w:name="_Ref461623953"/>
      <w:bookmarkStart w:id="33" w:name="_Toc468277408"/>
      <w:r w:rsidRPr="00BB0033">
        <w:rPr>
          <w:b/>
        </w:rPr>
        <w:t xml:space="preserve">Slika </w:t>
      </w:r>
      <w:r w:rsidRPr="00BB0033">
        <w:rPr>
          <w:b/>
        </w:rPr>
        <w:fldChar w:fldCharType="begin"/>
      </w:r>
      <w:r w:rsidRPr="00BB0033">
        <w:rPr>
          <w:b/>
        </w:rPr>
        <w:instrText xml:space="preserve"> STYLEREF 1 \s </w:instrText>
      </w:r>
      <w:r w:rsidRPr="00BB0033">
        <w:rPr>
          <w:b/>
        </w:rPr>
        <w:fldChar w:fldCharType="separate"/>
      </w:r>
      <w:r w:rsidR="009C319B" w:rsidRPr="00BB0033">
        <w:rPr>
          <w:b/>
          <w:noProof/>
        </w:rPr>
        <w:t>4</w:t>
      </w:r>
      <w:r w:rsidRPr="00BB0033">
        <w:rPr>
          <w:b/>
          <w:noProof/>
        </w:rPr>
        <w:fldChar w:fldCharType="end"/>
      </w:r>
      <w:r w:rsidRPr="00BB0033">
        <w:rPr>
          <w:b/>
        </w:rPr>
        <w:t>.</w:t>
      </w:r>
      <w:r w:rsidRPr="00BB0033">
        <w:rPr>
          <w:b/>
        </w:rPr>
        <w:fldChar w:fldCharType="begin"/>
      </w:r>
      <w:r w:rsidRPr="00BB0033">
        <w:rPr>
          <w:b/>
        </w:rPr>
        <w:instrText xml:space="preserve"> SEQ Slika \* ARABIC \s 1 </w:instrText>
      </w:r>
      <w:r w:rsidRPr="00BB0033">
        <w:rPr>
          <w:b/>
        </w:rPr>
        <w:fldChar w:fldCharType="separate"/>
      </w:r>
      <w:r w:rsidR="009C319B" w:rsidRPr="00BB0033">
        <w:rPr>
          <w:b/>
          <w:noProof/>
        </w:rPr>
        <w:t>4</w:t>
      </w:r>
      <w:r w:rsidRPr="00BB0033">
        <w:rPr>
          <w:b/>
          <w:noProof/>
        </w:rPr>
        <w:fldChar w:fldCharType="end"/>
      </w:r>
      <w:bookmarkEnd w:id="32"/>
      <w:r w:rsidR="004628A4" w:rsidRPr="00BB0033">
        <w:rPr>
          <w:b/>
          <w:noProof/>
        </w:rPr>
        <w:t xml:space="preserve"> </w:t>
      </w:r>
      <w:r w:rsidR="00131530" w:rsidRPr="00BB0033">
        <w:rPr>
          <w:noProof/>
        </w:rPr>
        <w:t>Specifična korisna energija za grijanje</w:t>
      </w:r>
      <w:r w:rsidR="004628A4" w:rsidRPr="00BB0033">
        <w:rPr>
          <w:noProof/>
        </w:rPr>
        <w:t xml:space="preserve"> prema energentu </w:t>
      </w:r>
      <w:r w:rsidR="003D1299" w:rsidRPr="00BB0033">
        <w:rPr>
          <w:noProof/>
        </w:rPr>
        <w:t>obrazovnih</w:t>
      </w:r>
      <w:r w:rsidR="00495F0C" w:rsidRPr="00BB0033">
        <w:rPr>
          <w:noProof/>
        </w:rPr>
        <w:t xml:space="preserve"> ustanova u vlasništvu</w:t>
      </w:r>
      <w:r w:rsidR="004628A4" w:rsidRPr="00BB0033">
        <w:rPr>
          <w:noProof/>
        </w:rPr>
        <w:t xml:space="preserve"> Grada Zagreba</w:t>
      </w:r>
      <w:r w:rsidR="00F305B5" w:rsidRPr="00BB0033">
        <w:rPr>
          <w:noProof/>
        </w:rPr>
        <w:t xml:space="preserve"> u 2015. godini</w:t>
      </w:r>
      <w:bookmarkEnd w:id="33"/>
    </w:p>
    <w:p w14:paraId="033849DC" w14:textId="542B9A9F" w:rsidR="001545E2" w:rsidRPr="000D3B10" w:rsidRDefault="004977D9" w:rsidP="00E92750">
      <w:pPr>
        <w:spacing w:line="240" w:lineRule="auto"/>
        <w:jc w:val="both"/>
        <w:rPr>
          <w:noProof/>
        </w:rPr>
      </w:pPr>
      <w:r w:rsidRPr="000D3B10">
        <w:rPr>
          <w:noProof/>
        </w:rPr>
        <w:t xml:space="preserve">Gledajući </w:t>
      </w:r>
      <w:r w:rsidR="00DF509F" w:rsidRPr="000D3B10">
        <w:rPr>
          <w:noProof/>
        </w:rPr>
        <w:t xml:space="preserve">energente, u kategoriji </w:t>
      </w:r>
      <w:r w:rsidR="003D1299">
        <w:rPr>
          <w:noProof/>
        </w:rPr>
        <w:t>obrazovnih</w:t>
      </w:r>
      <w:r w:rsidR="00DF509F" w:rsidRPr="000D3B10">
        <w:rPr>
          <w:noProof/>
        </w:rPr>
        <w:t xml:space="preserve"> ust</w:t>
      </w:r>
      <w:r w:rsidR="00D9645E" w:rsidRPr="000D3B10">
        <w:rPr>
          <w:noProof/>
        </w:rPr>
        <w:t>anova u 2015. godini</w:t>
      </w:r>
      <w:r w:rsidR="00DF509F" w:rsidRPr="000D3B10">
        <w:rPr>
          <w:noProof/>
        </w:rPr>
        <w:t>,</w:t>
      </w:r>
      <w:r w:rsidRPr="000D3B10">
        <w:rPr>
          <w:noProof/>
        </w:rPr>
        <w:t xml:space="preserve"> najveća </w:t>
      </w:r>
      <w:r w:rsidR="00DF509F" w:rsidRPr="000D3B10">
        <w:rPr>
          <w:noProof/>
        </w:rPr>
        <w:t>s</w:t>
      </w:r>
      <w:r w:rsidR="00131530" w:rsidRPr="000D3B10">
        <w:rPr>
          <w:noProof/>
        </w:rPr>
        <w:t>pecifična korisna energija za grijanje</w:t>
      </w:r>
      <w:r w:rsidRPr="000D3B10">
        <w:rPr>
          <w:noProof/>
        </w:rPr>
        <w:t xml:space="preserve"> zabilježena je u objektima koji za grijanje koriste UNP (177,78 kWh/m</w:t>
      </w:r>
      <w:r w:rsidRPr="000D3B10">
        <w:rPr>
          <w:noProof/>
          <w:vertAlign w:val="superscript"/>
        </w:rPr>
        <w:t>2</w:t>
      </w:r>
      <w:r w:rsidRPr="000D3B10">
        <w:rPr>
          <w:noProof/>
        </w:rPr>
        <w:t>), dok je na</w:t>
      </w:r>
      <w:r w:rsidR="007E1FDE" w:rsidRPr="000D3B10">
        <w:rPr>
          <w:noProof/>
        </w:rPr>
        <w:t>jmanja</w:t>
      </w:r>
      <w:r w:rsidR="00D9645E" w:rsidRPr="000D3B10">
        <w:rPr>
          <w:noProof/>
        </w:rPr>
        <w:t xml:space="preserve"> zabilježena</w:t>
      </w:r>
      <w:r w:rsidR="007E1FDE" w:rsidRPr="000D3B10">
        <w:rPr>
          <w:noProof/>
        </w:rPr>
        <w:t xml:space="preserve"> u objektima koji se griju parom iz toplane</w:t>
      </w:r>
      <w:r w:rsidRPr="000D3B10">
        <w:rPr>
          <w:noProof/>
        </w:rPr>
        <w:t xml:space="preserve"> (1</w:t>
      </w:r>
      <w:r w:rsidR="00DF509F" w:rsidRPr="000D3B10">
        <w:rPr>
          <w:noProof/>
        </w:rPr>
        <w:t>33,21</w:t>
      </w:r>
      <w:r w:rsidRPr="000D3B10">
        <w:rPr>
          <w:noProof/>
        </w:rPr>
        <w:t xml:space="preserve"> kWh/m</w:t>
      </w:r>
      <w:r w:rsidRPr="000D3B10">
        <w:rPr>
          <w:noProof/>
          <w:vertAlign w:val="superscript"/>
        </w:rPr>
        <w:t>2</w:t>
      </w:r>
      <w:r w:rsidRPr="000D3B10">
        <w:rPr>
          <w:noProof/>
        </w:rPr>
        <w:t>).</w:t>
      </w:r>
    </w:p>
    <w:p w14:paraId="0A65362C" w14:textId="0896E4C2" w:rsidR="001545E2" w:rsidRPr="00836825" w:rsidRDefault="001545E2" w:rsidP="00E92750">
      <w:pPr>
        <w:pStyle w:val="Heading3"/>
        <w:spacing w:after="240" w:line="240" w:lineRule="auto"/>
        <w:jc w:val="both"/>
        <w:rPr>
          <w:lang w:eastAsia="hr-HR"/>
        </w:rPr>
      </w:pPr>
      <w:bookmarkStart w:id="34" w:name="_Toc468345348"/>
      <w:r w:rsidRPr="00836825">
        <w:rPr>
          <w:lang w:eastAsia="hr-HR"/>
        </w:rPr>
        <w:lastRenderedPageBreak/>
        <w:t>Zdravstvene ustanove i ustanove socijalne zaštite u vlasništvu Grada Zagreba</w:t>
      </w:r>
      <w:bookmarkEnd w:id="34"/>
    </w:p>
    <w:p w14:paraId="67DBF346" w14:textId="14B3831C" w:rsidR="001545E2" w:rsidRPr="00836825" w:rsidRDefault="00436C9B" w:rsidP="00E92750">
      <w:pPr>
        <w:suppressAutoHyphens/>
        <w:autoSpaceDN w:val="0"/>
        <w:spacing w:after="120" w:line="240" w:lineRule="auto"/>
        <w:jc w:val="both"/>
        <w:textAlignment w:val="baseline"/>
        <w:rPr>
          <w:rFonts w:ascii="Calibri" w:eastAsia="Calibri" w:hAnsi="Calibri" w:cs="Times New Roman"/>
        </w:rPr>
      </w:pPr>
      <w:r w:rsidRPr="00836825">
        <w:rPr>
          <w:rFonts w:ascii="Calibri" w:eastAsia="Calibri" w:hAnsi="Calibri" w:cs="Times New Roman"/>
        </w:rPr>
        <w:t>O</w:t>
      </w:r>
      <w:r w:rsidR="0062089D" w:rsidRPr="00836825">
        <w:rPr>
          <w:rFonts w:ascii="Calibri" w:eastAsia="Calibri" w:hAnsi="Calibri" w:cs="Times New Roman"/>
        </w:rPr>
        <w:t xml:space="preserve">bjekti </w:t>
      </w:r>
      <w:r w:rsidR="003F749D" w:rsidRPr="00836825">
        <w:rPr>
          <w:rFonts w:ascii="Calibri" w:eastAsia="Calibri" w:hAnsi="Calibri" w:cs="Times New Roman"/>
        </w:rPr>
        <w:t>zdrav</w:t>
      </w:r>
      <w:r w:rsidR="00E05A33" w:rsidRPr="00836825">
        <w:rPr>
          <w:rFonts w:ascii="Calibri" w:eastAsia="Calibri" w:hAnsi="Calibri" w:cs="Times New Roman"/>
        </w:rPr>
        <w:t>stva i socijalne zaštite</w:t>
      </w:r>
      <w:r w:rsidR="0062089D" w:rsidRPr="00836825">
        <w:rPr>
          <w:rFonts w:ascii="Calibri" w:eastAsia="Calibri" w:hAnsi="Calibri" w:cs="Times New Roman"/>
        </w:rPr>
        <w:t xml:space="preserve"> u </w:t>
      </w:r>
      <w:r w:rsidR="002D2657" w:rsidRPr="00836825">
        <w:rPr>
          <w:rFonts w:ascii="Calibri" w:eastAsia="Calibri" w:hAnsi="Calibri" w:cs="Times New Roman"/>
        </w:rPr>
        <w:t>vlasništvu Grada Zagreba</w:t>
      </w:r>
      <w:r w:rsidR="0062089D" w:rsidRPr="00836825">
        <w:rPr>
          <w:rFonts w:ascii="Calibri" w:eastAsia="Calibri" w:hAnsi="Calibri" w:cs="Times New Roman"/>
        </w:rPr>
        <w:t xml:space="preserve"> podijeljeni su</w:t>
      </w:r>
      <w:r w:rsidR="001545E2" w:rsidRPr="00836825">
        <w:rPr>
          <w:rFonts w:ascii="Calibri" w:eastAsia="Calibri" w:hAnsi="Calibri" w:cs="Times New Roman"/>
        </w:rPr>
        <w:t xml:space="preserve"> u</w:t>
      </w:r>
      <w:r w:rsidRPr="00836825">
        <w:rPr>
          <w:rFonts w:ascii="Calibri" w:eastAsia="Calibri" w:hAnsi="Calibri" w:cs="Times New Roman"/>
        </w:rPr>
        <w:t xml:space="preserve"> sljedeće</w:t>
      </w:r>
      <w:r w:rsidR="00B74FC6">
        <w:rPr>
          <w:rFonts w:ascii="Calibri" w:eastAsia="Calibri" w:hAnsi="Calibri" w:cs="Times New Roman"/>
        </w:rPr>
        <w:t xml:space="preserve"> pod</w:t>
      </w:r>
      <w:r w:rsidR="001545E2" w:rsidRPr="00836825">
        <w:rPr>
          <w:rFonts w:ascii="Calibri" w:eastAsia="Calibri" w:hAnsi="Calibri" w:cs="Times New Roman"/>
        </w:rPr>
        <w:t>kategorije:</w:t>
      </w:r>
    </w:p>
    <w:p w14:paraId="7C10B498" w14:textId="31F08E60" w:rsidR="001545E2" w:rsidRPr="00836825" w:rsidRDefault="0023515E" w:rsidP="00EE7021">
      <w:pPr>
        <w:numPr>
          <w:ilvl w:val="0"/>
          <w:numId w:val="18"/>
        </w:numPr>
        <w:suppressAutoHyphens/>
        <w:autoSpaceDN w:val="0"/>
        <w:spacing w:after="0" w:line="240" w:lineRule="auto"/>
        <w:jc w:val="both"/>
        <w:textAlignment w:val="baseline"/>
        <w:rPr>
          <w:rFonts w:ascii="Calibri" w:eastAsia="Calibri" w:hAnsi="Calibri" w:cs="Times New Roman"/>
        </w:rPr>
      </w:pPr>
      <w:r w:rsidRPr="00836825">
        <w:rPr>
          <w:rFonts w:ascii="Calibri" w:eastAsia="Calibri" w:hAnsi="Calibri" w:cs="Times New Roman"/>
        </w:rPr>
        <w:t>Domovi zdravlja</w:t>
      </w:r>
      <w:r w:rsidR="001545E2" w:rsidRPr="00836825">
        <w:rPr>
          <w:rFonts w:ascii="Calibri" w:eastAsia="Calibri" w:hAnsi="Calibri" w:cs="Times New Roman"/>
        </w:rPr>
        <w:t>;</w:t>
      </w:r>
    </w:p>
    <w:p w14:paraId="27ED2833" w14:textId="6832CA0D" w:rsidR="001545E2" w:rsidRPr="00836825" w:rsidRDefault="0023515E" w:rsidP="00EE7021">
      <w:pPr>
        <w:numPr>
          <w:ilvl w:val="0"/>
          <w:numId w:val="18"/>
        </w:numPr>
        <w:suppressAutoHyphens/>
        <w:autoSpaceDN w:val="0"/>
        <w:spacing w:after="0" w:line="240" w:lineRule="auto"/>
        <w:jc w:val="both"/>
        <w:textAlignment w:val="baseline"/>
        <w:rPr>
          <w:rFonts w:ascii="Calibri" w:eastAsia="Calibri" w:hAnsi="Calibri" w:cs="Times New Roman"/>
        </w:rPr>
      </w:pPr>
      <w:r w:rsidRPr="00836825">
        <w:rPr>
          <w:rFonts w:ascii="Calibri" w:eastAsia="Calibri" w:hAnsi="Calibri" w:cs="Times New Roman"/>
        </w:rPr>
        <w:t>Bolnice</w:t>
      </w:r>
      <w:r w:rsidR="00850D37" w:rsidRPr="00836825">
        <w:rPr>
          <w:rFonts w:ascii="Calibri" w:eastAsia="Calibri" w:hAnsi="Calibri" w:cs="Times New Roman"/>
        </w:rPr>
        <w:t>, ambulante</w:t>
      </w:r>
      <w:r w:rsidRPr="00836825">
        <w:rPr>
          <w:rFonts w:ascii="Calibri" w:eastAsia="Calibri" w:hAnsi="Calibri" w:cs="Times New Roman"/>
        </w:rPr>
        <w:t xml:space="preserve"> i poliklinike</w:t>
      </w:r>
      <w:r w:rsidR="005F20D6">
        <w:rPr>
          <w:rFonts w:ascii="Calibri" w:eastAsia="Calibri" w:hAnsi="Calibri" w:cs="Times New Roman"/>
        </w:rPr>
        <w:t>;</w:t>
      </w:r>
    </w:p>
    <w:p w14:paraId="502C0577" w14:textId="7C131F18" w:rsidR="001545E2" w:rsidRDefault="0023515E" w:rsidP="00EE7021">
      <w:pPr>
        <w:numPr>
          <w:ilvl w:val="0"/>
          <w:numId w:val="18"/>
        </w:numPr>
        <w:suppressAutoHyphens/>
        <w:autoSpaceDN w:val="0"/>
        <w:spacing w:after="0" w:line="240" w:lineRule="auto"/>
        <w:jc w:val="both"/>
        <w:textAlignment w:val="baseline"/>
        <w:rPr>
          <w:rFonts w:ascii="Calibri" w:eastAsia="Calibri" w:hAnsi="Calibri" w:cs="Times New Roman"/>
        </w:rPr>
      </w:pPr>
      <w:r w:rsidRPr="00836825">
        <w:rPr>
          <w:rFonts w:ascii="Calibri" w:eastAsia="Calibri" w:hAnsi="Calibri" w:cs="Times New Roman"/>
        </w:rPr>
        <w:t>Domovi za starije i nemoćne</w:t>
      </w:r>
      <w:r w:rsidR="005F20D6">
        <w:rPr>
          <w:rFonts w:ascii="Calibri" w:eastAsia="Calibri" w:hAnsi="Calibri" w:cs="Times New Roman"/>
        </w:rPr>
        <w:t xml:space="preserve"> i</w:t>
      </w:r>
    </w:p>
    <w:p w14:paraId="2887C812" w14:textId="52C8CFA6" w:rsidR="005F20D6" w:rsidRPr="00836825" w:rsidRDefault="005F20D6" w:rsidP="00EE7021">
      <w:pPr>
        <w:numPr>
          <w:ilvl w:val="0"/>
          <w:numId w:val="18"/>
        </w:numPr>
        <w:suppressAutoHyphens/>
        <w:autoSpaceDN w:val="0"/>
        <w:spacing w:after="240" w:line="240" w:lineRule="auto"/>
        <w:jc w:val="both"/>
        <w:textAlignment w:val="baseline"/>
        <w:rPr>
          <w:rFonts w:ascii="Calibri" w:eastAsia="Calibri" w:hAnsi="Calibri" w:cs="Times New Roman"/>
        </w:rPr>
      </w:pPr>
      <w:r>
        <w:rPr>
          <w:rFonts w:ascii="Calibri" w:eastAsia="Calibri" w:hAnsi="Calibri" w:cs="Times New Roman"/>
        </w:rPr>
        <w:t>Ured za socijalnu zaštitu – restorani.</w:t>
      </w:r>
    </w:p>
    <w:p w14:paraId="43DA975F" w14:textId="6DEBCAD9" w:rsidR="001545E2" w:rsidRPr="00836825" w:rsidRDefault="001545E2" w:rsidP="00E92750">
      <w:pPr>
        <w:suppressAutoHyphens/>
        <w:autoSpaceDN w:val="0"/>
        <w:spacing w:after="240" w:line="240" w:lineRule="auto"/>
        <w:jc w:val="both"/>
        <w:textAlignment w:val="baseline"/>
        <w:rPr>
          <w:rFonts w:ascii="Calibri" w:eastAsia="Calibri" w:hAnsi="Calibri" w:cs="Times New Roman"/>
        </w:rPr>
      </w:pPr>
      <w:r w:rsidRPr="00836825">
        <w:rPr>
          <w:rFonts w:ascii="Calibri" w:eastAsia="Calibri" w:hAnsi="Calibri" w:cs="Times New Roman"/>
        </w:rPr>
        <w:t>U</w:t>
      </w:r>
      <w:r w:rsidR="003F749D" w:rsidRPr="00836825">
        <w:rPr>
          <w:rFonts w:ascii="Calibri" w:eastAsia="Calibri" w:hAnsi="Calibri" w:cs="Times New Roman"/>
        </w:rPr>
        <w:t xml:space="preserve"> Gradu Zagrebu je 96 objekta domova zdravlja, ukupne površine 77 901,74</w:t>
      </w:r>
      <w:r w:rsidRPr="00836825">
        <w:rPr>
          <w:rFonts w:ascii="Calibri" w:eastAsia="Calibri" w:hAnsi="Calibri" w:cs="Times New Roman"/>
        </w:rPr>
        <w:t xml:space="preserve"> m</w:t>
      </w:r>
      <w:r w:rsidRPr="00836825">
        <w:rPr>
          <w:rFonts w:ascii="Calibri" w:eastAsia="Calibri" w:hAnsi="Calibri" w:cs="Times New Roman"/>
          <w:vertAlign w:val="superscript"/>
        </w:rPr>
        <w:t>2</w:t>
      </w:r>
      <w:r w:rsidR="003F749D" w:rsidRPr="00836825">
        <w:rPr>
          <w:rFonts w:ascii="Calibri" w:eastAsia="Calibri" w:hAnsi="Calibri" w:cs="Times New Roman"/>
        </w:rPr>
        <w:t xml:space="preserve">, 27 objekta bolnica, ambulanti i poliklinika, ukupne površine </w:t>
      </w:r>
      <w:r w:rsidR="00C01087" w:rsidRPr="00836825">
        <w:rPr>
          <w:rFonts w:ascii="Calibri" w:eastAsia="Calibri" w:hAnsi="Calibri" w:cs="Times New Roman"/>
        </w:rPr>
        <w:t xml:space="preserve">99 </w:t>
      </w:r>
      <w:r w:rsidR="003F749D" w:rsidRPr="00836825">
        <w:rPr>
          <w:rFonts w:ascii="Calibri" w:eastAsia="Calibri" w:hAnsi="Calibri" w:cs="Times New Roman"/>
        </w:rPr>
        <w:t>928,71</w:t>
      </w:r>
      <w:r w:rsidRPr="00836825">
        <w:rPr>
          <w:rFonts w:ascii="Calibri" w:eastAsia="Calibri" w:hAnsi="Calibri" w:cs="Times New Roman"/>
        </w:rPr>
        <w:t xml:space="preserve"> m</w:t>
      </w:r>
      <w:r w:rsidRPr="00836825">
        <w:rPr>
          <w:rFonts w:ascii="Calibri" w:eastAsia="Calibri" w:hAnsi="Calibri" w:cs="Times New Roman"/>
          <w:vertAlign w:val="superscript"/>
        </w:rPr>
        <w:t>2</w:t>
      </w:r>
      <w:r w:rsidR="00CB1F99">
        <w:rPr>
          <w:rFonts w:ascii="Calibri" w:eastAsia="Calibri" w:hAnsi="Calibri" w:cs="Times New Roman"/>
        </w:rPr>
        <w:t xml:space="preserve">, </w:t>
      </w:r>
      <w:r w:rsidR="003F749D" w:rsidRPr="00836825">
        <w:rPr>
          <w:rFonts w:ascii="Calibri" w:eastAsia="Calibri" w:hAnsi="Calibri" w:cs="Times New Roman"/>
        </w:rPr>
        <w:t>17 objekata domova za starije i nemoćne</w:t>
      </w:r>
      <w:r w:rsidRPr="00836825">
        <w:rPr>
          <w:rFonts w:ascii="Calibri" w:eastAsia="Calibri" w:hAnsi="Calibri" w:cs="Times New Roman"/>
        </w:rPr>
        <w:t>, ukupne površine</w:t>
      </w:r>
      <w:r w:rsidR="00C01087" w:rsidRPr="00836825">
        <w:rPr>
          <w:rFonts w:ascii="Calibri" w:eastAsia="Calibri" w:hAnsi="Calibri" w:cs="Times New Roman"/>
        </w:rPr>
        <w:t xml:space="preserve"> 116 452,47</w:t>
      </w:r>
      <w:r w:rsidRPr="00836825">
        <w:rPr>
          <w:rFonts w:ascii="Calibri" w:eastAsia="Calibri" w:hAnsi="Calibri" w:cs="Times New Roman"/>
        </w:rPr>
        <w:t xml:space="preserve"> m</w:t>
      </w:r>
      <w:r w:rsidRPr="00836825">
        <w:rPr>
          <w:rFonts w:ascii="Calibri" w:eastAsia="Calibri" w:hAnsi="Calibri" w:cs="Times New Roman"/>
          <w:vertAlign w:val="superscript"/>
        </w:rPr>
        <w:t>2</w:t>
      </w:r>
      <w:r w:rsidR="00CB1F99">
        <w:rPr>
          <w:rFonts w:ascii="Calibri" w:eastAsia="Calibri" w:hAnsi="Calibri" w:cs="Times New Roman"/>
          <w:vertAlign w:val="superscript"/>
        </w:rPr>
        <w:t xml:space="preserve"> </w:t>
      </w:r>
      <w:r w:rsidR="00CB1F99" w:rsidRPr="00CB1F99">
        <w:rPr>
          <w:rFonts w:ascii="Calibri" w:eastAsia="Calibri" w:hAnsi="Calibri" w:cs="Times New Roman"/>
        </w:rPr>
        <w:t>i četiri restorana</w:t>
      </w:r>
      <w:r w:rsidR="00CB1F99">
        <w:rPr>
          <w:rFonts w:ascii="Calibri" w:eastAsia="Calibri" w:hAnsi="Calibri" w:cs="Times New Roman"/>
        </w:rPr>
        <w:t xml:space="preserve"> ukupne površine 3 515 m</w:t>
      </w:r>
      <w:r w:rsidR="00CB1F99" w:rsidRPr="00CB1F99">
        <w:rPr>
          <w:rFonts w:ascii="Calibri" w:eastAsia="Calibri" w:hAnsi="Calibri" w:cs="Times New Roman"/>
          <w:vertAlign w:val="superscript"/>
        </w:rPr>
        <w:t>2</w:t>
      </w:r>
      <w:r w:rsidR="00CB1F99">
        <w:rPr>
          <w:rFonts w:ascii="Calibri" w:eastAsia="Calibri" w:hAnsi="Calibri" w:cs="Times New Roman"/>
        </w:rPr>
        <w:t xml:space="preserve"> koji spadaju pod </w:t>
      </w:r>
      <w:r w:rsidR="00CB1F99" w:rsidRPr="00CB1F99">
        <w:rPr>
          <w:rFonts w:ascii="Calibri" w:eastAsia="Calibri" w:hAnsi="Calibri" w:cs="Times New Roman"/>
        </w:rPr>
        <w:t>Gradski ured za socijalnu zaštitu i osobe s invaliditetom</w:t>
      </w:r>
      <w:r w:rsidRPr="00836825">
        <w:rPr>
          <w:rFonts w:ascii="Calibri" w:eastAsia="Calibri" w:hAnsi="Calibri" w:cs="Times New Roman"/>
        </w:rPr>
        <w:t xml:space="preserve">. Ukupan broj objekata </w:t>
      </w:r>
      <w:r w:rsidR="0013518B" w:rsidRPr="00836825">
        <w:rPr>
          <w:rFonts w:ascii="Calibri" w:eastAsia="Calibri" w:hAnsi="Calibri" w:cs="Times New Roman"/>
        </w:rPr>
        <w:t>u kategoriji zdravstva i socijalne zaštite</w:t>
      </w:r>
      <w:r w:rsidR="009B4C20">
        <w:rPr>
          <w:rFonts w:ascii="Calibri" w:eastAsia="Calibri" w:hAnsi="Calibri" w:cs="Times New Roman"/>
        </w:rPr>
        <w:t xml:space="preserve"> iznosi 144, ukupne površine 297 797</w:t>
      </w:r>
      <w:r w:rsidR="001E4A19" w:rsidRPr="00836825">
        <w:rPr>
          <w:rFonts w:ascii="Calibri" w:eastAsia="Calibri" w:hAnsi="Calibri" w:cs="Times New Roman"/>
        </w:rPr>
        <w:t>,92</w:t>
      </w:r>
      <w:r w:rsidRPr="00836825">
        <w:rPr>
          <w:rFonts w:ascii="Calibri" w:eastAsia="Calibri" w:hAnsi="Calibri" w:cs="Times New Roman"/>
        </w:rPr>
        <w:t xml:space="preserve"> m</w:t>
      </w:r>
      <w:r w:rsidRPr="00836825">
        <w:rPr>
          <w:rFonts w:ascii="Calibri" w:eastAsia="Calibri" w:hAnsi="Calibri" w:cs="Times New Roman"/>
          <w:vertAlign w:val="superscript"/>
        </w:rPr>
        <w:t>2</w:t>
      </w:r>
      <w:r w:rsidRPr="00836825">
        <w:rPr>
          <w:rFonts w:ascii="Calibri" w:eastAsia="Calibri" w:hAnsi="Calibri" w:cs="Times New Roman"/>
        </w:rPr>
        <w:t>.</w:t>
      </w:r>
    </w:p>
    <w:p w14:paraId="33EDFBFE" w14:textId="1375DCEA" w:rsidR="001545E2" w:rsidRPr="00836825" w:rsidRDefault="0013518B" w:rsidP="00E92750">
      <w:pPr>
        <w:suppressAutoHyphens/>
        <w:autoSpaceDN w:val="0"/>
        <w:spacing w:after="240" w:line="240" w:lineRule="auto"/>
        <w:jc w:val="both"/>
        <w:textAlignment w:val="baseline"/>
        <w:rPr>
          <w:rFonts w:ascii="Calibri" w:eastAsia="Calibri" w:hAnsi="Calibri" w:cs="Times New Roman"/>
        </w:rPr>
      </w:pPr>
      <w:r w:rsidRPr="00836825">
        <w:rPr>
          <w:rFonts w:ascii="Calibri" w:eastAsia="Calibri" w:hAnsi="Calibri" w:cs="Times New Roman"/>
        </w:rPr>
        <w:t>U kategoriji zdravstva i socijalne zaštite</w:t>
      </w:r>
      <w:r w:rsidR="001545E2" w:rsidRPr="00836825">
        <w:rPr>
          <w:rFonts w:ascii="Calibri" w:eastAsia="Calibri" w:hAnsi="Calibri" w:cs="Times New Roman"/>
        </w:rPr>
        <w:t xml:space="preserve"> u 2015. godini u</w:t>
      </w:r>
      <w:r w:rsidR="00836825" w:rsidRPr="00836825">
        <w:rPr>
          <w:rFonts w:ascii="Calibri" w:eastAsia="Calibri" w:hAnsi="Calibri" w:cs="Times New Roman"/>
        </w:rPr>
        <w:t xml:space="preserve">kupno je potrošeno </w:t>
      </w:r>
      <w:r w:rsidR="009B4C20">
        <w:rPr>
          <w:rFonts w:ascii="Calibri" w:eastAsia="Calibri" w:hAnsi="Calibri" w:cs="Times New Roman"/>
        </w:rPr>
        <w:t>20 508 497</w:t>
      </w:r>
      <w:r w:rsidR="001545E2" w:rsidRPr="00836825">
        <w:rPr>
          <w:rFonts w:ascii="Calibri" w:eastAsia="Calibri" w:hAnsi="Calibri" w:cs="Times New Roman"/>
        </w:rPr>
        <w:t xml:space="preserve"> kWh električne energije</w:t>
      </w:r>
      <w:r w:rsidR="009F3F2B" w:rsidRPr="00836825">
        <w:rPr>
          <w:rFonts w:ascii="Calibri" w:eastAsia="Calibri" w:hAnsi="Calibri" w:cs="Times New Roman"/>
        </w:rPr>
        <w:t xml:space="preserve"> za ne-toplinske namjene</w:t>
      </w:r>
      <w:r w:rsidR="001545E2" w:rsidRPr="00836825">
        <w:rPr>
          <w:rFonts w:ascii="Calibri" w:eastAsia="Calibri" w:hAnsi="Calibri" w:cs="Times New Roman"/>
        </w:rPr>
        <w:t>, što</w:t>
      </w:r>
      <w:r w:rsidR="00BE6152" w:rsidRPr="00836825">
        <w:rPr>
          <w:rFonts w:ascii="Calibri" w:eastAsia="Calibri" w:hAnsi="Calibri" w:cs="Times New Roman"/>
        </w:rPr>
        <w:t xml:space="preserve"> daje specifičnu potrošnju</w:t>
      </w:r>
      <w:r w:rsidR="009F3F2B" w:rsidRPr="00836825">
        <w:rPr>
          <w:rFonts w:ascii="Calibri" w:eastAsia="Calibri" w:hAnsi="Calibri" w:cs="Times New Roman"/>
        </w:rPr>
        <w:t xml:space="preserve"> električne energije za ne-toplinske namjene</w:t>
      </w:r>
      <w:r w:rsidR="009B4C20">
        <w:rPr>
          <w:rFonts w:ascii="Calibri" w:eastAsia="Calibri" w:hAnsi="Calibri" w:cs="Times New Roman"/>
        </w:rPr>
        <w:t xml:space="preserve"> od 68,87</w:t>
      </w:r>
      <w:r w:rsidR="001545E2" w:rsidRPr="00836825">
        <w:rPr>
          <w:rFonts w:ascii="Calibri" w:eastAsia="Calibri" w:hAnsi="Calibri" w:cs="Times New Roman"/>
        </w:rPr>
        <w:t xml:space="preserve"> kWh/m</w:t>
      </w:r>
      <w:r w:rsidR="001545E2" w:rsidRPr="00836825">
        <w:rPr>
          <w:rFonts w:ascii="Calibri" w:eastAsia="Calibri" w:hAnsi="Calibri" w:cs="Times New Roman"/>
          <w:vertAlign w:val="superscript"/>
        </w:rPr>
        <w:t>2</w:t>
      </w:r>
      <w:r w:rsidR="009B4C20">
        <w:rPr>
          <w:rFonts w:ascii="Calibri" w:eastAsia="Calibri" w:hAnsi="Calibri" w:cs="Times New Roman"/>
        </w:rPr>
        <w:t>.</w:t>
      </w:r>
    </w:p>
    <w:p w14:paraId="4BE90901" w14:textId="6768E0E0" w:rsidR="001545E2" w:rsidRPr="00836825" w:rsidRDefault="001545E2" w:rsidP="00E92750">
      <w:pPr>
        <w:suppressAutoHyphens/>
        <w:autoSpaceDN w:val="0"/>
        <w:spacing w:after="240" w:line="240" w:lineRule="auto"/>
        <w:jc w:val="both"/>
        <w:textAlignment w:val="baseline"/>
        <w:rPr>
          <w:rFonts w:ascii="Calibri" w:eastAsia="Calibri" w:hAnsi="Calibri" w:cs="Times New Roman"/>
        </w:rPr>
      </w:pPr>
      <w:r w:rsidRPr="00836825">
        <w:rPr>
          <w:rFonts w:ascii="Calibri" w:eastAsia="Calibri" w:hAnsi="Calibri" w:cs="Times New Roman"/>
        </w:rPr>
        <w:t>Prikaz specifične potrošnje električne energije</w:t>
      </w:r>
      <w:r w:rsidR="009F3F2B" w:rsidRPr="00836825">
        <w:rPr>
          <w:rFonts w:ascii="Calibri" w:eastAsia="Calibri" w:hAnsi="Calibri" w:cs="Times New Roman"/>
        </w:rPr>
        <w:t xml:space="preserve"> za ne-toplinske namjene</w:t>
      </w:r>
      <w:r w:rsidR="00AA1275" w:rsidRPr="00836825">
        <w:rPr>
          <w:rFonts w:ascii="Calibri" w:eastAsia="Calibri" w:hAnsi="Calibri" w:cs="Times New Roman"/>
        </w:rPr>
        <w:t xml:space="preserve"> </w:t>
      </w:r>
      <w:r w:rsidR="00EA728D" w:rsidRPr="00836825">
        <w:rPr>
          <w:rFonts w:ascii="Calibri" w:eastAsia="Calibri" w:hAnsi="Calibri" w:cs="Times New Roman"/>
        </w:rPr>
        <w:t>kategorije zdravstva i socijalne zaštite</w:t>
      </w:r>
      <w:r w:rsidRPr="00836825">
        <w:rPr>
          <w:rFonts w:ascii="Calibri" w:eastAsia="Calibri" w:hAnsi="Calibri" w:cs="Times New Roman"/>
        </w:rPr>
        <w:t xml:space="preserve"> dan je na </w:t>
      </w:r>
      <w:r w:rsidR="00BA0D73" w:rsidRPr="00836825">
        <w:rPr>
          <w:rFonts w:ascii="Calibri" w:eastAsia="Calibri" w:hAnsi="Calibri" w:cs="Times New Roman"/>
        </w:rPr>
        <w:fldChar w:fldCharType="begin"/>
      </w:r>
      <w:r w:rsidR="00BA0D73" w:rsidRPr="00836825">
        <w:rPr>
          <w:rFonts w:ascii="Calibri" w:eastAsia="Calibri" w:hAnsi="Calibri" w:cs="Times New Roman"/>
        </w:rPr>
        <w:instrText xml:space="preserve"> REF _Ref461701107 \h </w:instrText>
      </w:r>
      <w:r w:rsidR="007B4A20" w:rsidRPr="00836825">
        <w:rPr>
          <w:rFonts w:ascii="Calibri" w:eastAsia="Calibri" w:hAnsi="Calibri" w:cs="Times New Roman"/>
        </w:rPr>
        <w:instrText xml:space="preserve"> \* MERGEFORMAT </w:instrText>
      </w:r>
      <w:r w:rsidR="00BA0D73" w:rsidRPr="00836825">
        <w:rPr>
          <w:rFonts w:ascii="Calibri" w:eastAsia="Calibri" w:hAnsi="Calibri" w:cs="Times New Roman"/>
        </w:rPr>
      </w:r>
      <w:r w:rsidR="00BA0D73" w:rsidRPr="00836825">
        <w:rPr>
          <w:rFonts w:ascii="Calibri" w:eastAsia="Calibri" w:hAnsi="Calibri" w:cs="Times New Roman"/>
        </w:rPr>
        <w:fldChar w:fldCharType="separate"/>
      </w:r>
      <w:r w:rsidR="00C35760">
        <w:rPr>
          <w:b/>
        </w:rPr>
        <w:t>Slici</w:t>
      </w:r>
      <w:r w:rsidR="009C319B" w:rsidRPr="009C319B">
        <w:rPr>
          <w:b/>
        </w:rPr>
        <w:t xml:space="preserve"> </w:t>
      </w:r>
      <w:r w:rsidR="009C319B" w:rsidRPr="009C319B">
        <w:rPr>
          <w:b/>
          <w:noProof/>
        </w:rPr>
        <w:t>4.5</w:t>
      </w:r>
      <w:r w:rsidR="00BA0D73" w:rsidRPr="00836825">
        <w:rPr>
          <w:rFonts w:ascii="Calibri" w:eastAsia="Calibri" w:hAnsi="Calibri" w:cs="Times New Roman"/>
        </w:rPr>
        <w:fldChar w:fldCharType="end"/>
      </w:r>
      <w:r w:rsidRPr="00836825">
        <w:rPr>
          <w:rFonts w:ascii="Calibri" w:eastAsia="Calibri" w:hAnsi="Calibri" w:cs="Times New Roman"/>
        </w:rPr>
        <w:t>.</w:t>
      </w:r>
    </w:p>
    <w:p w14:paraId="3F0BCEC1" w14:textId="388BA48D" w:rsidR="000A7FD6" w:rsidRDefault="000A7FD6" w:rsidP="00E92750">
      <w:pPr>
        <w:suppressAutoHyphens/>
        <w:autoSpaceDN w:val="0"/>
        <w:spacing w:after="0" w:line="240" w:lineRule="auto"/>
        <w:jc w:val="center"/>
        <w:textAlignment w:val="baseline"/>
        <w:rPr>
          <w:noProof/>
          <w:lang w:eastAsia="hr-HR"/>
        </w:rPr>
      </w:pPr>
      <w:r>
        <w:rPr>
          <w:noProof/>
          <w:lang w:eastAsia="hr-HR"/>
        </w:rPr>
        <w:drawing>
          <wp:inline distT="0" distB="0" distL="0" distR="0" wp14:anchorId="603499ED" wp14:editId="4AFFE09F">
            <wp:extent cx="5112689" cy="3578087"/>
            <wp:effectExtent l="0" t="0" r="0" b="381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E3BF27" w14:textId="7051F5E8" w:rsidR="001545E2" w:rsidRPr="00BB0033" w:rsidRDefault="001545E2" w:rsidP="00E92750">
      <w:pPr>
        <w:spacing w:line="240" w:lineRule="auto"/>
        <w:jc w:val="center"/>
      </w:pPr>
      <w:bookmarkStart w:id="35" w:name="_Ref461701107"/>
      <w:bookmarkStart w:id="36" w:name="_Toc468277409"/>
      <w:r w:rsidRPr="00BB0033">
        <w:rPr>
          <w:b/>
        </w:rPr>
        <w:t xml:space="preserve">Slika </w:t>
      </w:r>
      <w:r w:rsidRPr="00BB0033">
        <w:rPr>
          <w:b/>
        </w:rPr>
        <w:fldChar w:fldCharType="begin"/>
      </w:r>
      <w:r w:rsidRPr="00BB0033">
        <w:rPr>
          <w:b/>
        </w:rPr>
        <w:instrText xml:space="preserve"> STYLEREF 1 \s </w:instrText>
      </w:r>
      <w:r w:rsidRPr="00BB0033">
        <w:rPr>
          <w:b/>
        </w:rPr>
        <w:fldChar w:fldCharType="separate"/>
      </w:r>
      <w:r w:rsidR="009C319B" w:rsidRPr="00BB0033">
        <w:rPr>
          <w:b/>
          <w:noProof/>
        </w:rPr>
        <w:t>4</w:t>
      </w:r>
      <w:r w:rsidRPr="00BB0033">
        <w:rPr>
          <w:b/>
          <w:noProof/>
        </w:rPr>
        <w:fldChar w:fldCharType="end"/>
      </w:r>
      <w:r w:rsidRPr="00BB0033">
        <w:rPr>
          <w:b/>
        </w:rPr>
        <w:t>.</w:t>
      </w:r>
      <w:r w:rsidRPr="00BB0033">
        <w:rPr>
          <w:b/>
        </w:rPr>
        <w:fldChar w:fldCharType="begin"/>
      </w:r>
      <w:r w:rsidRPr="00BB0033">
        <w:rPr>
          <w:b/>
        </w:rPr>
        <w:instrText xml:space="preserve"> SEQ Slika \* ARABIC \s 1 </w:instrText>
      </w:r>
      <w:r w:rsidRPr="00BB0033">
        <w:rPr>
          <w:b/>
        </w:rPr>
        <w:fldChar w:fldCharType="separate"/>
      </w:r>
      <w:r w:rsidR="009C319B" w:rsidRPr="00BB0033">
        <w:rPr>
          <w:b/>
          <w:noProof/>
        </w:rPr>
        <w:t>5</w:t>
      </w:r>
      <w:r w:rsidRPr="00BB0033">
        <w:rPr>
          <w:b/>
          <w:noProof/>
        </w:rPr>
        <w:fldChar w:fldCharType="end"/>
      </w:r>
      <w:bookmarkEnd w:id="35"/>
      <w:r w:rsidRPr="00BB0033">
        <w:rPr>
          <w:b/>
        </w:rPr>
        <w:t xml:space="preserve"> </w:t>
      </w:r>
      <w:r w:rsidRPr="00BB0033">
        <w:t>Specifična potrošnja električne energije</w:t>
      </w:r>
      <w:r w:rsidR="003E32C8" w:rsidRPr="00BB0033">
        <w:t xml:space="preserve"> za ne-toplinske </w:t>
      </w:r>
      <w:r w:rsidR="00C717C4" w:rsidRPr="00BB0033">
        <w:t>namjene</w:t>
      </w:r>
      <w:r w:rsidRPr="00BB0033">
        <w:t xml:space="preserve"> </w:t>
      </w:r>
      <w:r w:rsidR="0079389D" w:rsidRPr="00BB0033">
        <w:t xml:space="preserve">objekata </w:t>
      </w:r>
      <w:r w:rsidR="00EA728D" w:rsidRPr="00BB0033">
        <w:t>zdravstva i socijalne zaštite</w:t>
      </w:r>
      <w:r w:rsidRPr="00BB0033">
        <w:t xml:space="preserve"> </w:t>
      </w:r>
      <w:r w:rsidR="00B7502A" w:rsidRPr="00BB0033">
        <w:t xml:space="preserve">u vlasništvu </w:t>
      </w:r>
      <w:r w:rsidRPr="00BB0033">
        <w:t>Grada Zagreba</w:t>
      </w:r>
      <w:r w:rsidR="00AA1275" w:rsidRPr="00BB0033">
        <w:t xml:space="preserve"> u 2015. godini</w:t>
      </w:r>
      <w:bookmarkEnd w:id="36"/>
    </w:p>
    <w:p w14:paraId="1D79230B" w14:textId="771E5DD0" w:rsidR="00FA031D" w:rsidRDefault="00FA031D" w:rsidP="00E92750">
      <w:pPr>
        <w:suppressAutoHyphens/>
        <w:autoSpaceDN w:val="0"/>
        <w:spacing w:after="240" w:line="240" w:lineRule="auto"/>
        <w:jc w:val="both"/>
        <w:textAlignment w:val="baseline"/>
        <w:rPr>
          <w:rFonts w:ascii="Calibri" w:eastAsia="Calibri" w:hAnsi="Calibri" w:cs="Times New Roman"/>
        </w:rPr>
      </w:pPr>
      <w:r>
        <w:rPr>
          <w:rFonts w:ascii="Calibri" w:eastAsia="Calibri" w:hAnsi="Calibri" w:cs="Times New Roman"/>
        </w:rPr>
        <w:t xml:space="preserve">Specifična potrošnja električne energije za ne-toplinske namjene najveća je u restoranima koji spadaju pod </w:t>
      </w:r>
      <w:r w:rsidRPr="00FA031D">
        <w:rPr>
          <w:rFonts w:ascii="Calibri" w:eastAsia="Calibri" w:hAnsi="Calibri" w:cs="Times New Roman"/>
        </w:rPr>
        <w:t>Gradski ured za socijalnu zaštitu i osobe s invaliditetom</w:t>
      </w:r>
      <w:r>
        <w:rPr>
          <w:rFonts w:ascii="Calibri" w:eastAsia="Calibri" w:hAnsi="Calibri" w:cs="Times New Roman"/>
        </w:rPr>
        <w:t>, što je i očekivano s obzirom na namjenu.</w:t>
      </w:r>
    </w:p>
    <w:p w14:paraId="43A1AADF" w14:textId="5424A920" w:rsidR="001545E2" w:rsidRPr="00E16420" w:rsidRDefault="001545E2" w:rsidP="00E92750">
      <w:pPr>
        <w:suppressAutoHyphens/>
        <w:autoSpaceDN w:val="0"/>
        <w:spacing w:after="240" w:line="240" w:lineRule="auto"/>
        <w:jc w:val="both"/>
        <w:textAlignment w:val="baseline"/>
        <w:rPr>
          <w:rFonts w:ascii="Calibri" w:eastAsia="Calibri" w:hAnsi="Calibri" w:cs="Times New Roman"/>
        </w:rPr>
      </w:pPr>
      <w:r w:rsidRPr="00E16420">
        <w:rPr>
          <w:rFonts w:ascii="Calibri" w:eastAsia="Calibri" w:hAnsi="Calibri" w:cs="Times New Roman"/>
        </w:rPr>
        <w:lastRenderedPageBreak/>
        <w:t>Parametri potrošnje toplin</w:t>
      </w:r>
      <w:r w:rsidR="0042129C" w:rsidRPr="00E16420">
        <w:rPr>
          <w:rFonts w:ascii="Calibri" w:eastAsia="Calibri" w:hAnsi="Calibri" w:cs="Times New Roman"/>
        </w:rPr>
        <w:t xml:space="preserve">ske energije </w:t>
      </w:r>
      <w:r w:rsidR="000901DA" w:rsidRPr="00E16420">
        <w:rPr>
          <w:rFonts w:ascii="Calibri" w:eastAsia="Calibri" w:hAnsi="Calibri" w:cs="Times New Roman"/>
        </w:rPr>
        <w:t xml:space="preserve">objekata </w:t>
      </w:r>
      <w:r w:rsidR="0042129C" w:rsidRPr="00E16420">
        <w:rPr>
          <w:rFonts w:ascii="Calibri" w:eastAsia="Calibri" w:hAnsi="Calibri" w:cs="Times New Roman"/>
        </w:rPr>
        <w:t>zdravstva i socijalne zaštite</w:t>
      </w:r>
      <w:r w:rsidRPr="00E16420">
        <w:rPr>
          <w:rFonts w:ascii="Calibri" w:eastAsia="Calibri" w:hAnsi="Calibri" w:cs="Times New Roman"/>
        </w:rPr>
        <w:t xml:space="preserve"> </w:t>
      </w:r>
      <w:r w:rsidR="00596D1E" w:rsidRPr="00E16420">
        <w:rPr>
          <w:rFonts w:ascii="Calibri" w:eastAsia="Calibri" w:hAnsi="Calibri" w:cs="Times New Roman"/>
        </w:rPr>
        <w:t>u 2015. godini,</w:t>
      </w:r>
      <w:r w:rsidRPr="00E16420">
        <w:rPr>
          <w:rFonts w:ascii="Calibri" w:eastAsia="Calibri" w:hAnsi="Calibri" w:cs="Times New Roman"/>
        </w:rPr>
        <w:t xml:space="preserve"> </w:t>
      </w:r>
      <w:r w:rsidR="000901DA" w:rsidRPr="00E16420">
        <w:rPr>
          <w:rFonts w:ascii="Calibri" w:eastAsia="Calibri" w:hAnsi="Calibri" w:cs="Times New Roman"/>
        </w:rPr>
        <w:t xml:space="preserve">dani su u nastavku, </w:t>
      </w:r>
      <w:r w:rsidR="009F7524" w:rsidRPr="00E16420">
        <w:rPr>
          <w:rFonts w:ascii="Calibri" w:eastAsia="Calibri" w:hAnsi="Calibri" w:cs="Times New Roman"/>
        </w:rPr>
        <w:fldChar w:fldCharType="begin"/>
      </w:r>
      <w:r w:rsidR="009F7524" w:rsidRPr="00E16420">
        <w:rPr>
          <w:rFonts w:ascii="Calibri" w:eastAsia="Calibri" w:hAnsi="Calibri" w:cs="Times New Roman"/>
        </w:rPr>
        <w:instrText xml:space="preserve"> REF _Ref461702563 \h </w:instrText>
      </w:r>
      <w:r w:rsidR="0092439B" w:rsidRPr="00E16420">
        <w:rPr>
          <w:rFonts w:ascii="Calibri" w:eastAsia="Calibri" w:hAnsi="Calibri" w:cs="Times New Roman"/>
        </w:rPr>
        <w:instrText xml:space="preserve"> \* MERGEFORMAT </w:instrText>
      </w:r>
      <w:r w:rsidR="009F7524" w:rsidRPr="00E16420">
        <w:rPr>
          <w:rFonts w:ascii="Calibri" w:eastAsia="Calibri" w:hAnsi="Calibri" w:cs="Times New Roman"/>
        </w:rPr>
      </w:r>
      <w:r w:rsidR="009F7524" w:rsidRPr="00E16420">
        <w:rPr>
          <w:rFonts w:ascii="Calibri" w:eastAsia="Calibri" w:hAnsi="Calibri" w:cs="Times New Roman"/>
        </w:rPr>
        <w:fldChar w:fldCharType="separate"/>
      </w:r>
      <w:r w:rsidR="009C319B" w:rsidRPr="00E16420">
        <w:rPr>
          <w:rFonts w:eastAsia="Calibri" w:cs="Times New Roman"/>
          <w:b/>
          <w:bCs/>
        </w:rPr>
        <w:t xml:space="preserve">Tablica </w:t>
      </w:r>
      <w:r w:rsidR="009C319B">
        <w:rPr>
          <w:rFonts w:eastAsia="Calibri" w:cs="Times New Roman"/>
          <w:b/>
          <w:bCs/>
          <w:noProof/>
        </w:rPr>
        <w:t>4</w:t>
      </w:r>
      <w:r w:rsidR="009C319B" w:rsidRPr="00E16420">
        <w:rPr>
          <w:rFonts w:eastAsia="Calibri" w:cs="Times New Roman"/>
          <w:b/>
          <w:bCs/>
          <w:noProof/>
        </w:rPr>
        <w:t>.</w:t>
      </w:r>
      <w:r w:rsidR="009C319B">
        <w:rPr>
          <w:rFonts w:eastAsia="Calibri" w:cs="Times New Roman"/>
          <w:b/>
          <w:bCs/>
          <w:noProof/>
        </w:rPr>
        <w:t>2</w:t>
      </w:r>
      <w:r w:rsidR="009F7524" w:rsidRPr="00E16420">
        <w:rPr>
          <w:rFonts w:ascii="Calibri" w:eastAsia="Calibri" w:hAnsi="Calibri" w:cs="Times New Roman"/>
        </w:rPr>
        <w:fldChar w:fldCharType="end"/>
      </w:r>
      <w:r w:rsidR="000901DA" w:rsidRPr="00E16420">
        <w:rPr>
          <w:rFonts w:ascii="Calibri" w:eastAsia="Calibri" w:hAnsi="Calibri" w:cs="Times New Roman"/>
        </w:rPr>
        <w:t xml:space="preserve">, </w:t>
      </w:r>
      <w:r w:rsidR="009F7524" w:rsidRPr="00E16420">
        <w:rPr>
          <w:rFonts w:ascii="Calibri" w:eastAsia="Calibri" w:hAnsi="Calibri" w:cs="Times New Roman"/>
        </w:rPr>
        <w:fldChar w:fldCharType="begin"/>
      </w:r>
      <w:r w:rsidR="009F7524" w:rsidRPr="00E16420">
        <w:rPr>
          <w:rFonts w:ascii="Calibri" w:eastAsia="Calibri" w:hAnsi="Calibri" w:cs="Times New Roman"/>
        </w:rPr>
        <w:instrText xml:space="preserve"> REF _Ref461702640 \h </w:instrText>
      </w:r>
      <w:r w:rsidR="0092439B" w:rsidRPr="00E16420">
        <w:rPr>
          <w:rFonts w:ascii="Calibri" w:eastAsia="Calibri" w:hAnsi="Calibri" w:cs="Times New Roman"/>
        </w:rPr>
        <w:instrText xml:space="preserve"> \* MERGEFORMAT </w:instrText>
      </w:r>
      <w:r w:rsidR="009F7524" w:rsidRPr="00E16420">
        <w:rPr>
          <w:rFonts w:ascii="Calibri" w:eastAsia="Calibri" w:hAnsi="Calibri" w:cs="Times New Roman"/>
        </w:rPr>
      </w:r>
      <w:r w:rsidR="009F7524" w:rsidRPr="00E16420">
        <w:rPr>
          <w:rFonts w:ascii="Calibri" w:eastAsia="Calibri" w:hAnsi="Calibri" w:cs="Times New Roman"/>
        </w:rPr>
        <w:fldChar w:fldCharType="separate"/>
      </w:r>
      <w:r w:rsidR="009C319B" w:rsidRPr="009C319B">
        <w:rPr>
          <w:b/>
        </w:rPr>
        <w:t xml:space="preserve">Slika </w:t>
      </w:r>
      <w:r w:rsidR="009C319B" w:rsidRPr="009C319B">
        <w:rPr>
          <w:b/>
          <w:noProof/>
        </w:rPr>
        <w:t>4.6</w:t>
      </w:r>
      <w:r w:rsidR="009F7524" w:rsidRPr="00E16420">
        <w:rPr>
          <w:rFonts w:ascii="Calibri" w:eastAsia="Calibri" w:hAnsi="Calibri" w:cs="Times New Roman"/>
        </w:rPr>
        <w:fldChar w:fldCharType="end"/>
      </w:r>
      <w:r w:rsidR="000901DA" w:rsidRPr="00E16420">
        <w:rPr>
          <w:rFonts w:ascii="Calibri" w:eastAsia="Calibri" w:hAnsi="Calibri" w:cs="Times New Roman"/>
        </w:rPr>
        <w:t xml:space="preserve">, </w:t>
      </w:r>
      <w:r w:rsidR="009F7524" w:rsidRPr="00E16420">
        <w:rPr>
          <w:rFonts w:ascii="Calibri" w:eastAsia="Calibri" w:hAnsi="Calibri" w:cs="Times New Roman"/>
        </w:rPr>
        <w:fldChar w:fldCharType="begin"/>
      </w:r>
      <w:r w:rsidR="009F7524" w:rsidRPr="00E16420">
        <w:rPr>
          <w:rFonts w:ascii="Calibri" w:eastAsia="Calibri" w:hAnsi="Calibri" w:cs="Times New Roman"/>
        </w:rPr>
        <w:instrText xml:space="preserve"> REF _Ref461702666 \h </w:instrText>
      </w:r>
      <w:r w:rsidR="0092439B" w:rsidRPr="00E16420">
        <w:rPr>
          <w:rFonts w:ascii="Calibri" w:eastAsia="Calibri" w:hAnsi="Calibri" w:cs="Times New Roman"/>
        </w:rPr>
        <w:instrText xml:space="preserve"> \* MERGEFORMAT </w:instrText>
      </w:r>
      <w:r w:rsidR="009F7524" w:rsidRPr="00E16420">
        <w:rPr>
          <w:rFonts w:ascii="Calibri" w:eastAsia="Calibri" w:hAnsi="Calibri" w:cs="Times New Roman"/>
        </w:rPr>
      </w:r>
      <w:r w:rsidR="009F7524" w:rsidRPr="00E16420">
        <w:rPr>
          <w:rFonts w:ascii="Calibri" w:eastAsia="Calibri" w:hAnsi="Calibri" w:cs="Times New Roman"/>
        </w:rPr>
        <w:fldChar w:fldCharType="separate"/>
      </w:r>
      <w:r w:rsidR="009C319B" w:rsidRPr="009C319B">
        <w:rPr>
          <w:b/>
        </w:rPr>
        <w:t xml:space="preserve">Slika </w:t>
      </w:r>
      <w:r w:rsidR="009C319B" w:rsidRPr="009C319B">
        <w:rPr>
          <w:b/>
          <w:noProof/>
        </w:rPr>
        <w:t>4.7</w:t>
      </w:r>
      <w:r w:rsidR="009F7524" w:rsidRPr="00E16420">
        <w:rPr>
          <w:rFonts w:ascii="Calibri" w:eastAsia="Calibri" w:hAnsi="Calibri" w:cs="Times New Roman"/>
        </w:rPr>
        <w:fldChar w:fldCharType="end"/>
      </w:r>
      <w:r w:rsidR="000901DA" w:rsidRPr="00E16420">
        <w:rPr>
          <w:rFonts w:ascii="Calibri" w:eastAsia="Calibri" w:hAnsi="Calibri" w:cs="Times New Roman"/>
        </w:rPr>
        <w:t xml:space="preserve"> i </w:t>
      </w:r>
      <w:r w:rsidR="009F7524" w:rsidRPr="00E16420">
        <w:rPr>
          <w:rFonts w:ascii="Calibri" w:eastAsia="Calibri" w:hAnsi="Calibri" w:cs="Times New Roman"/>
        </w:rPr>
        <w:fldChar w:fldCharType="begin"/>
      </w:r>
      <w:r w:rsidR="009F7524" w:rsidRPr="00E16420">
        <w:rPr>
          <w:rFonts w:ascii="Calibri" w:eastAsia="Calibri" w:hAnsi="Calibri" w:cs="Times New Roman"/>
        </w:rPr>
        <w:instrText xml:space="preserve"> REF _Ref461702676 \h </w:instrText>
      </w:r>
      <w:r w:rsidR="0092439B" w:rsidRPr="00E16420">
        <w:rPr>
          <w:rFonts w:ascii="Calibri" w:eastAsia="Calibri" w:hAnsi="Calibri" w:cs="Times New Roman"/>
        </w:rPr>
        <w:instrText xml:space="preserve"> \* MERGEFORMAT </w:instrText>
      </w:r>
      <w:r w:rsidR="009F7524" w:rsidRPr="00E16420">
        <w:rPr>
          <w:rFonts w:ascii="Calibri" w:eastAsia="Calibri" w:hAnsi="Calibri" w:cs="Times New Roman"/>
        </w:rPr>
      </w:r>
      <w:r w:rsidR="009F7524" w:rsidRPr="00E16420">
        <w:rPr>
          <w:rFonts w:ascii="Calibri" w:eastAsia="Calibri" w:hAnsi="Calibri" w:cs="Times New Roman"/>
        </w:rPr>
        <w:fldChar w:fldCharType="separate"/>
      </w:r>
      <w:r w:rsidR="009C319B" w:rsidRPr="009C319B">
        <w:rPr>
          <w:b/>
        </w:rPr>
        <w:t xml:space="preserve">Slika </w:t>
      </w:r>
      <w:r w:rsidR="009C319B" w:rsidRPr="009C319B">
        <w:rPr>
          <w:b/>
          <w:noProof/>
        </w:rPr>
        <w:t>4.8</w:t>
      </w:r>
      <w:r w:rsidR="009F7524" w:rsidRPr="00E16420">
        <w:rPr>
          <w:rFonts w:ascii="Calibri" w:eastAsia="Calibri" w:hAnsi="Calibri" w:cs="Times New Roman"/>
        </w:rPr>
        <w:fldChar w:fldCharType="end"/>
      </w:r>
      <w:r w:rsidRPr="00E16420">
        <w:rPr>
          <w:rFonts w:ascii="Calibri" w:eastAsia="Calibri" w:hAnsi="Calibri" w:cs="Times New Roman"/>
        </w:rPr>
        <w:t>.</w:t>
      </w:r>
    </w:p>
    <w:p w14:paraId="2C24F552" w14:textId="0AB3E7FE" w:rsidR="001545E2" w:rsidRPr="00E16420" w:rsidRDefault="001545E2" w:rsidP="00E92750">
      <w:pPr>
        <w:suppressAutoHyphens/>
        <w:autoSpaceDN w:val="0"/>
        <w:spacing w:after="0" w:line="240" w:lineRule="auto"/>
        <w:jc w:val="both"/>
        <w:textAlignment w:val="baseline"/>
        <w:rPr>
          <w:rFonts w:ascii="Calibri" w:eastAsia="Calibri" w:hAnsi="Calibri" w:cs="Times New Roman"/>
        </w:rPr>
      </w:pPr>
      <w:bookmarkStart w:id="37" w:name="_Ref461702563"/>
      <w:bookmarkStart w:id="38" w:name="_Ref461702558"/>
      <w:bookmarkStart w:id="39" w:name="_Toc468277494"/>
      <w:r w:rsidRPr="00E16420">
        <w:rPr>
          <w:rFonts w:eastAsia="Calibri" w:cs="Times New Roman"/>
          <w:b/>
          <w:bCs/>
        </w:rPr>
        <w:t xml:space="preserve">Tablica </w:t>
      </w:r>
      <w:r w:rsidR="000B3499" w:rsidRPr="00E16420">
        <w:rPr>
          <w:rFonts w:eastAsia="Calibri" w:cs="Times New Roman"/>
          <w:b/>
          <w:bCs/>
        </w:rPr>
        <w:fldChar w:fldCharType="begin"/>
      </w:r>
      <w:r w:rsidR="000B3499" w:rsidRPr="00E16420">
        <w:rPr>
          <w:rFonts w:eastAsia="Calibri" w:cs="Times New Roman"/>
          <w:b/>
          <w:bCs/>
        </w:rPr>
        <w:instrText xml:space="preserve"> STYLEREF 1 \s </w:instrText>
      </w:r>
      <w:r w:rsidR="000B3499" w:rsidRPr="00E16420">
        <w:rPr>
          <w:rFonts w:eastAsia="Calibri" w:cs="Times New Roman"/>
          <w:b/>
          <w:bCs/>
        </w:rPr>
        <w:fldChar w:fldCharType="separate"/>
      </w:r>
      <w:r w:rsidR="009C319B">
        <w:rPr>
          <w:rFonts w:eastAsia="Calibri" w:cs="Times New Roman"/>
          <w:b/>
          <w:bCs/>
          <w:noProof/>
        </w:rPr>
        <w:t>4</w:t>
      </w:r>
      <w:r w:rsidR="000B3499" w:rsidRPr="00E16420">
        <w:rPr>
          <w:rFonts w:eastAsia="Calibri" w:cs="Times New Roman"/>
          <w:b/>
          <w:bCs/>
        </w:rPr>
        <w:fldChar w:fldCharType="end"/>
      </w:r>
      <w:r w:rsidR="000B3499" w:rsidRPr="00E16420">
        <w:rPr>
          <w:rFonts w:eastAsia="Calibri" w:cs="Times New Roman"/>
          <w:b/>
          <w:bCs/>
        </w:rPr>
        <w:t>.</w:t>
      </w:r>
      <w:r w:rsidR="000B3499" w:rsidRPr="00E16420">
        <w:rPr>
          <w:rFonts w:eastAsia="Calibri" w:cs="Times New Roman"/>
          <w:b/>
          <w:bCs/>
        </w:rPr>
        <w:fldChar w:fldCharType="begin"/>
      </w:r>
      <w:r w:rsidR="000B3499" w:rsidRPr="00E16420">
        <w:rPr>
          <w:rFonts w:eastAsia="Calibri" w:cs="Times New Roman"/>
          <w:b/>
          <w:bCs/>
        </w:rPr>
        <w:instrText xml:space="preserve"> SEQ Tablica \* ARABIC \s 1 </w:instrText>
      </w:r>
      <w:r w:rsidR="000B3499" w:rsidRPr="00E16420">
        <w:rPr>
          <w:rFonts w:eastAsia="Calibri" w:cs="Times New Roman"/>
          <w:b/>
          <w:bCs/>
        </w:rPr>
        <w:fldChar w:fldCharType="separate"/>
      </w:r>
      <w:r w:rsidR="009C319B">
        <w:rPr>
          <w:rFonts w:eastAsia="Calibri" w:cs="Times New Roman"/>
          <w:b/>
          <w:bCs/>
          <w:noProof/>
        </w:rPr>
        <w:t>2</w:t>
      </w:r>
      <w:r w:rsidR="000B3499" w:rsidRPr="00E16420">
        <w:rPr>
          <w:rFonts w:eastAsia="Calibri" w:cs="Times New Roman"/>
          <w:b/>
          <w:bCs/>
        </w:rPr>
        <w:fldChar w:fldCharType="end"/>
      </w:r>
      <w:bookmarkEnd w:id="37"/>
      <w:r w:rsidRPr="00E16420">
        <w:rPr>
          <w:rFonts w:eastAsia="Calibri" w:cs="Times New Roman"/>
          <w:b/>
          <w:bCs/>
        </w:rPr>
        <w:t xml:space="preserve"> </w:t>
      </w:r>
      <w:r w:rsidRPr="00E16420">
        <w:rPr>
          <w:rFonts w:ascii="Calibri" w:eastAsia="Calibri" w:hAnsi="Calibri" w:cs="Times New Roman"/>
        </w:rPr>
        <w:t>Parametri potrošnje toplin</w:t>
      </w:r>
      <w:r w:rsidR="00331B28" w:rsidRPr="00E16420">
        <w:rPr>
          <w:rFonts w:ascii="Calibri" w:eastAsia="Calibri" w:hAnsi="Calibri" w:cs="Times New Roman"/>
        </w:rPr>
        <w:t xml:space="preserve">ske energije </w:t>
      </w:r>
      <w:r w:rsidR="00E01CEF" w:rsidRPr="00E16420">
        <w:rPr>
          <w:rFonts w:ascii="Calibri" w:eastAsia="Calibri" w:hAnsi="Calibri" w:cs="Times New Roman"/>
        </w:rPr>
        <w:t>objekata</w:t>
      </w:r>
      <w:r w:rsidR="00331B28" w:rsidRPr="00E16420">
        <w:rPr>
          <w:rFonts w:ascii="Calibri" w:eastAsia="Calibri" w:hAnsi="Calibri" w:cs="Times New Roman"/>
        </w:rPr>
        <w:t xml:space="preserve"> zdravstva i socijalne zaštite</w:t>
      </w:r>
      <w:r w:rsidR="00E01CEF" w:rsidRPr="00E16420">
        <w:rPr>
          <w:rFonts w:ascii="Calibri" w:eastAsia="Calibri" w:hAnsi="Calibri" w:cs="Times New Roman"/>
        </w:rPr>
        <w:t xml:space="preserve"> u vlasništvu</w:t>
      </w:r>
      <w:r w:rsidRPr="00E16420">
        <w:rPr>
          <w:rFonts w:ascii="Calibri" w:eastAsia="Calibri" w:hAnsi="Calibri" w:cs="Times New Roman"/>
        </w:rPr>
        <w:t xml:space="preserve"> Grada Zagreba</w:t>
      </w:r>
      <w:bookmarkEnd w:id="38"/>
      <w:r w:rsidR="00596D1E" w:rsidRPr="00E16420">
        <w:rPr>
          <w:rFonts w:ascii="Calibri" w:eastAsia="Calibri" w:hAnsi="Calibri" w:cs="Times New Roman"/>
        </w:rPr>
        <w:t xml:space="preserve"> u 2015. godini</w:t>
      </w:r>
      <w:bookmarkEnd w:id="39"/>
    </w:p>
    <w:tbl>
      <w:tblPr>
        <w:tblW w:w="4942" w:type="pct"/>
        <w:tblInd w:w="108" w:type="dxa"/>
        <w:tblLook w:val="04A0" w:firstRow="1" w:lastRow="0" w:firstColumn="1" w:lastColumn="0" w:noHBand="0" w:noVBand="1"/>
      </w:tblPr>
      <w:tblGrid>
        <w:gridCol w:w="1939"/>
        <w:gridCol w:w="1105"/>
        <w:gridCol w:w="1523"/>
        <w:gridCol w:w="1800"/>
        <w:gridCol w:w="2590"/>
      </w:tblGrid>
      <w:tr w:rsidR="000A7FD6" w:rsidRPr="000A7FD6" w14:paraId="3EC25D7D" w14:textId="77777777" w:rsidTr="00B74FC6">
        <w:trPr>
          <w:trHeight w:val="510"/>
        </w:trPr>
        <w:tc>
          <w:tcPr>
            <w:tcW w:w="108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F5706F8" w14:textId="77777777" w:rsidR="000A7FD6" w:rsidRPr="000A7FD6" w:rsidRDefault="000A7FD6" w:rsidP="000A7FD6">
            <w:pPr>
              <w:spacing w:after="0" w:line="240" w:lineRule="auto"/>
              <w:rPr>
                <w:rFonts w:ascii="Calibri" w:eastAsia="Times New Roman" w:hAnsi="Calibri" w:cs="Calibri"/>
                <w:b/>
                <w:bCs/>
                <w:color w:val="000000"/>
                <w:sz w:val="20"/>
                <w:szCs w:val="20"/>
                <w:lang w:eastAsia="hr-HR"/>
              </w:rPr>
            </w:pPr>
            <w:r w:rsidRPr="000A7FD6">
              <w:rPr>
                <w:rFonts w:ascii="Calibri" w:eastAsia="Times New Roman" w:hAnsi="Calibri" w:cs="Calibri"/>
                <w:b/>
                <w:bCs/>
                <w:color w:val="000000"/>
                <w:sz w:val="20"/>
                <w:szCs w:val="20"/>
                <w:lang w:eastAsia="hr-HR"/>
              </w:rPr>
              <w:t>Energent</w:t>
            </w:r>
          </w:p>
        </w:tc>
        <w:tc>
          <w:tcPr>
            <w:tcW w:w="617" w:type="pct"/>
            <w:tcBorders>
              <w:top w:val="single" w:sz="4" w:space="0" w:color="auto"/>
              <w:left w:val="nil"/>
              <w:bottom w:val="single" w:sz="4" w:space="0" w:color="auto"/>
              <w:right w:val="single" w:sz="4" w:space="0" w:color="auto"/>
            </w:tcBorders>
            <w:shd w:val="clear" w:color="000000" w:fill="D9D9D9"/>
            <w:vAlign w:val="center"/>
            <w:hideMark/>
          </w:tcPr>
          <w:p w14:paraId="28B340EC" w14:textId="77777777" w:rsidR="000A7FD6" w:rsidRPr="000A7FD6" w:rsidRDefault="000A7FD6" w:rsidP="000A7FD6">
            <w:pPr>
              <w:spacing w:after="0" w:line="240" w:lineRule="auto"/>
              <w:jc w:val="center"/>
              <w:rPr>
                <w:rFonts w:ascii="Calibri" w:eastAsia="Times New Roman" w:hAnsi="Calibri" w:cs="Calibri"/>
                <w:b/>
                <w:bCs/>
                <w:color w:val="000000"/>
                <w:sz w:val="20"/>
                <w:szCs w:val="20"/>
                <w:lang w:eastAsia="hr-HR"/>
              </w:rPr>
            </w:pPr>
            <w:r w:rsidRPr="000A7FD6">
              <w:rPr>
                <w:rFonts w:ascii="Calibri" w:eastAsia="Times New Roman" w:hAnsi="Calibri" w:cs="Calibri"/>
                <w:b/>
                <w:bCs/>
                <w:color w:val="000000"/>
                <w:sz w:val="20"/>
                <w:szCs w:val="20"/>
                <w:lang w:eastAsia="hr-HR"/>
              </w:rPr>
              <w:t>Broj objekata</w:t>
            </w:r>
          </w:p>
        </w:tc>
        <w:tc>
          <w:tcPr>
            <w:tcW w:w="850" w:type="pct"/>
            <w:tcBorders>
              <w:top w:val="single" w:sz="4" w:space="0" w:color="auto"/>
              <w:left w:val="nil"/>
              <w:bottom w:val="single" w:sz="4" w:space="0" w:color="auto"/>
              <w:right w:val="single" w:sz="4" w:space="0" w:color="auto"/>
            </w:tcBorders>
            <w:shd w:val="clear" w:color="000000" w:fill="D9D9D9"/>
            <w:vAlign w:val="center"/>
            <w:hideMark/>
          </w:tcPr>
          <w:p w14:paraId="7FCE55A1" w14:textId="77777777" w:rsidR="000A7FD6" w:rsidRPr="000A7FD6" w:rsidRDefault="000A7FD6" w:rsidP="000A7FD6">
            <w:pPr>
              <w:spacing w:after="0" w:line="240" w:lineRule="auto"/>
              <w:jc w:val="center"/>
              <w:rPr>
                <w:rFonts w:ascii="Calibri" w:eastAsia="Times New Roman" w:hAnsi="Calibri" w:cs="Calibri"/>
                <w:b/>
                <w:bCs/>
                <w:color w:val="000000"/>
                <w:sz w:val="20"/>
                <w:szCs w:val="20"/>
                <w:lang w:eastAsia="hr-HR"/>
              </w:rPr>
            </w:pPr>
            <w:r w:rsidRPr="000A7FD6">
              <w:rPr>
                <w:rFonts w:ascii="Calibri" w:eastAsia="Times New Roman" w:hAnsi="Calibri" w:cs="Calibri"/>
                <w:b/>
                <w:bCs/>
                <w:color w:val="000000"/>
                <w:sz w:val="20"/>
                <w:szCs w:val="20"/>
                <w:lang w:eastAsia="hr-HR"/>
              </w:rPr>
              <w:t>Ukupna grijana površina (m</w:t>
            </w:r>
            <w:r w:rsidRPr="000A7FD6">
              <w:rPr>
                <w:rFonts w:ascii="Calibri" w:eastAsia="Times New Roman" w:hAnsi="Calibri" w:cs="Calibri"/>
                <w:b/>
                <w:bCs/>
                <w:color w:val="000000"/>
                <w:sz w:val="20"/>
                <w:szCs w:val="20"/>
                <w:vertAlign w:val="superscript"/>
                <w:lang w:eastAsia="hr-HR"/>
              </w:rPr>
              <w:t>2</w:t>
            </w:r>
            <w:r w:rsidRPr="000A7FD6">
              <w:rPr>
                <w:rFonts w:ascii="Calibri" w:eastAsia="Times New Roman" w:hAnsi="Calibri" w:cs="Calibri"/>
                <w:b/>
                <w:bCs/>
                <w:color w:val="000000"/>
                <w:sz w:val="20"/>
                <w:szCs w:val="20"/>
                <w:lang w:eastAsia="hr-HR"/>
              </w:rPr>
              <w:t>)</w:t>
            </w:r>
          </w:p>
        </w:tc>
        <w:tc>
          <w:tcPr>
            <w:tcW w:w="1005" w:type="pct"/>
            <w:tcBorders>
              <w:top w:val="single" w:sz="4" w:space="0" w:color="auto"/>
              <w:left w:val="nil"/>
              <w:bottom w:val="single" w:sz="4" w:space="0" w:color="auto"/>
              <w:right w:val="single" w:sz="4" w:space="0" w:color="auto"/>
            </w:tcBorders>
            <w:shd w:val="clear" w:color="000000" w:fill="D9D9D9"/>
            <w:vAlign w:val="center"/>
            <w:hideMark/>
          </w:tcPr>
          <w:p w14:paraId="29B7EEA9" w14:textId="77777777" w:rsidR="000A7FD6" w:rsidRPr="000A7FD6" w:rsidRDefault="000A7FD6" w:rsidP="000A7FD6">
            <w:pPr>
              <w:spacing w:after="0" w:line="240" w:lineRule="auto"/>
              <w:jc w:val="center"/>
              <w:rPr>
                <w:rFonts w:ascii="Calibri" w:eastAsia="Times New Roman" w:hAnsi="Calibri" w:cs="Calibri"/>
                <w:b/>
                <w:bCs/>
                <w:color w:val="000000"/>
                <w:sz w:val="20"/>
                <w:szCs w:val="20"/>
                <w:lang w:eastAsia="hr-HR"/>
              </w:rPr>
            </w:pPr>
            <w:r w:rsidRPr="000A7FD6">
              <w:rPr>
                <w:rFonts w:ascii="Calibri" w:eastAsia="Times New Roman" w:hAnsi="Calibri" w:cs="Calibri"/>
                <w:b/>
                <w:bCs/>
                <w:color w:val="000000"/>
                <w:sz w:val="20"/>
                <w:szCs w:val="20"/>
                <w:lang w:eastAsia="hr-HR"/>
              </w:rPr>
              <w:t>Potrošnja toplinske energije (MWh)</w:t>
            </w:r>
          </w:p>
        </w:tc>
        <w:tc>
          <w:tcPr>
            <w:tcW w:w="1447" w:type="pct"/>
            <w:tcBorders>
              <w:top w:val="single" w:sz="4" w:space="0" w:color="auto"/>
              <w:left w:val="nil"/>
              <w:bottom w:val="single" w:sz="4" w:space="0" w:color="auto"/>
              <w:right w:val="single" w:sz="4" w:space="0" w:color="auto"/>
            </w:tcBorders>
            <w:shd w:val="clear" w:color="000000" w:fill="D9D9D9"/>
            <w:vAlign w:val="center"/>
            <w:hideMark/>
          </w:tcPr>
          <w:p w14:paraId="104B95E6" w14:textId="51CDB3CB" w:rsidR="000A7FD6" w:rsidRPr="000A7FD6" w:rsidRDefault="000A7FD6" w:rsidP="000A7FD6">
            <w:pPr>
              <w:spacing w:after="0" w:line="240" w:lineRule="auto"/>
              <w:jc w:val="center"/>
              <w:rPr>
                <w:rFonts w:ascii="Calibri" w:eastAsia="Times New Roman" w:hAnsi="Calibri" w:cs="Calibri"/>
                <w:b/>
                <w:bCs/>
                <w:color w:val="000000"/>
                <w:sz w:val="20"/>
                <w:szCs w:val="20"/>
                <w:lang w:eastAsia="hr-HR"/>
              </w:rPr>
            </w:pPr>
            <w:r w:rsidRPr="000A7FD6">
              <w:rPr>
                <w:rFonts w:ascii="Calibri" w:eastAsia="Times New Roman" w:hAnsi="Calibri" w:cs="Calibri"/>
                <w:b/>
                <w:bCs/>
                <w:color w:val="000000"/>
                <w:sz w:val="20"/>
                <w:szCs w:val="20"/>
                <w:lang w:eastAsia="hr-HR"/>
              </w:rPr>
              <w:t xml:space="preserve">Specifična potrošnja toplinske energije </w:t>
            </w:r>
            <w:r>
              <w:rPr>
                <w:rFonts w:ascii="Calibri" w:eastAsia="Times New Roman" w:hAnsi="Calibri" w:cs="Calibri"/>
                <w:b/>
                <w:bCs/>
                <w:color w:val="000000"/>
                <w:sz w:val="20"/>
                <w:szCs w:val="20"/>
                <w:lang w:eastAsia="hr-HR"/>
              </w:rPr>
              <w:t>(</w:t>
            </w:r>
            <w:r w:rsidRPr="000A7FD6">
              <w:rPr>
                <w:rFonts w:ascii="Calibri" w:eastAsia="Times New Roman" w:hAnsi="Calibri" w:cs="Calibri"/>
                <w:b/>
                <w:bCs/>
                <w:color w:val="000000"/>
                <w:sz w:val="20"/>
                <w:szCs w:val="20"/>
                <w:lang w:eastAsia="hr-HR"/>
              </w:rPr>
              <w:t>kWh/m</w:t>
            </w:r>
            <w:r w:rsidRPr="000A7FD6">
              <w:rPr>
                <w:rFonts w:ascii="Calibri" w:eastAsia="Times New Roman" w:hAnsi="Calibri" w:cs="Calibri"/>
                <w:b/>
                <w:bCs/>
                <w:color w:val="000000"/>
                <w:sz w:val="20"/>
                <w:szCs w:val="20"/>
                <w:vertAlign w:val="superscript"/>
                <w:lang w:eastAsia="hr-HR"/>
              </w:rPr>
              <w:t>2</w:t>
            </w:r>
            <w:r w:rsidRPr="000A7FD6">
              <w:rPr>
                <w:rFonts w:ascii="Calibri" w:eastAsia="Times New Roman" w:hAnsi="Calibri" w:cs="Calibri"/>
                <w:b/>
                <w:bCs/>
                <w:color w:val="000000"/>
                <w:sz w:val="20"/>
                <w:szCs w:val="20"/>
                <w:lang w:eastAsia="hr-HR"/>
              </w:rPr>
              <w:t>)</w:t>
            </w:r>
          </w:p>
        </w:tc>
      </w:tr>
      <w:tr w:rsidR="000A7FD6" w:rsidRPr="000A7FD6" w14:paraId="109DD905" w14:textId="77777777" w:rsidTr="00B74FC6">
        <w:trPr>
          <w:trHeight w:val="255"/>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41896272" w14:textId="77777777" w:rsidR="000A7FD6" w:rsidRPr="000A7FD6" w:rsidRDefault="000A7FD6" w:rsidP="000A7FD6">
            <w:pPr>
              <w:spacing w:after="0" w:line="240" w:lineRule="auto"/>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Toplana vrelovod</w:t>
            </w:r>
          </w:p>
        </w:tc>
        <w:tc>
          <w:tcPr>
            <w:tcW w:w="617" w:type="pct"/>
            <w:tcBorders>
              <w:top w:val="nil"/>
              <w:left w:val="nil"/>
              <w:bottom w:val="single" w:sz="4" w:space="0" w:color="auto"/>
              <w:right w:val="single" w:sz="4" w:space="0" w:color="auto"/>
            </w:tcBorders>
            <w:shd w:val="clear" w:color="auto" w:fill="auto"/>
            <w:vAlign w:val="center"/>
            <w:hideMark/>
          </w:tcPr>
          <w:p w14:paraId="4E9287AE"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31</w:t>
            </w:r>
          </w:p>
        </w:tc>
        <w:tc>
          <w:tcPr>
            <w:tcW w:w="850" w:type="pct"/>
            <w:tcBorders>
              <w:top w:val="nil"/>
              <w:left w:val="nil"/>
              <w:bottom w:val="single" w:sz="4" w:space="0" w:color="auto"/>
              <w:right w:val="single" w:sz="4" w:space="0" w:color="auto"/>
            </w:tcBorders>
            <w:shd w:val="clear" w:color="auto" w:fill="auto"/>
            <w:noWrap/>
            <w:vAlign w:val="center"/>
            <w:hideMark/>
          </w:tcPr>
          <w:p w14:paraId="666BF700" w14:textId="652A75E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92 </w:t>
            </w:r>
            <w:r w:rsidRPr="000A7FD6">
              <w:rPr>
                <w:rFonts w:ascii="Calibri" w:eastAsia="Times New Roman" w:hAnsi="Calibri" w:cs="Calibri"/>
                <w:color w:val="000000"/>
                <w:sz w:val="20"/>
                <w:szCs w:val="20"/>
                <w:lang w:eastAsia="hr-HR"/>
              </w:rPr>
              <w:t>199,38</w:t>
            </w:r>
          </w:p>
        </w:tc>
        <w:tc>
          <w:tcPr>
            <w:tcW w:w="1005" w:type="pct"/>
            <w:tcBorders>
              <w:top w:val="nil"/>
              <w:left w:val="nil"/>
              <w:bottom w:val="single" w:sz="4" w:space="0" w:color="auto"/>
              <w:right w:val="single" w:sz="4" w:space="0" w:color="auto"/>
            </w:tcBorders>
            <w:shd w:val="clear" w:color="auto" w:fill="auto"/>
            <w:noWrap/>
            <w:vAlign w:val="center"/>
            <w:hideMark/>
          </w:tcPr>
          <w:p w14:paraId="56EF9E34" w14:textId="1DE8D7EF"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21 </w:t>
            </w:r>
            <w:r w:rsidRPr="000A7FD6">
              <w:rPr>
                <w:rFonts w:ascii="Calibri" w:eastAsia="Times New Roman" w:hAnsi="Calibri" w:cs="Calibri"/>
                <w:color w:val="000000"/>
                <w:sz w:val="20"/>
                <w:szCs w:val="20"/>
                <w:lang w:eastAsia="hr-HR"/>
              </w:rPr>
              <w:t>365,79</w:t>
            </w:r>
          </w:p>
        </w:tc>
        <w:tc>
          <w:tcPr>
            <w:tcW w:w="1447" w:type="pct"/>
            <w:tcBorders>
              <w:top w:val="nil"/>
              <w:left w:val="nil"/>
              <w:bottom w:val="single" w:sz="4" w:space="0" w:color="auto"/>
              <w:right w:val="single" w:sz="4" w:space="0" w:color="auto"/>
            </w:tcBorders>
            <w:shd w:val="clear" w:color="auto" w:fill="auto"/>
            <w:noWrap/>
            <w:vAlign w:val="center"/>
            <w:hideMark/>
          </w:tcPr>
          <w:p w14:paraId="41951D9D"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231,73</w:t>
            </w:r>
          </w:p>
        </w:tc>
      </w:tr>
      <w:tr w:rsidR="000A7FD6" w:rsidRPr="000A7FD6" w14:paraId="6D67FC5E" w14:textId="77777777" w:rsidTr="00B74FC6">
        <w:trPr>
          <w:trHeight w:val="255"/>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129B4526" w14:textId="77777777" w:rsidR="000A7FD6" w:rsidRPr="000A7FD6" w:rsidRDefault="000A7FD6" w:rsidP="000A7FD6">
            <w:pPr>
              <w:spacing w:after="0" w:line="240" w:lineRule="auto"/>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Toplana para</w:t>
            </w:r>
          </w:p>
        </w:tc>
        <w:tc>
          <w:tcPr>
            <w:tcW w:w="617" w:type="pct"/>
            <w:tcBorders>
              <w:top w:val="nil"/>
              <w:left w:val="nil"/>
              <w:bottom w:val="single" w:sz="4" w:space="0" w:color="auto"/>
              <w:right w:val="single" w:sz="4" w:space="0" w:color="auto"/>
            </w:tcBorders>
            <w:shd w:val="clear" w:color="auto" w:fill="auto"/>
            <w:vAlign w:val="center"/>
            <w:hideMark/>
          </w:tcPr>
          <w:p w14:paraId="69B87C59"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2</w:t>
            </w:r>
          </w:p>
        </w:tc>
        <w:tc>
          <w:tcPr>
            <w:tcW w:w="850" w:type="pct"/>
            <w:tcBorders>
              <w:top w:val="nil"/>
              <w:left w:val="nil"/>
              <w:bottom w:val="single" w:sz="4" w:space="0" w:color="auto"/>
              <w:right w:val="single" w:sz="4" w:space="0" w:color="auto"/>
            </w:tcBorders>
            <w:shd w:val="clear" w:color="auto" w:fill="auto"/>
            <w:noWrap/>
            <w:vAlign w:val="center"/>
            <w:hideMark/>
          </w:tcPr>
          <w:p w14:paraId="65874F5A" w14:textId="1E16606A"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30 </w:t>
            </w:r>
            <w:r w:rsidRPr="000A7FD6">
              <w:rPr>
                <w:rFonts w:ascii="Calibri" w:eastAsia="Times New Roman" w:hAnsi="Calibri" w:cs="Calibri"/>
                <w:color w:val="000000"/>
                <w:sz w:val="20"/>
                <w:szCs w:val="20"/>
                <w:lang w:eastAsia="hr-HR"/>
              </w:rPr>
              <w:t>616,15</w:t>
            </w:r>
          </w:p>
        </w:tc>
        <w:tc>
          <w:tcPr>
            <w:tcW w:w="1005" w:type="pct"/>
            <w:tcBorders>
              <w:top w:val="nil"/>
              <w:left w:val="nil"/>
              <w:bottom w:val="single" w:sz="4" w:space="0" w:color="auto"/>
              <w:right w:val="single" w:sz="4" w:space="0" w:color="auto"/>
            </w:tcBorders>
            <w:shd w:val="clear" w:color="auto" w:fill="auto"/>
            <w:noWrap/>
            <w:vAlign w:val="center"/>
            <w:hideMark/>
          </w:tcPr>
          <w:p w14:paraId="12FC148D" w14:textId="38960B12"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6 </w:t>
            </w:r>
            <w:r w:rsidRPr="000A7FD6">
              <w:rPr>
                <w:rFonts w:ascii="Calibri" w:eastAsia="Times New Roman" w:hAnsi="Calibri" w:cs="Calibri"/>
                <w:color w:val="000000"/>
                <w:sz w:val="20"/>
                <w:szCs w:val="20"/>
                <w:lang w:eastAsia="hr-HR"/>
              </w:rPr>
              <w:t>657,07</w:t>
            </w:r>
          </w:p>
        </w:tc>
        <w:tc>
          <w:tcPr>
            <w:tcW w:w="1447" w:type="pct"/>
            <w:tcBorders>
              <w:top w:val="nil"/>
              <w:left w:val="nil"/>
              <w:bottom w:val="single" w:sz="4" w:space="0" w:color="auto"/>
              <w:right w:val="single" w:sz="4" w:space="0" w:color="auto"/>
            </w:tcBorders>
            <w:shd w:val="clear" w:color="auto" w:fill="auto"/>
            <w:noWrap/>
            <w:vAlign w:val="center"/>
            <w:hideMark/>
          </w:tcPr>
          <w:p w14:paraId="6BAD2B6E"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217,44</w:t>
            </w:r>
          </w:p>
        </w:tc>
      </w:tr>
      <w:tr w:rsidR="000A7FD6" w:rsidRPr="000A7FD6" w14:paraId="7232273B" w14:textId="77777777" w:rsidTr="00B74FC6">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49498115" w14:textId="77777777" w:rsidR="000A7FD6" w:rsidRPr="000A7FD6" w:rsidRDefault="000A7FD6" w:rsidP="000A7FD6">
            <w:pPr>
              <w:spacing w:after="0" w:line="240" w:lineRule="auto"/>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Prirodni plin</w:t>
            </w:r>
          </w:p>
        </w:tc>
        <w:tc>
          <w:tcPr>
            <w:tcW w:w="617" w:type="pct"/>
            <w:tcBorders>
              <w:top w:val="nil"/>
              <w:left w:val="nil"/>
              <w:bottom w:val="single" w:sz="4" w:space="0" w:color="auto"/>
              <w:right w:val="single" w:sz="4" w:space="0" w:color="auto"/>
            </w:tcBorders>
            <w:shd w:val="clear" w:color="auto" w:fill="auto"/>
            <w:noWrap/>
            <w:vAlign w:val="center"/>
            <w:hideMark/>
          </w:tcPr>
          <w:p w14:paraId="23E9E1DD"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103</w:t>
            </w:r>
          </w:p>
        </w:tc>
        <w:tc>
          <w:tcPr>
            <w:tcW w:w="850" w:type="pct"/>
            <w:tcBorders>
              <w:top w:val="nil"/>
              <w:left w:val="nil"/>
              <w:bottom w:val="single" w:sz="4" w:space="0" w:color="auto"/>
              <w:right w:val="single" w:sz="4" w:space="0" w:color="auto"/>
            </w:tcBorders>
            <w:shd w:val="clear" w:color="auto" w:fill="auto"/>
            <w:noWrap/>
            <w:vAlign w:val="center"/>
            <w:hideMark/>
          </w:tcPr>
          <w:p w14:paraId="5E8AAFF4" w14:textId="325134B6"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164 </w:t>
            </w:r>
            <w:r w:rsidRPr="000A7FD6">
              <w:rPr>
                <w:rFonts w:ascii="Calibri" w:eastAsia="Times New Roman" w:hAnsi="Calibri" w:cs="Calibri"/>
                <w:color w:val="000000"/>
                <w:sz w:val="20"/>
                <w:szCs w:val="20"/>
                <w:lang w:eastAsia="hr-HR"/>
              </w:rPr>
              <w:t>870,34</w:t>
            </w:r>
          </w:p>
        </w:tc>
        <w:tc>
          <w:tcPr>
            <w:tcW w:w="1005" w:type="pct"/>
            <w:tcBorders>
              <w:top w:val="nil"/>
              <w:left w:val="nil"/>
              <w:bottom w:val="single" w:sz="4" w:space="0" w:color="auto"/>
              <w:right w:val="single" w:sz="4" w:space="0" w:color="auto"/>
            </w:tcBorders>
            <w:shd w:val="clear" w:color="auto" w:fill="auto"/>
            <w:noWrap/>
            <w:vAlign w:val="center"/>
            <w:hideMark/>
          </w:tcPr>
          <w:p w14:paraId="098D0739" w14:textId="524A8FCC"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39 </w:t>
            </w:r>
            <w:r w:rsidRPr="000A7FD6">
              <w:rPr>
                <w:rFonts w:ascii="Calibri" w:eastAsia="Times New Roman" w:hAnsi="Calibri" w:cs="Calibri"/>
                <w:color w:val="000000"/>
                <w:sz w:val="20"/>
                <w:szCs w:val="20"/>
                <w:lang w:eastAsia="hr-HR"/>
              </w:rPr>
              <w:t>054,38</w:t>
            </w:r>
          </w:p>
        </w:tc>
        <w:tc>
          <w:tcPr>
            <w:tcW w:w="1447" w:type="pct"/>
            <w:tcBorders>
              <w:top w:val="nil"/>
              <w:left w:val="nil"/>
              <w:bottom w:val="single" w:sz="4" w:space="0" w:color="auto"/>
              <w:right w:val="single" w:sz="4" w:space="0" w:color="auto"/>
            </w:tcBorders>
            <w:shd w:val="clear" w:color="auto" w:fill="auto"/>
            <w:noWrap/>
            <w:vAlign w:val="center"/>
            <w:hideMark/>
          </w:tcPr>
          <w:p w14:paraId="025AD88C"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236,88</w:t>
            </w:r>
          </w:p>
        </w:tc>
      </w:tr>
      <w:tr w:rsidR="000A7FD6" w:rsidRPr="000A7FD6" w14:paraId="4308C626" w14:textId="77777777" w:rsidTr="00B74FC6">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0918015E" w14:textId="77777777" w:rsidR="000A7FD6" w:rsidRPr="000A7FD6" w:rsidRDefault="000A7FD6" w:rsidP="000A7FD6">
            <w:pPr>
              <w:spacing w:after="0" w:line="240" w:lineRule="auto"/>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Lož ulje</w:t>
            </w:r>
          </w:p>
        </w:tc>
        <w:tc>
          <w:tcPr>
            <w:tcW w:w="617" w:type="pct"/>
            <w:tcBorders>
              <w:top w:val="nil"/>
              <w:left w:val="nil"/>
              <w:bottom w:val="single" w:sz="4" w:space="0" w:color="auto"/>
              <w:right w:val="single" w:sz="4" w:space="0" w:color="auto"/>
            </w:tcBorders>
            <w:shd w:val="clear" w:color="auto" w:fill="auto"/>
            <w:noWrap/>
            <w:vAlign w:val="center"/>
            <w:hideMark/>
          </w:tcPr>
          <w:p w14:paraId="78F93229"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5</w:t>
            </w:r>
          </w:p>
        </w:tc>
        <w:tc>
          <w:tcPr>
            <w:tcW w:w="850" w:type="pct"/>
            <w:tcBorders>
              <w:top w:val="nil"/>
              <w:left w:val="nil"/>
              <w:bottom w:val="single" w:sz="4" w:space="0" w:color="auto"/>
              <w:right w:val="single" w:sz="4" w:space="0" w:color="auto"/>
            </w:tcBorders>
            <w:shd w:val="clear" w:color="auto" w:fill="auto"/>
            <w:noWrap/>
            <w:vAlign w:val="center"/>
            <w:hideMark/>
          </w:tcPr>
          <w:p w14:paraId="0B0645E2" w14:textId="04372311"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4 </w:t>
            </w:r>
            <w:r w:rsidRPr="000A7FD6">
              <w:rPr>
                <w:rFonts w:ascii="Calibri" w:eastAsia="Times New Roman" w:hAnsi="Calibri" w:cs="Calibri"/>
                <w:color w:val="000000"/>
                <w:sz w:val="20"/>
                <w:szCs w:val="20"/>
                <w:lang w:eastAsia="hr-HR"/>
              </w:rPr>
              <w:t>708,05</w:t>
            </w:r>
          </w:p>
        </w:tc>
        <w:tc>
          <w:tcPr>
            <w:tcW w:w="1005" w:type="pct"/>
            <w:tcBorders>
              <w:top w:val="nil"/>
              <w:left w:val="nil"/>
              <w:bottom w:val="single" w:sz="4" w:space="0" w:color="auto"/>
              <w:right w:val="single" w:sz="4" w:space="0" w:color="auto"/>
            </w:tcBorders>
            <w:shd w:val="clear" w:color="auto" w:fill="auto"/>
            <w:noWrap/>
            <w:vAlign w:val="center"/>
            <w:hideMark/>
          </w:tcPr>
          <w:p w14:paraId="0AB3B3AA" w14:textId="5557F9E3"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 </w:t>
            </w:r>
            <w:r w:rsidRPr="000A7FD6">
              <w:rPr>
                <w:rFonts w:ascii="Calibri" w:eastAsia="Times New Roman" w:hAnsi="Calibri" w:cs="Calibri"/>
                <w:color w:val="000000"/>
                <w:sz w:val="20"/>
                <w:szCs w:val="20"/>
                <w:lang w:eastAsia="hr-HR"/>
              </w:rPr>
              <w:t>259,28</w:t>
            </w:r>
          </w:p>
        </w:tc>
        <w:tc>
          <w:tcPr>
            <w:tcW w:w="1447" w:type="pct"/>
            <w:tcBorders>
              <w:top w:val="nil"/>
              <w:left w:val="nil"/>
              <w:bottom w:val="single" w:sz="4" w:space="0" w:color="auto"/>
              <w:right w:val="single" w:sz="4" w:space="0" w:color="auto"/>
            </w:tcBorders>
            <w:shd w:val="clear" w:color="auto" w:fill="auto"/>
            <w:noWrap/>
            <w:vAlign w:val="center"/>
            <w:hideMark/>
          </w:tcPr>
          <w:p w14:paraId="2B003BF4"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267,47</w:t>
            </w:r>
          </w:p>
        </w:tc>
      </w:tr>
      <w:tr w:rsidR="000A7FD6" w:rsidRPr="000A7FD6" w14:paraId="5E618D68" w14:textId="77777777" w:rsidTr="00B74FC6">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42A676B9" w14:textId="77777777" w:rsidR="000A7FD6" w:rsidRPr="000A7FD6" w:rsidRDefault="000A7FD6" w:rsidP="000A7FD6">
            <w:pPr>
              <w:spacing w:after="0" w:line="240" w:lineRule="auto"/>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Električna energija</w:t>
            </w:r>
          </w:p>
        </w:tc>
        <w:tc>
          <w:tcPr>
            <w:tcW w:w="617" w:type="pct"/>
            <w:tcBorders>
              <w:top w:val="nil"/>
              <w:left w:val="nil"/>
              <w:bottom w:val="single" w:sz="4" w:space="0" w:color="auto"/>
              <w:right w:val="single" w:sz="4" w:space="0" w:color="auto"/>
            </w:tcBorders>
            <w:shd w:val="clear" w:color="auto" w:fill="auto"/>
            <w:noWrap/>
            <w:vAlign w:val="center"/>
            <w:hideMark/>
          </w:tcPr>
          <w:p w14:paraId="072565A9"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1</w:t>
            </w:r>
          </w:p>
        </w:tc>
        <w:tc>
          <w:tcPr>
            <w:tcW w:w="850" w:type="pct"/>
            <w:tcBorders>
              <w:top w:val="nil"/>
              <w:left w:val="nil"/>
              <w:bottom w:val="single" w:sz="4" w:space="0" w:color="auto"/>
              <w:right w:val="single" w:sz="4" w:space="0" w:color="auto"/>
            </w:tcBorders>
            <w:shd w:val="clear" w:color="auto" w:fill="auto"/>
            <w:noWrap/>
            <w:vAlign w:val="center"/>
            <w:hideMark/>
          </w:tcPr>
          <w:p w14:paraId="40B9BEB0"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44,00</w:t>
            </w:r>
          </w:p>
        </w:tc>
        <w:tc>
          <w:tcPr>
            <w:tcW w:w="1005" w:type="pct"/>
            <w:tcBorders>
              <w:top w:val="nil"/>
              <w:left w:val="nil"/>
              <w:bottom w:val="single" w:sz="4" w:space="0" w:color="auto"/>
              <w:right w:val="single" w:sz="4" w:space="0" w:color="auto"/>
            </w:tcBorders>
            <w:shd w:val="clear" w:color="auto" w:fill="auto"/>
            <w:noWrap/>
            <w:vAlign w:val="center"/>
            <w:hideMark/>
          </w:tcPr>
          <w:p w14:paraId="30D54BEB"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13,13</w:t>
            </w:r>
          </w:p>
        </w:tc>
        <w:tc>
          <w:tcPr>
            <w:tcW w:w="1447" w:type="pct"/>
            <w:tcBorders>
              <w:top w:val="nil"/>
              <w:left w:val="nil"/>
              <w:bottom w:val="single" w:sz="4" w:space="0" w:color="auto"/>
              <w:right w:val="single" w:sz="4" w:space="0" w:color="auto"/>
            </w:tcBorders>
            <w:shd w:val="clear" w:color="auto" w:fill="auto"/>
            <w:noWrap/>
            <w:vAlign w:val="center"/>
            <w:hideMark/>
          </w:tcPr>
          <w:p w14:paraId="01CE3205"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298,36</w:t>
            </w:r>
          </w:p>
        </w:tc>
      </w:tr>
      <w:tr w:rsidR="000A7FD6" w:rsidRPr="000A7FD6" w14:paraId="368A4652" w14:textId="77777777" w:rsidTr="00B74FC6">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5F7AB356" w14:textId="77777777" w:rsidR="000A7FD6" w:rsidRPr="000A7FD6" w:rsidRDefault="000A7FD6" w:rsidP="000A7FD6">
            <w:pPr>
              <w:spacing w:after="0" w:line="240" w:lineRule="auto"/>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UNP</w:t>
            </w:r>
          </w:p>
        </w:tc>
        <w:tc>
          <w:tcPr>
            <w:tcW w:w="617" w:type="pct"/>
            <w:tcBorders>
              <w:top w:val="nil"/>
              <w:left w:val="nil"/>
              <w:bottom w:val="single" w:sz="4" w:space="0" w:color="auto"/>
              <w:right w:val="single" w:sz="4" w:space="0" w:color="auto"/>
            </w:tcBorders>
            <w:shd w:val="clear" w:color="auto" w:fill="auto"/>
            <w:noWrap/>
            <w:vAlign w:val="center"/>
            <w:hideMark/>
          </w:tcPr>
          <w:p w14:paraId="013ED1F2"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1</w:t>
            </w:r>
          </w:p>
        </w:tc>
        <w:tc>
          <w:tcPr>
            <w:tcW w:w="850" w:type="pct"/>
            <w:tcBorders>
              <w:top w:val="nil"/>
              <w:left w:val="nil"/>
              <w:bottom w:val="single" w:sz="4" w:space="0" w:color="auto"/>
              <w:right w:val="single" w:sz="4" w:space="0" w:color="auto"/>
            </w:tcBorders>
            <w:shd w:val="clear" w:color="auto" w:fill="auto"/>
            <w:noWrap/>
            <w:vAlign w:val="center"/>
            <w:hideMark/>
          </w:tcPr>
          <w:p w14:paraId="6208F360" w14:textId="3A3DAC0B"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2 </w:t>
            </w:r>
            <w:r w:rsidRPr="000A7FD6">
              <w:rPr>
                <w:rFonts w:ascii="Calibri" w:eastAsia="Times New Roman" w:hAnsi="Calibri" w:cs="Calibri"/>
                <w:color w:val="000000"/>
                <w:sz w:val="20"/>
                <w:szCs w:val="20"/>
                <w:lang w:eastAsia="hr-HR"/>
              </w:rPr>
              <w:t>060,00</w:t>
            </w:r>
          </w:p>
        </w:tc>
        <w:tc>
          <w:tcPr>
            <w:tcW w:w="1005" w:type="pct"/>
            <w:tcBorders>
              <w:top w:val="nil"/>
              <w:left w:val="nil"/>
              <w:bottom w:val="single" w:sz="4" w:space="0" w:color="auto"/>
              <w:right w:val="single" w:sz="4" w:space="0" w:color="auto"/>
            </w:tcBorders>
            <w:shd w:val="clear" w:color="auto" w:fill="auto"/>
            <w:noWrap/>
            <w:vAlign w:val="center"/>
            <w:hideMark/>
          </w:tcPr>
          <w:p w14:paraId="0C6D8824"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584,54</w:t>
            </w:r>
          </w:p>
        </w:tc>
        <w:tc>
          <w:tcPr>
            <w:tcW w:w="1447" w:type="pct"/>
            <w:tcBorders>
              <w:top w:val="nil"/>
              <w:left w:val="nil"/>
              <w:bottom w:val="single" w:sz="4" w:space="0" w:color="auto"/>
              <w:right w:val="single" w:sz="4" w:space="0" w:color="auto"/>
            </w:tcBorders>
            <w:shd w:val="clear" w:color="auto" w:fill="auto"/>
            <w:noWrap/>
            <w:vAlign w:val="center"/>
            <w:hideMark/>
          </w:tcPr>
          <w:p w14:paraId="610C78FC"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283,76</w:t>
            </w:r>
          </w:p>
        </w:tc>
      </w:tr>
      <w:tr w:rsidR="000A7FD6" w:rsidRPr="000A7FD6" w14:paraId="16C561C5" w14:textId="77777777" w:rsidTr="00B74FC6">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71B88B68" w14:textId="77777777" w:rsidR="000A7FD6" w:rsidRPr="000A7FD6" w:rsidRDefault="000A7FD6" w:rsidP="000A7FD6">
            <w:pPr>
              <w:spacing w:after="0" w:line="240" w:lineRule="auto"/>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Biomasa peleti</w:t>
            </w:r>
          </w:p>
        </w:tc>
        <w:tc>
          <w:tcPr>
            <w:tcW w:w="617" w:type="pct"/>
            <w:tcBorders>
              <w:top w:val="nil"/>
              <w:left w:val="nil"/>
              <w:bottom w:val="single" w:sz="4" w:space="0" w:color="auto"/>
              <w:right w:val="single" w:sz="4" w:space="0" w:color="auto"/>
            </w:tcBorders>
            <w:shd w:val="clear" w:color="auto" w:fill="auto"/>
            <w:noWrap/>
            <w:vAlign w:val="center"/>
            <w:hideMark/>
          </w:tcPr>
          <w:p w14:paraId="4FC909E5"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1</w:t>
            </w:r>
          </w:p>
        </w:tc>
        <w:tc>
          <w:tcPr>
            <w:tcW w:w="850" w:type="pct"/>
            <w:tcBorders>
              <w:top w:val="nil"/>
              <w:left w:val="nil"/>
              <w:bottom w:val="single" w:sz="4" w:space="0" w:color="auto"/>
              <w:right w:val="single" w:sz="4" w:space="0" w:color="auto"/>
            </w:tcBorders>
            <w:shd w:val="clear" w:color="auto" w:fill="auto"/>
            <w:noWrap/>
            <w:vAlign w:val="center"/>
            <w:hideMark/>
          </w:tcPr>
          <w:p w14:paraId="6E8D6C6E" w14:textId="4F56003C"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3 </w:t>
            </w:r>
            <w:r w:rsidRPr="000A7FD6">
              <w:rPr>
                <w:rFonts w:ascii="Calibri" w:eastAsia="Times New Roman" w:hAnsi="Calibri" w:cs="Calibri"/>
                <w:color w:val="000000"/>
                <w:sz w:val="20"/>
                <w:szCs w:val="20"/>
                <w:lang w:eastAsia="hr-HR"/>
              </w:rPr>
              <w:t>300,00</w:t>
            </w:r>
          </w:p>
        </w:tc>
        <w:tc>
          <w:tcPr>
            <w:tcW w:w="1005" w:type="pct"/>
            <w:tcBorders>
              <w:top w:val="nil"/>
              <w:left w:val="nil"/>
              <w:bottom w:val="single" w:sz="4" w:space="0" w:color="auto"/>
              <w:right w:val="single" w:sz="4" w:space="0" w:color="auto"/>
            </w:tcBorders>
            <w:shd w:val="clear" w:color="auto" w:fill="auto"/>
            <w:noWrap/>
            <w:vAlign w:val="center"/>
            <w:hideMark/>
          </w:tcPr>
          <w:p w14:paraId="4285BAC9"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616,90</w:t>
            </w:r>
          </w:p>
        </w:tc>
        <w:tc>
          <w:tcPr>
            <w:tcW w:w="1447" w:type="pct"/>
            <w:tcBorders>
              <w:top w:val="nil"/>
              <w:left w:val="nil"/>
              <w:bottom w:val="single" w:sz="4" w:space="0" w:color="auto"/>
              <w:right w:val="single" w:sz="4" w:space="0" w:color="auto"/>
            </w:tcBorders>
            <w:shd w:val="clear" w:color="auto" w:fill="auto"/>
            <w:noWrap/>
            <w:vAlign w:val="center"/>
            <w:hideMark/>
          </w:tcPr>
          <w:p w14:paraId="1F5B908E" w14:textId="77777777" w:rsidR="000A7FD6" w:rsidRPr="000A7FD6" w:rsidRDefault="000A7FD6" w:rsidP="000A7FD6">
            <w:pPr>
              <w:spacing w:after="0" w:line="240" w:lineRule="auto"/>
              <w:jc w:val="center"/>
              <w:rPr>
                <w:rFonts w:ascii="Calibri" w:eastAsia="Times New Roman" w:hAnsi="Calibri" w:cs="Calibri"/>
                <w:color w:val="000000"/>
                <w:sz w:val="20"/>
                <w:szCs w:val="20"/>
                <w:lang w:eastAsia="hr-HR"/>
              </w:rPr>
            </w:pPr>
            <w:r w:rsidRPr="000A7FD6">
              <w:rPr>
                <w:rFonts w:ascii="Calibri" w:eastAsia="Times New Roman" w:hAnsi="Calibri" w:cs="Calibri"/>
                <w:color w:val="000000"/>
                <w:sz w:val="20"/>
                <w:szCs w:val="20"/>
                <w:lang w:eastAsia="hr-HR"/>
              </w:rPr>
              <w:t>186,94</w:t>
            </w:r>
          </w:p>
        </w:tc>
      </w:tr>
      <w:tr w:rsidR="000A7FD6" w:rsidRPr="000A7FD6" w14:paraId="1EF98B5A" w14:textId="77777777" w:rsidTr="00B74FC6">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2D446F4D" w14:textId="77777777" w:rsidR="000A7FD6" w:rsidRPr="000A7FD6" w:rsidRDefault="000A7FD6" w:rsidP="000A7FD6">
            <w:pPr>
              <w:spacing w:after="0" w:line="240" w:lineRule="auto"/>
              <w:rPr>
                <w:rFonts w:ascii="Calibri" w:eastAsia="Times New Roman" w:hAnsi="Calibri" w:cs="Calibri"/>
                <w:b/>
                <w:bCs/>
                <w:color w:val="000000"/>
                <w:sz w:val="20"/>
                <w:szCs w:val="20"/>
                <w:lang w:eastAsia="hr-HR"/>
              </w:rPr>
            </w:pPr>
            <w:r w:rsidRPr="000A7FD6">
              <w:rPr>
                <w:rFonts w:ascii="Calibri" w:eastAsia="Times New Roman" w:hAnsi="Calibri" w:cs="Calibri"/>
                <w:b/>
                <w:bCs/>
                <w:color w:val="000000"/>
                <w:sz w:val="20"/>
                <w:szCs w:val="20"/>
                <w:lang w:eastAsia="hr-HR"/>
              </w:rPr>
              <w:t>UKUPNO</w:t>
            </w:r>
          </w:p>
        </w:tc>
        <w:tc>
          <w:tcPr>
            <w:tcW w:w="617" w:type="pct"/>
            <w:tcBorders>
              <w:top w:val="nil"/>
              <w:left w:val="nil"/>
              <w:bottom w:val="single" w:sz="4" w:space="0" w:color="auto"/>
              <w:right w:val="single" w:sz="4" w:space="0" w:color="auto"/>
            </w:tcBorders>
            <w:shd w:val="clear" w:color="000000" w:fill="D9D9D9"/>
            <w:noWrap/>
            <w:vAlign w:val="center"/>
            <w:hideMark/>
          </w:tcPr>
          <w:p w14:paraId="356EA14F" w14:textId="77777777" w:rsidR="000A7FD6" w:rsidRPr="000A7FD6" w:rsidRDefault="000A7FD6" w:rsidP="000A7FD6">
            <w:pPr>
              <w:spacing w:after="0" w:line="240" w:lineRule="auto"/>
              <w:jc w:val="center"/>
              <w:rPr>
                <w:rFonts w:ascii="Calibri" w:eastAsia="Times New Roman" w:hAnsi="Calibri" w:cs="Calibri"/>
                <w:b/>
                <w:bCs/>
                <w:color w:val="000000"/>
                <w:sz w:val="20"/>
                <w:szCs w:val="20"/>
                <w:lang w:eastAsia="hr-HR"/>
              </w:rPr>
            </w:pPr>
            <w:r w:rsidRPr="000A7FD6">
              <w:rPr>
                <w:rFonts w:ascii="Calibri" w:eastAsia="Times New Roman" w:hAnsi="Calibri" w:cs="Calibri"/>
                <w:b/>
                <w:bCs/>
                <w:color w:val="000000"/>
                <w:sz w:val="20"/>
                <w:szCs w:val="20"/>
                <w:lang w:eastAsia="hr-HR"/>
              </w:rPr>
              <w:t>144</w:t>
            </w:r>
          </w:p>
        </w:tc>
        <w:tc>
          <w:tcPr>
            <w:tcW w:w="850" w:type="pct"/>
            <w:tcBorders>
              <w:top w:val="nil"/>
              <w:left w:val="nil"/>
              <w:bottom w:val="single" w:sz="4" w:space="0" w:color="auto"/>
              <w:right w:val="single" w:sz="4" w:space="0" w:color="auto"/>
            </w:tcBorders>
            <w:shd w:val="clear" w:color="000000" w:fill="D9D9D9"/>
            <w:noWrap/>
            <w:vAlign w:val="center"/>
            <w:hideMark/>
          </w:tcPr>
          <w:p w14:paraId="702F2059" w14:textId="4F7EA866" w:rsidR="000A7FD6" w:rsidRPr="000A7FD6" w:rsidRDefault="000A7FD6" w:rsidP="000A7FD6">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297 </w:t>
            </w:r>
            <w:r w:rsidRPr="000A7FD6">
              <w:rPr>
                <w:rFonts w:ascii="Calibri" w:eastAsia="Times New Roman" w:hAnsi="Calibri" w:cs="Calibri"/>
                <w:b/>
                <w:bCs/>
                <w:color w:val="000000"/>
                <w:sz w:val="20"/>
                <w:szCs w:val="20"/>
                <w:lang w:eastAsia="hr-HR"/>
              </w:rPr>
              <w:t>797,92</w:t>
            </w:r>
          </w:p>
        </w:tc>
        <w:tc>
          <w:tcPr>
            <w:tcW w:w="1005" w:type="pct"/>
            <w:tcBorders>
              <w:top w:val="nil"/>
              <w:left w:val="nil"/>
              <w:bottom w:val="single" w:sz="4" w:space="0" w:color="auto"/>
              <w:right w:val="single" w:sz="4" w:space="0" w:color="auto"/>
            </w:tcBorders>
            <w:shd w:val="clear" w:color="000000" w:fill="D9D9D9"/>
            <w:noWrap/>
            <w:vAlign w:val="center"/>
            <w:hideMark/>
          </w:tcPr>
          <w:p w14:paraId="5AF8EF91" w14:textId="0A90425E" w:rsidR="000A7FD6" w:rsidRPr="000A7FD6" w:rsidRDefault="000A7FD6" w:rsidP="000A7FD6">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69 </w:t>
            </w:r>
            <w:r w:rsidRPr="000A7FD6">
              <w:rPr>
                <w:rFonts w:ascii="Calibri" w:eastAsia="Times New Roman" w:hAnsi="Calibri" w:cs="Calibri"/>
                <w:b/>
                <w:bCs/>
                <w:color w:val="000000"/>
                <w:sz w:val="20"/>
                <w:szCs w:val="20"/>
                <w:lang w:eastAsia="hr-HR"/>
              </w:rPr>
              <w:t>551,08</w:t>
            </w:r>
          </w:p>
        </w:tc>
        <w:tc>
          <w:tcPr>
            <w:tcW w:w="1447" w:type="pct"/>
            <w:tcBorders>
              <w:top w:val="nil"/>
              <w:left w:val="nil"/>
              <w:bottom w:val="single" w:sz="4" w:space="0" w:color="auto"/>
              <w:right w:val="single" w:sz="4" w:space="0" w:color="auto"/>
            </w:tcBorders>
            <w:shd w:val="clear" w:color="000000" w:fill="D9D9D9"/>
            <w:noWrap/>
            <w:vAlign w:val="center"/>
            <w:hideMark/>
          </w:tcPr>
          <w:p w14:paraId="1B0B639F" w14:textId="77777777" w:rsidR="000A7FD6" w:rsidRPr="000A7FD6" w:rsidRDefault="000A7FD6" w:rsidP="000A7FD6">
            <w:pPr>
              <w:spacing w:after="0" w:line="240" w:lineRule="auto"/>
              <w:jc w:val="center"/>
              <w:rPr>
                <w:rFonts w:ascii="Calibri" w:eastAsia="Times New Roman" w:hAnsi="Calibri" w:cs="Calibri"/>
                <w:b/>
                <w:bCs/>
                <w:color w:val="000000"/>
                <w:sz w:val="20"/>
                <w:szCs w:val="20"/>
                <w:lang w:eastAsia="hr-HR"/>
              </w:rPr>
            </w:pPr>
            <w:r w:rsidRPr="000A7FD6">
              <w:rPr>
                <w:rFonts w:ascii="Calibri" w:eastAsia="Times New Roman" w:hAnsi="Calibri" w:cs="Calibri"/>
                <w:b/>
                <w:bCs/>
                <w:color w:val="000000"/>
                <w:sz w:val="20"/>
                <w:szCs w:val="20"/>
                <w:lang w:eastAsia="hr-HR"/>
              </w:rPr>
              <w:t>233,55</w:t>
            </w:r>
          </w:p>
        </w:tc>
      </w:tr>
    </w:tbl>
    <w:p w14:paraId="2D05E821" w14:textId="77777777" w:rsidR="000A7FD6" w:rsidRDefault="000A7FD6" w:rsidP="00E92750">
      <w:pPr>
        <w:suppressAutoHyphens/>
        <w:autoSpaceDN w:val="0"/>
        <w:spacing w:after="0" w:line="240" w:lineRule="auto"/>
        <w:jc w:val="center"/>
        <w:textAlignment w:val="baseline"/>
        <w:rPr>
          <w:noProof/>
          <w:lang w:eastAsia="hr-HR"/>
        </w:rPr>
      </w:pPr>
    </w:p>
    <w:p w14:paraId="56A7110E" w14:textId="48C35E3A" w:rsidR="000A7FD6" w:rsidRDefault="000A7FD6" w:rsidP="00E92750">
      <w:pPr>
        <w:suppressAutoHyphens/>
        <w:autoSpaceDN w:val="0"/>
        <w:spacing w:after="0" w:line="240" w:lineRule="auto"/>
        <w:jc w:val="center"/>
        <w:textAlignment w:val="baseline"/>
        <w:rPr>
          <w:noProof/>
          <w:lang w:eastAsia="hr-HR"/>
        </w:rPr>
      </w:pPr>
      <w:r>
        <w:rPr>
          <w:noProof/>
          <w:lang w:eastAsia="hr-HR"/>
        </w:rPr>
        <w:drawing>
          <wp:inline distT="0" distB="0" distL="0" distR="0" wp14:anchorId="0A02A48D" wp14:editId="37507AEF">
            <wp:extent cx="4739986" cy="2860963"/>
            <wp:effectExtent l="38100" t="0" r="3810" b="0"/>
            <wp:docPr id="132" name="Chart 132">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AF2862" w14:textId="12F0B6E2" w:rsidR="001545E2" w:rsidRPr="00BB0033" w:rsidRDefault="001545E2" w:rsidP="00E92750">
      <w:pPr>
        <w:suppressAutoHyphens/>
        <w:autoSpaceDN w:val="0"/>
        <w:spacing w:after="240" w:line="240" w:lineRule="auto"/>
        <w:jc w:val="center"/>
        <w:textAlignment w:val="baseline"/>
        <w:rPr>
          <w:rFonts w:ascii="Calibri" w:eastAsia="Calibri" w:hAnsi="Calibri" w:cs="Times New Roman"/>
        </w:rPr>
      </w:pPr>
      <w:bookmarkStart w:id="40" w:name="_Ref461702640"/>
      <w:bookmarkStart w:id="41" w:name="_Toc468277410"/>
      <w:r w:rsidRPr="00BB0033">
        <w:rPr>
          <w:b/>
        </w:rPr>
        <w:t xml:space="preserve">Slika </w:t>
      </w:r>
      <w:r w:rsidRPr="00BB0033">
        <w:rPr>
          <w:b/>
        </w:rPr>
        <w:fldChar w:fldCharType="begin"/>
      </w:r>
      <w:r w:rsidRPr="00BB0033">
        <w:rPr>
          <w:b/>
        </w:rPr>
        <w:instrText xml:space="preserve"> STYLEREF 1 \s </w:instrText>
      </w:r>
      <w:r w:rsidRPr="00BB0033">
        <w:rPr>
          <w:b/>
        </w:rPr>
        <w:fldChar w:fldCharType="separate"/>
      </w:r>
      <w:r w:rsidR="009C319B" w:rsidRPr="00BB0033">
        <w:rPr>
          <w:b/>
          <w:noProof/>
        </w:rPr>
        <w:t>4</w:t>
      </w:r>
      <w:r w:rsidRPr="00BB0033">
        <w:rPr>
          <w:b/>
          <w:noProof/>
        </w:rPr>
        <w:fldChar w:fldCharType="end"/>
      </w:r>
      <w:r w:rsidRPr="00BB0033">
        <w:rPr>
          <w:b/>
        </w:rPr>
        <w:t>.</w:t>
      </w:r>
      <w:r w:rsidRPr="00BB0033">
        <w:rPr>
          <w:b/>
        </w:rPr>
        <w:fldChar w:fldCharType="begin"/>
      </w:r>
      <w:r w:rsidRPr="00BB0033">
        <w:rPr>
          <w:b/>
        </w:rPr>
        <w:instrText xml:space="preserve"> SEQ Slika \* ARABIC \s 1 </w:instrText>
      </w:r>
      <w:r w:rsidRPr="00BB0033">
        <w:rPr>
          <w:b/>
        </w:rPr>
        <w:fldChar w:fldCharType="separate"/>
      </w:r>
      <w:r w:rsidR="009C319B" w:rsidRPr="00BB0033">
        <w:rPr>
          <w:b/>
          <w:noProof/>
        </w:rPr>
        <w:t>6</w:t>
      </w:r>
      <w:r w:rsidRPr="00BB0033">
        <w:rPr>
          <w:b/>
          <w:noProof/>
        </w:rPr>
        <w:fldChar w:fldCharType="end"/>
      </w:r>
      <w:bookmarkEnd w:id="40"/>
      <w:r w:rsidRPr="00BB0033">
        <w:rPr>
          <w:rFonts w:ascii="Calibri" w:eastAsia="Calibri" w:hAnsi="Calibri" w:cs="Times New Roman"/>
          <w:b/>
        </w:rPr>
        <w:t xml:space="preserve"> </w:t>
      </w:r>
      <w:r w:rsidRPr="00BB0033">
        <w:rPr>
          <w:rFonts w:ascii="Calibri" w:eastAsia="Calibri" w:hAnsi="Calibri" w:cs="Times New Roman"/>
        </w:rPr>
        <w:t>Struktura potrošnje toplin</w:t>
      </w:r>
      <w:r w:rsidR="00331B28" w:rsidRPr="00BB0033">
        <w:rPr>
          <w:rFonts w:ascii="Calibri" w:eastAsia="Calibri" w:hAnsi="Calibri" w:cs="Times New Roman"/>
        </w:rPr>
        <w:t xml:space="preserve">ske energije </w:t>
      </w:r>
      <w:r w:rsidR="00C825D7" w:rsidRPr="00BB0033">
        <w:rPr>
          <w:rFonts w:ascii="Calibri" w:eastAsia="Calibri" w:hAnsi="Calibri" w:cs="Times New Roman"/>
        </w:rPr>
        <w:t>objekata</w:t>
      </w:r>
      <w:r w:rsidR="00331B28" w:rsidRPr="00BB0033">
        <w:rPr>
          <w:rFonts w:ascii="Calibri" w:eastAsia="Calibri" w:hAnsi="Calibri" w:cs="Times New Roman"/>
        </w:rPr>
        <w:t xml:space="preserve"> zdravstva i socijalne zaštite</w:t>
      </w:r>
      <w:r w:rsidR="00C825D7" w:rsidRPr="00BB0033">
        <w:rPr>
          <w:rFonts w:ascii="Calibri" w:eastAsia="Calibri" w:hAnsi="Calibri" w:cs="Times New Roman"/>
        </w:rPr>
        <w:t xml:space="preserve"> u vlasništvu</w:t>
      </w:r>
      <w:r w:rsidRPr="00BB0033">
        <w:rPr>
          <w:rFonts w:ascii="Calibri" w:eastAsia="Calibri" w:hAnsi="Calibri" w:cs="Times New Roman"/>
        </w:rPr>
        <w:t xml:space="preserve"> Grada Zagreba</w:t>
      </w:r>
      <w:r w:rsidR="001C26A0" w:rsidRPr="00BB0033">
        <w:rPr>
          <w:rFonts w:ascii="Calibri" w:eastAsia="Calibri" w:hAnsi="Calibri" w:cs="Times New Roman"/>
        </w:rPr>
        <w:t xml:space="preserve"> u 2015. godini</w:t>
      </w:r>
      <w:bookmarkEnd w:id="41"/>
    </w:p>
    <w:p w14:paraId="78ACF6B0" w14:textId="658FD141" w:rsidR="001545E2" w:rsidRPr="00E16420" w:rsidRDefault="001545E2" w:rsidP="00E92750">
      <w:pPr>
        <w:suppressAutoHyphens/>
        <w:autoSpaceDN w:val="0"/>
        <w:spacing w:after="240" w:line="240" w:lineRule="auto"/>
        <w:jc w:val="both"/>
        <w:textAlignment w:val="baseline"/>
        <w:rPr>
          <w:rFonts w:ascii="Calibri" w:eastAsia="Calibri" w:hAnsi="Calibri" w:cs="Times New Roman"/>
        </w:rPr>
      </w:pPr>
      <w:r w:rsidRPr="00E16420">
        <w:rPr>
          <w:rFonts w:ascii="Calibri" w:eastAsia="Calibri" w:hAnsi="Calibri" w:cs="Times New Roman"/>
        </w:rPr>
        <w:t>Gledajući udio pojedinih energenata u ukupnoj potrošnji toplin</w:t>
      </w:r>
      <w:r w:rsidR="009F7524" w:rsidRPr="00E16420">
        <w:rPr>
          <w:rFonts w:ascii="Calibri" w:eastAsia="Calibri" w:hAnsi="Calibri" w:cs="Times New Roman"/>
        </w:rPr>
        <w:t xml:space="preserve">ske energije </w:t>
      </w:r>
      <w:r w:rsidR="00C825D7" w:rsidRPr="00E16420">
        <w:rPr>
          <w:rFonts w:ascii="Calibri" w:eastAsia="Calibri" w:hAnsi="Calibri" w:cs="Times New Roman"/>
        </w:rPr>
        <w:t>objekata</w:t>
      </w:r>
      <w:r w:rsidR="009F7524" w:rsidRPr="00E16420">
        <w:rPr>
          <w:rFonts w:ascii="Calibri" w:eastAsia="Calibri" w:hAnsi="Calibri" w:cs="Times New Roman"/>
        </w:rPr>
        <w:t xml:space="preserve"> zdravstva i socijalne zaštite</w:t>
      </w:r>
      <w:r w:rsidR="00C825D7" w:rsidRPr="00E16420">
        <w:rPr>
          <w:rFonts w:ascii="Calibri" w:eastAsia="Calibri" w:hAnsi="Calibri" w:cs="Times New Roman"/>
        </w:rPr>
        <w:t xml:space="preserve"> u </w:t>
      </w:r>
      <w:r w:rsidR="00D664D1" w:rsidRPr="00E16420">
        <w:rPr>
          <w:rFonts w:ascii="Calibri" w:eastAsia="Calibri" w:hAnsi="Calibri" w:cs="Times New Roman"/>
        </w:rPr>
        <w:t>2015. godini,</w:t>
      </w:r>
      <w:r w:rsidRPr="00E16420">
        <w:rPr>
          <w:rFonts w:ascii="Calibri" w:eastAsia="Calibri" w:hAnsi="Calibri" w:cs="Times New Roman"/>
        </w:rPr>
        <w:t xml:space="preserve"> omjer je sljedeći: </w:t>
      </w:r>
      <w:r w:rsidR="000A7FD6">
        <w:rPr>
          <w:rFonts w:ascii="Calibri" w:eastAsia="Calibri" w:hAnsi="Calibri" w:cs="Times New Roman"/>
        </w:rPr>
        <w:t>prirodni plin 56,15</w:t>
      </w:r>
      <w:r w:rsidR="009F7524" w:rsidRPr="00E16420">
        <w:rPr>
          <w:rFonts w:ascii="Calibri" w:eastAsia="Calibri" w:hAnsi="Calibri" w:cs="Times New Roman"/>
        </w:rPr>
        <w:t xml:space="preserve">%, </w:t>
      </w:r>
      <w:r w:rsidR="00BA4543" w:rsidRPr="00E16420">
        <w:rPr>
          <w:rFonts w:ascii="Calibri" w:eastAsia="Calibri" w:hAnsi="Calibri" w:cs="Times New Roman"/>
        </w:rPr>
        <w:t xml:space="preserve">toplana </w:t>
      </w:r>
      <w:r w:rsidR="000A7FD6">
        <w:rPr>
          <w:rFonts w:ascii="Calibri" w:eastAsia="Calibri" w:hAnsi="Calibri" w:cs="Times New Roman"/>
        </w:rPr>
        <w:t>vrelovod 30,72%, toplana para 9,57</w:t>
      </w:r>
      <w:r w:rsidR="00BA4543" w:rsidRPr="00E16420">
        <w:rPr>
          <w:rFonts w:ascii="Calibri" w:eastAsia="Calibri" w:hAnsi="Calibri" w:cs="Times New Roman"/>
        </w:rPr>
        <w:t>%, lož</w:t>
      </w:r>
      <w:r w:rsidR="000A7FD6">
        <w:rPr>
          <w:rFonts w:ascii="Calibri" w:eastAsia="Calibri" w:hAnsi="Calibri" w:cs="Times New Roman"/>
        </w:rPr>
        <w:t xml:space="preserve"> ulje 1,81%, dok 1,75</w:t>
      </w:r>
      <w:r w:rsidRPr="00E16420">
        <w:rPr>
          <w:rFonts w:ascii="Calibri" w:eastAsia="Calibri" w:hAnsi="Calibri" w:cs="Times New Roman"/>
        </w:rPr>
        <w:t>% se odnosi na ele</w:t>
      </w:r>
      <w:r w:rsidR="009F7524" w:rsidRPr="00E16420">
        <w:rPr>
          <w:rFonts w:ascii="Calibri" w:eastAsia="Calibri" w:hAnsi="Calibri" w:cs="Times New Roman"/>
        </w:rPr>
        <w:t>ktričnu energiju</w:t>
      </w:r>
      <w:r w:rsidR="000A7FD6">
        <w:rPr>
          <w:rFonts w:ascii="Calibri" w:eastAsia="Calibri" w:hAnsi="Calibri" w:cs="Times New Roman"/>
        </w:rPr>
        <w:t>, UNP</w:t>
      </w:r>
      <w:r w:rsidRPr="00E16420">
        <w:rPr>
          <w:rFonts w:ascii="Calibri" w:eastAsia="Calibri" w:hAnsi="Calibri" w:cs="Times New Roman"/>
        </w:rPr>
        <w:t xml:space="preserve"> i biomasu.</w:t>
      </w:r>
    </w:p>
    <w:p w14:paraId="7C42EE8F" w14:textId="57FCF841" w:rsidR="00803E39" w:rsidRPr="007C7920" w:rsidRDefault="003F72A3" w:rsidP="00E92750">
      <w:pPr>
        <w:suppressAutoHyphens/>
        <w:autoSpaceDN w:val="0"/>
        <w:spacing w:after="0" w:line="240" w:lineRule="auto"/>
        <w:jc w:val="center"/>
        <w:textAlignment w:val="baseline"/>
        <w:rPr>
          <w:noProof/>
          <w:highlight w:val="yellow"/>
          <w:lang w:eastAsia="hr-HR"/>
        </w:rPr>
      </w:pPr>
      <w:r>
        <w:rPr>
          <w:noProof/>
          <w:lang w:eastAsia="hr-HR"/>
        </w:rPr>
        <w:lastRenderedPageBreak/>
        <w:drawing>
          <wp:inline distT="0" distB="0" distL="0" distR="0" wp14:anchorId="1ECCA916" wp14:editId="27F1DB87">
            <wp:extent cx="5184843" cy="3570051"/>
            <wp:effectExtent l="0" t="0" r="0" b="0"/>
            <wp:docPr id="137" name="Chart 137">
              <a:extLst xmlns:a="http://schemas.openxmlformats.org/drawingml/2006/main">
                <a:ext uri="{FF2B5EF4-FFF2-40B4-BE49-F238E27FC236}">
                  <a16:creationId xmlns:a16="http://schemas.microsoft.com/office/drawing/2014/main"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D7E1CD" w14:textId="4BD34352" w:rsidR="001545E2" w:rsidRPr="00BB0033" w:rsidRDefault="001545E2" w:rsidP="00E92750">
      <w:pPr>
        <w:spacing w:line="240" w:lineRule="auto"/>
        <w:jc w:val="center"/>
        <w:rPr>
          <w:noProof/>
        </w:rPr>
      </w:pPr>
      <w:bookmarkStart w:id="42" w:name="_Ref461702666"/>
      <w:bookmarkStart w:id="43" w:name="_Toc468277411"/>
      <w:r w:rsidRPr="00BB0033">
        <w:rPr>
          <w:b/>
        </w:rPr>
        <w:t xml:space="preserve">Slika </w:t>
      </w:r>
      <w:r w:rsidRPr="00BB0033">
        <w:rPr>
          <w:b/>
        </w:rPr>
        <w:fldChar w:fldCharType="begin"/>
      </w:r>
      <w:r w:rsidRPr="00BB0033">
        <w:rPr>
          <w:b/>
        </w:rPr>
        <w:instrText xml:space="preserve"> STYLEREF 1 \s </w:instrText>
      </w:r>
      <w:r w:rsidRPr="00BB0033">
        <w:rPr>
          <w:b/>
        </w:rPr>
        <w:fldChar w:fldCharType="separate"/>
      </w:r>
      <w:r w:rsidR="009C319B" w:rsidRPr="00BB0033">
        <w:rPr>
          <w:b/>
          <w:noProof/>
        </w:rPr>
        <w:t>4</w:t>
      </w:r>
      <w:r w:rsidRPr="00BB0033">
        <w:rPr>
          <w:b/>
          <w:noProof/>
        </w:rPr>
        <w:fldChar w:fldCharType="end"/>
      </w:r>
      <w:r w:rsidRPr="00BB0033">
        <w:rPr>
          <w:b/>
        </w:rPr>
        <w:t>.</w:t>
      </w:r>
      <w:r w:rsidRPr="00BB0033">
        <w:rPr>
          <w:b/>
        </w:rPr>
        <w:fldChar w:fldCharType="begin"/>
      </w:r>
      <w:r w:rsidRPr="00BB0033">
        <w:rPr>
          <w:b/>
        </w:rPr>
        <w:instrText xml:space="preserve"> SEQ Slika \* ARABIC \s 1 </w:instrText>
      </w:r>
      <w:r w:rsidRPr="00BB0033">
        <w:rPr>
          <w:b/>
        </w:rPr>
        <w:fldChar w:fldCharType="separate"/>
      </w:r>
      <w:r w:rsidR="009C319B" w:rsidRPr="00BB0033">
        <w:rPr>
          <w:b/>
          <w:noProof/>
        </w:rPr>
        <w:t>7</w:t>
      </w:r>
      <w:r w:rsidRPr="00BB0033">
        <w:rPr>
          <w:b/>
          <w:noProof/>
        </w:rPr>
        <w:fldChar w:fldCharType="end"/>
      </w:r>
      <w:bookmarkEnd w:id="42"/>
      <w:r w:rsidRPr="00BB0033">
        <w:rPr>
          <w:b/>
          <w:noProof/>
        </w:rPr>
        <w:t xml:space="preserve"> </w:t>
      </w:r>
      <w:r w:rsidR="00131530" w:rsidRPr="00BB0033">
        <w:rPr>
          <w:noProof/>
        </w:rPr>
        <w:t>Specifična korisna energija za grijanje</w:t>
      </w:r>
      <w:r w:rsidR="009F7524" w:rsidRPr="00BB0033">
        <w:rPr>
          <w:noProof/>
        </w:rPr>
        <w:t xml:space="preserve"> </w:t>
      </w:r>
      <w:r w:rsidR="00DA0F48" w:rsidRPr="00BB0033">
        <w:rPr>
          <w:noProof/>
        </w:rPr>
        <w:t xml:space="preserve">objekata </w:t>
      </w:r>
      <w:r w:rsidR="009F7524" w:rsidRPr="00BB0033">
        <w:rPr>
          <w:noProof/>
        </w:rPr>
        <w:t>zdravstva i socijalne zaštite</w:t>
      </w:r>
      <w:r w:rsidR="00DA0F48" w:rsidRPr="00BB0033">
        <w:rPr>
          <w:noProof/>
        </w:rPr>
        <w:t xml:space="preserve"> u vlasništvu </w:t>
      </w:r>
      <w:r w:rsidRPr="00BB0033">
        <w:rPr>
          <w:noProof/>
        </w:rPr>
        <w:t>Grada Zagreba</w:t>
      </w:r>
      <w:r w:rsidR="00D22F32" w:rsidRPr="00BB0033">
        <w:rPr>
          <w:noProof/>
        </w:rPr>
        <w:t xml:space="preserve"> u 2015. godini</w:t>
      </w:r>
      <w:bookmarkEnd w:id="43"/>
    </w:p>
    <w:p w14:paraId="0BFE18EB" w14:textId="50B75081" w:rsidR="001545E2" w:rsidRPr="00D55A67" w:rsidRDefault="001545E2" w:rsidP="00E92750">
      <w:pPr>
        <w:suppressAutoHyphens/>
        <w:autoSpaceDN w:val="0"/>
        <w:spacing w:after="240" w:line="240" w:lineRule="auto"/>
        <w:jc w:val="both"/>
        <w:textAlignment w:val="baseline"/>
        <w:rPr>
          <w:rFonts w:ascii="Calibri" w:eastAsia="Calibri" w:hAnsi="Calibri" w:cs="Times New Roman"/>
        </w:rPr>
      </w:pPr>
      <w:r w:rsidRPr="00D55A67">
        <w:rPr>
          <w:rFonts w:ascii="Calibri" w:eastAsia="Calibri" w:hAnsi="Calibri" w:cs="Times New Roman"/>
        </w:rPr>
        <w:t>Gledajući p</w:t>
      </w:r>
      <w:r w:rsidR="00D55A67" w:rsidRPr="00D55A67">
        <w:rPr>
          <w:rFonts w:ascii="Calibri" w:eastAsia="Calibri" w:hAnsi="Calibri" w:cs="Times New Roman"/>
        </w:rPr>
        <w:t>od</w:t>
      </w:r>
      <w:r w:rsidR="00F84C19" w:rsidRPr="00D55A67">
        <w:rPr>
          <w:rFonts w:ascii="Calibri" w:eastAsia="Calibri" w:hAnsi="Calibri" w:cs="Times New Roman"/>
        </w:rPr>
        <w:t>kategorije zdravstva i socijalne zaštite</w:t>
      </w:r>
      <w:r w:rsidR="00DA0F48" w:rsidRPr="00D55A67">
        <w:rPr>
          <w:rFonts w:ascii="Calibri" w:eastAsia="Calibri" w:hAnsi="Calibri" w:cs="Times New Roman"/>
        </w:rPr>
        <w:t xml:space="preserve"> u vlasništvu Grada Zagreba</w:t>
      </w:r>
      <w:r w:rsidRPr="00D55A67">
        <w:rPr>
          <w:rFonts w:ascii="Calibri" w:eastAsia="Calibri" w:hAnsi="Calibri" w:cs="Times New Roman"/>
        </w:rPr>
        <w:t xml:space="preserve">, najveća specifična </w:t>
      </w:r>
      <w:r w:rsidR="00DA0F48" w:rsidRPr="00D55A67">
        <w:rPr>
          <w:rFonts w:ascii="Calibri" w:eastAsia="Calibri" w:hAnsi="Calibri" w:cs="Times New Roman"/>
        </w:rPr>
        <w:t>korisna energija</w:t>
      </w:r>
      <w:r w:rsidRPr="00D55A67">
        <w:rPr>
          <w:rFonts w:ascii="Calibri" w:eastAsia="Calibri" w:hAnsi="Calibri" w:cs="Times New Roman"/>
        </w:rPr>
        <w:t xml:space="preserve"> za grijanje prisu</w:t>
      </w:r>
      <w:r w:rsidR="00AB2C3D" w:rsidRPr="00D55A67">
        <w:rPr>
          <w:rFonts w:ascii="Calibri" w:eastAsia="Calibri" w:hAnsi="Calibri" w:cs="Times New Roman"/>
        </w:rPr>
        <w:t>tna je u objektima bolnice i poliklinike</w:t>
      </w:r>
      <w:r w:rsidR="00DA0F48" w:rsidRPr="00D55A67">
        <w:rPr>
          <w:rFonts w:ascii="Calibri" w:eastAsia="Calibri" w:hAnsi="Calibri" w:cs="Times New Roman"/>
        </w:rPr>
        <w:t xml:space="preserve"> (253,98 kWh/m</w:t>
      </w:r>
      <w:r w:rsidR="00DA0F48" w:rsidRPr="00D55A67">
        <w:rPr>
          <w:rFonts w:ascii="Calibri" w:eastAsia="Calibri" w:hAnsi="Calibri" w:cs="Times New Roman"/>
          <w:vertAlign w:val="superscript"/>
        </w:rPr>
        <w:t>2</w:t>
      </w:r>
      <w:r w:rsidR="00DA0F48" w:rsidRPr="00D55A67">
        <w:rPr>
          <w:rFonts w:ascii="Calibri" w:eastAsia="Calibri" w:hAnsi="Calibri" w:cs="Times New Roman"/>
        </w:rPr>
        <w:t>)</w:t>
      </w:r>
      <w:r w:rsidRPr="00D55A67">
        <w:rPr>
          <w:rFonts w:ascii="Calibri" w:eastAsia="Calibri" w:hAnsi="Calibri" w:cs="Times New Roman"/>
        </w:rPr>
        <w:t>,</w:t>
      </w:r>
      <w:r w:rsidR="00AB2C3D" w:rsidRPr="00D55A67">
        <w:rPr>
          <w:rFonts w:ascii="Calibri" w:eastAsia="Calibri" w:hAnsi="Calibri" w:cs="Times New Roman"/>
        </w:rPr>
        <w:t xml:space="preserve"> zatim </w:t>
      </w:r>
      <w:r w:rsidRPr="00D55A67">
        <w:rPr>
          <w:rFonts w:ascii="Calibri" w:eastAsia="Calibri" w:hAnsi="Calibri" w:cs="Times New Roman"/>
        </w:rPr>
        <w:t>domovi</w:t>
      </w:r>
      <w:r w:rsidR="00AB2C3D" w:rsidRPr="00D55A67">
        <w:rPr>
          <w:rFonts w:ascii="Calibri" w:eastAsia="Calibri" w:hAnsi="Calibri" w:cs="Times New Roman"/>
        </w:rPr>
        <w:t xml:space="preserve"> za starije i nemoćne</w:t>
      </w:r>
      <w:r w:rsidR="00DA0F48" w:rsidRPr="00D55A67">
        <w:rPr>
          <w:rFonts w:ascii="Calibri" w:eastAsia="Calibri" w:hAnsi="Calibri" w:cs="Times New Roman"/>
        </w:rPr>
        <w:t xml:space="preserve"> (242,28 kWh/m</w:t>
      </w:r>
      <w:r w:rsidR="00DA0F48" w:rsidRPr="00D55A67">
        <w:rPr>
          <w:rFonts w:ascii="Calibri" w:eastAsia="Calibri" w:hAnsi="Calibri" w:cs="Times New Roman"/>
          <w:vertAlign w:val="superscript"/>
        </w:rPr>
        <w:t>2</w:t>
      </w:r>
      <w:r w:rsidR="00DA0F48" w:rsidRPr="00D55A67">
        <w:rPr>
          <w:rFonts w:ascii="Calibri" w:eastAsia="Calibri" w:hAnsi="Calibri" w:cs="Times New Roman"/>
        </w:rPr>
        <w:t xml:space="preserve">), </w:t>
      </w:r>
      <w:r w:rsidR="007F2CEA">
        <w:rPr>
          <w:rFonts w:ascii="Calibri" w:eastAsia="Calibri" w:hAnsi="Calibri" w:cs="Times New Roman"/>
        </w:rPr>
        <w:t>Ured za socijalnu zaštitu – restorani (231,49 m</w:t>
      </w:r>
      <w:r w:rsidR="007F2CEA" w:rsidRPr="007F2CEA">
        <w:rPr>
          <w:rFonts w:ascii="Calibri" w:eastAsia="Calibri" w:hAnsi="Calibri" w:cs="Times New Roman"/>
          <w:vertAlign w:val="superscript"/>
        </w:rPr>
        <w:t>2</w:t>
      </w:r>
      <w:r w:rsidR="007F2CEA">
        <w:rPr>
          <w:rFonts w:ascii="Calibri" w:eastAsia="Calibri" w:hAnsi="Calibri" w:cs="Times New Roman"/>
        </w:rPr>
        <w:t xml:space="preserve">) </w:t>
      </w:r>
      <w:r w:rsidR="00DA0F48" w:rsidRPr="00D55A67">
        <w:rPr>
          <w:rFonts w:ascii="Calibri" w:eastAsia="Calibri" w:hAnsi="Calibri" w:cs="Times New Roman"/>
        </w:rPr>
        <w:t>dok je najmanja</w:t>
      </w:r>
      <w:r w:rsidRPr="00D55A67">
        <w:rPr>
          <w:rFonts w:ascii="Calibri" w:eastAsia="Calibri" w:hAnsi="Calibri" w:cs="Times New Roman"/>
        </w:rPr>
        <w:t xml:space="preserve"> zabilježena u o</w:t>
      </w:r>
      <w:r w:rsidR="00AB2C3D" w:rsidRPr="00D55A67">
        <w:rPr>
          <w:rFonts w:ascii="Calibri" w:eastAsia="Calibri" w:hAnsi="Calibri" w:cs="Times New Roman"/>
        </w:rPr>
        <w:t>bjektima domovi zdravlja</w:t>
      </w:r>
      <w:r w:rsidR="00DA0F48" w:rsidRPr="00D55A67">
        <w:rPr>
          <w:rFonts w:ascii="Calibri" w:eastAsia="Calibri" w:hAnsi="Calibri" w:cs="Times New Roman"/>
        </w:rPr>
        <w:t xml:space="preserve"> (194,39 kWh/m</w:t>
      </w:r>
      <w:r w:rsidR="00DA0F48" w:rsidRPr="00D55A67">
        <w:rPr>
          <w:rFonts w:ascii="Calibri" w:eastAsia="Calibri" w:hAnsi="Calibri" w:cs="Times New Roman"/>
          <w:vertAlign w:val="superscript"/>
        </w:rPr>
        <w:t>2</w:t>
      </w:r>
      <w:r w:rsidR="00DA0F48" w:rsidRPr="00D55A67">
        <w:rPr>
          <w:rFonts w:ascii="Calibri" w:eastAsia="Calibri" w:hAnsi="Calibri" w:cs="Times New Roman"/>
        </w:rPr>
        <w:t>)</w:t>
      </w:r>
      <w:r w:rsidRPr="00D55A67">
        <w:rPr>
          <w:rFonts w:ascii="Calibri" w:eastAsia="Calibri" w:hAnsi="Calibri" w:cs="Times New Roman"/>
        </w:rPr>
        <w:t>.</w:t>
      </w:r>
    </w:p>
    <w:p w14:paraId="2E0E9FA0" w14:textId="08B83E78" w:rsidR="001545E2" w:rsidRDefault="00E13281" w:rsidP="00E92750">
      <w:pPr>
        <w:suppressAutoHyphens/>
        <w:autoSpaceDN w:val="0"/>
        <w:spacing w:after="0" w:line="240" w:lineRule="auto"/>
        <w:jc w:val="center"/>
        <w:textAlignment w:val="baseline"/>
        <w:rPr>
          <w:noProof/>
          <w:lang w:eastAsia="hr-HR"/>
        </w:rPr>
      </w:pPr>
      <w:r>
        <w:rPr>
          <w:noProof/>
          <w:lang w:eastAsia="hr-HR"/>
        </w:rPr>
        <w:drawing>
          <wp:inline distT="0" distB="0" distL="0" distR="0" wp14:anchorId="1F413958" wp14:editId="53A609E7">
            <wp:extent cx="5162550" cy="3114675"/>
            <wp:effectExtent l="0" t="0" r="0" b="0"/>
            <wp:docPr id="138" name="Chart 138">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0E9612" w14:textId="23D6D842" w:rsidR="001545E2" w:rsidRPr="00BB0033" w:rsidRDefault="001545E2" w:rsidP="00E92750">
      <w:pPr>
        <w:spacing w:line="240" w:lineRule="auto"/>
        <w:jc w:val="center"/>
        <w:rPr>
          <w:noProof/>
        </w:rPr>
      </w:pPr>
      <w:bookmarkStart w:id="44" w:name="_Ref461702676"/>
      <w:bookmarkStart w:id="45" w:name="_Toc468277412"/>
      <w:r w:rsidRPr="00BB0033">
        <w:rPr>
          <w:b/>
        </w:rPr>
        <w:t xml:space="preserve">Slika </w:t>
      </w:r>
      <w:r w:rsidRPr="00BB0033">
        <w:rPr>
          <w:b/>
        </w:rPr>
        <w:fldChar w:fldCharType="begin"/>
      </w:r>
      <w:r w:rsidRPr="00BB0033">
        <w:rPr>
          <w:b/>
        </w:rPr>
        <w:instrText xml:space="preserve"> STYLEREF 1 \s </w:instrText>
      </w:r>
      <w:r w:rsidRPr="00BB0033">
        <w:rPr>
          <w:b/>
        </w:rPr>
        <w:fldChar w:fldCharType="separate"/>
      </w:r>
      <w:r w:rsidR="009C319B" w:rsidRPr="00BB0033">
        <w:rPr>
          <w:b/>
          <w:noProof/>
        </w:rPr>
        <w:t>4</w:t>
      </w:r>
      <w:r w:rsidRPr="00BB0033">
        <w:rPr>
          <w:b/>
          <w:noProof/>
        </w:rPr>
        <w:fldChar w:fldCharType="end"/>
      </w:r>
      <w:r w:rsidRPr="00BB0033">
        <w:rPr>
          <w:b/>
        </w:rPr>
        <w:t>.</w:t>
      </w:r>
      <w:r w:rsidRPr="00BB0033">
        <w:rPr>
          <w:b/>
        </w:rPr>
        <w:fldChar w:fldCharType="begin"/>
      </w:r>
      <w:r w:rsidRPr="00BB0033">
        <w:rPr>
          <w:b/>
        </w:rPr>
        <w:instrText xml:space="preserve"> SEQ Slika \* ARABIC \s 1 </w:instrText>
      </w:r>
      <w:r w:rsidRPr="00BB0033">
        <w:rPr>
          <w:b/>
        </w:rPr>
        <w:fldChar w:fldCharType="separate"/>
      </w:r>
      <w:r w:rsidR="009C319B" w:rsidRPr="00BB0033">
        <w:rPr>
          <w:b/>
          <w:noProof/>
        </w:rPr>
        <w:t>8</w:t>
      </w:r>
      <w:r w:rsidRPr="00BB0033">
        <w:rPr>
          <w:b/>
          <w:noProof/>
        </w:rPr>
        <w:fldChar w:fldCharType="end"/>
      </w:r>
      <w:bookmarkEnd w:id="44"/>
      <w:r w:rsidRPr="00BB0033">
        <w:rPr>
          <w:b/>
          <w:noProof/>
        </w:rPr>
        <w:t xml:space="preserve"> </w:t>
      </w:r>
      <w:r w:rsidR="00131530" w:rsidRPr="00BB0033">
        <w:rPr>
          <w:noProof/>
        </w:rPr>
        <w:t>Specifična korisna energija za grijanje</w:t>
      </w:r>
      <w:r w:rsidRPr="00BB0033">
        <w:rPr>
          <w:noProof/>
        </w:rPr>
        <w:t xml:space="preserve"> pre</w:t>
      </w:r>
      <w:r w:rsidR="009F7524" w:rsidRPr="00BB0033">
        <w:rPr>
          <w:noProof/>
        </w:rPr>
        <w:t xml:space="preserve">ma energentu </w:t>
      </w:r>
      <w:r w:rsidR="00DA0F48" w:rsidRPr="00BB0033">
        <w:rPr>
          <w:noProof/>
        </w:rPr>
        <w:t xml:space="preserve">objekata </w:t>
      </w:r>
      <w:r w:rsidR="009F7524" w:rsidRPr="00BB0033">
        <w:rPr>
          <w:noProof/>
        </w:rPr>
        <w:t>zdravstva i socijalne zaštite</w:t>
      </w:r>
      <w:r w:rsidR="00DA0F48" w:rsidRPr="00BB0033">
        <w:rPr>
          <w:noProof/>
        </w:rPr>
        <w:t xml:space="preserve"> u vlasništvu</w:t>
      </w:r>
      <w:r w:rsidRPr="00BB0033">
        <w:rPr>
          <w:noProof/>
        </w:rPr>
        <w:t xml:space="preserve"> Grada Zagreba</w:t>
      </w:r>
      <w:r w:rsidR="007F1A2B" w:rsidRPr="00BB0033">
        <w:rPr>
          <w:noProof/>
        </w:rPr>
        <w:t xml:space="preserve"> u 2015. godini</w:t>
      </w:r>
      <w:bookmarkEnd w:id="45"/>
    </w:p>
    <w:p w14:paraId="3A818540" w14:textId="5E756572" w:rsidR="00420F77" w:rsidRPr="009409BA" w:rsidRDefault="001545E2" w:rsidP="00E92750">
      <w:pPr>
        <w:spacing w:line="240" w:lineRule="auto"/>
        <w:jc w:val="both"/>
        <w:rPr>
          <w:noProof/>
        </w:rPr>
      </w:pPr>
      <w:r w:rsidRPr="009409BA">
        <w:rPr>
          <w:noProof/>
        </w:rPr>
        <w:lastRenderedPageBreak/>
        <w:t xml:space="preserve">Gledajući </w:t>
      </w:r>
      <w:r w:rsidR="00DA0F48" w:rsidRPr="009409BA">
        <w:rPr>
          <w:noProof/>
        </w:rPr>
        <w:t>energente,</w:t>
      </w:r>
      <w:r w:rsidRPr="009409BA">
        <w:rPr>
          <w:noProof/>
        </w:rPr>
        <w:t xml:space="preserve"> najveća </w:t>
      </w:r>
      <w:r w:rsidR="00DA0F48" w:rsidRPr="009409BA">
        <w:rPr>
          <w:noProof/>
        </w:rPr>
        <w:t>s</w:t>
      </w:r>
      <w:r w:rsidR="00131530" w:rsidRPr="009409BA">
        <w:rPr>
          <w:noProof/>
        </w:rPr>
        <w:t>pecifična korisna energija za grijanje</w:t>
      </w:r>
      <w:r w:rsidRPr="009409BA">
        <w:rPr>
          <w:noProof/>
        </w:rPr>
        <w:t xml:space="preserve"> zabilježena je</w:t>
      </w:r>
      <w:r w:rsidR="00892EB2">
        <w:rPr>
          <w:noProof/>
        </w:rPr>
        <w:t xml:space="preserve"> u obj</w:t>
      </w:r>
      <w:r w:rsidR="00E13281">
        <w:rPr>
          <w:noProof/>
        </w:rPr>
        <w:t>ektima koji se griju na UNP (283,</w:t>
      </w:r>
      <w:r w:rsidR="00892EB2">
        <w:rPr>
          <w:noProof/>
        </w:rPr>
        <w:t>7</w:t>
      </w:r>
      <w:r w:rsidR="00E13281">
        <w:rPr>
          <w:noProof/>
        </w:rPr>
        <w:t>6</w:t>
      </w:r>
      <w:r w:rsidR="00892EB2">
        <w:rPr>
          <w:noProof/>
        </w:rPr>
        <w:t xml:space="preserve"> kWh/m</w:t>
      </w:r>
      <w:r w:rsidR="00892EB2" w:rsidRPr="00892EB2">
        <w:rPr>
          <w:noProof/>
          <w:vertAlign w:val="superscript"/>
        </w:rPr>
        <w:t>2</w:t>
      </w:r>
      <w:r w:rsidR="00892EB2">
        <w:rPr>
          <w:noProof/>
        </w:rPr>
        <w:t>)</w:t>
      </w:r>
      <w:r w:rsidR="00F046BB">
        <w:rPr>
          <w:noProof/>
        </w:rPr>
        <w:t>, izuzev jednog objekta koji za grij</w:t>
      </w:r>
      <w:r w:rsidR="00892EB2">
        <w:rPr>
          <w:noProof/>
        </w:rPr>
        <w:t>anje koristi</w:t>
      </w:r>
      <w:r w:rsidR="00AB2C3D" w:rsidRPr="009409BA">
        <w:rPr>
          <w:noProof/>
        </w:rPr>
        <w:t xml:space="preserve"> električnu energiju (298,36</w:t>
      </w:r>
      <w:r w:rsidRPr="009409BA">
        <w:rPr>
          <w:noProof/>
        </w:rPr>
        <w:t xml:space="preserve"> kWh/m</w:t>
      </w:r>
      <w:r w:rsidRPr="009409BA">
        <w:rPr>
          <w:noProof/>
          <w:vertAlign w:val="superscript"/>
        </w:rPr>
        <w:t>2</w:t>
      </w:r>
      <w:r w:rsidRPr="009409BA">
        <w:rPr>
          <w:noProof/>
        </w:rPr>
        <w:t>), dok je najmanja u objektima koji za grijanje koriste biomasu</w:t>
      </w:r>
      <w:r w:rsidR="00AB2C3D" w:rsidRPr="009409BA">
        <w:rPr>
          <w:noProof/>
        </w:rPr>
        <w:t xml:space="preserve"> pelete (186,94</w:t>
      </w:r>
      <w:r w:rsidRPr="009409BA">
        <w:rPr>
          <w:noProof/>
        </w:rPr>
        <w:t xml:space="preserve"> kWh/m</w:t>
      </w:r>
      <w:r w:rsidRPr="009409BA">
        <w:rPr>
          <w:noProof/>
          <w:vertAlign w:val="superscript"/>
        </w:rPr>
        <w:t>2</w:t>
      </w:r>
      <w:r w:rsidR="002F0597" w:rsidRPr="009409BA">
        <w:rPr>
          <w:noProof/>
        </w:rPr>
        <w:t>).</w:t>
      </w:r>
    </w:p>
    <w:p w14:paraId="3C2E617F" w14:textId="718C325F" w:rsidR="00420F77" w:rsidRPr="004A0297" w:rsidRDefault="00420F77" w:rsidP="00E92750">
      <w:pPr>
        <w:pStyle w:val="Heading3"/>
        <w:spacing w:after="240" w:line="240" w:lineRule="auto"/>
        <w:jc w:val="both"/>
        <w:rPr>
          <w:noProof/>
        </w:rPr>
      </w:pPr>
      <w:bookmarkStart w:id="46" w:name="_Toc468345349"/>
      <w:r w:rsidRPr="004A0297">
        <w:rPr>
          <w:noProof/>
        </w:rPr>
        <w:t>Kulturne ustanove u vlasništvu Grada Zagreba</w:t>
      </w:r>
      <w:bookmarkEnd w:id="46"/>
    </w:p>
    <w:p w14:paraId="4F2EF17F" w14:textId="7FA59D68" w:rsidR="0084563E" w:rsidRPr="004A0297" w:rsidRDefault="00D66540" w:rsidP="00E92750">
      <w:pPr>
        <w:suppressAutoHyphens/>
        <w:autoSpaceDN w:val="0"/>
        <w:spacing w:after="120" w:line="240" w:lineRule="auto"/>
        <w:jc w:val="both"/>
        <w:textAlignment w:val="baseline"/>
        <w:rPr>
          <w:rFonts w:ascii="Calibri" w:eastAsia="Calibri" w:hAnsi="Calibri" w:cs="Times New Roman"/>
        </w:rPr>
      </w:pPr>
      <w:r w:rsidRPr="004A0297">
        <w:rPr>
          <w:rFonts w:ascii="Calibri" w:eastAsia="Calibri" w:hAnsi="Calibri" w:cs="Times New Roman"/>
          <w:color w:val="333333"/>
        </w:rPr>
        <w:t>Kulturne ustanove</w:t>
      </w:r>
      <w:r w:rsidR="0098526F" w:rsidRPr="004A0297">
        <w:rPr>
          <w:rFonts w:ascii="Calibri" w:eastAsia="Calibri" w:hAnsi="Calibri" w:cs="Times New Roman"/>
          <w:color w:val="333333"/>
        </w:rPr>
        <w:t xml:space="preserve"> u Gradu Zagrebu obuhvaća</w:t>
      </w:r>
      <w:r w:rsidRPr="004A0297">
        <w:rPr>
          <w:rFonts w:ascii="Calibri" w:eastAsia="Calibri" w:hAnsi="Calibri" w:cs="Times New Roman"/>
          <w:color w:val="333333"/>
        </w:rPr>
        <w:t>ju</w:t>
      </w:r>
      <w:r w:rsidR="0098526F" w:rsidRPr="004A0297">
        <w:rPr>
          <w:rFonts w:ascii="Calibri" w:eastAsia="Calibri" w:hAnsi="Calibri" w:cs="Times New Roman"/>
          <w:color w:val="333333"/>
        </w:rPr>
        <w:t xml:space="preserve"> kazališta, muzeje, knjižnice i druge kulturne institucije u vlasništvu Grada.</w:t>
      </w:r>
      <w:r w:rsidR="0084563E" w:rsidRPr="004A0297">
        <w:rPr>
          <w:rFonts w:ascii="Calibri" w:eastAsia="Calibri" w:hAnsi="Calibri" w:cs="Times New Roman"/>
          <w:color w:val="333333"/>
        </w:rPr>
        <w:t xml:space="preserve"> </w:t>
      </w:r>
      <w:r w:rsidR="0084563E" w:rsidRPr="004A0297">
        <w:rPr>
          <w:rFonts w:ascii="Calibri" w:eastAsia="Calibri" w:hAnsi="Calibri" w:cs="Times New Roman"/>
        </w:rPr>
        <w:t>Ukupan broj objekata u kategoriji kulture iznosi 100, ukupne površine 111 637,30 m</w:t>
      </w:r>
      <w:r w:rsidR="0084563E" w:rsidRPr="004A0297">
        <w:rPr>
          <w:rFonts w:ascii="Calibri" w:eastAsia="Calibri" w:hAnsi="Calibri" w:cs="Times New Roman"/>
          <w:vertAlign w:val="superscript"/>
        </w:rPr>
        <w:t>2</w:t>
      </w:r>
      <w:r w:rsidR="0084563E" w:rsidRPr="004A0297">
        <w:rPr>
          <w:rFonts w:ascii="Calibri" w:eastAsia="Calibri" w:hAnsi="Calibri" w:cs="Times New Roman"/>
        </w:rPr>
        <w:t>.</w:t>
      </w:r>
    </w:p>
    <w:p w14:paraId="33848136" w14:textId="2C34C566" w:rsidR="0098526F" w:rsidRPr="004A0297" w:rsidRDefault="0098526F" w:rsidP="00E92750">
      <w:pPr>
        <w:suppressAutoHyphens/>
        <w:autoSpaceDN w:val="0"/>
        <w:spacing w:after="240" w:line="240" w:lineRule="auto"/>
        <w:jc w:val="both"/>
        <w:textAlignment w:val="baseline"/>
        <w:rPr>
          <w:rFonts w:ascii="Calibri" w:eastAsia="Calibri" w:hAnsi="Calibri" w:cs="Times New Roman"/>
        </w:rPr>
      </w:pPr>
      <w:r w:rsidRPr="004A0297">
        <w:rPr>
          <w:rFonts w:ascii="Calibri" w:eastAsia="Calibri" w:hAnsi="Calibri" w:cs="Times New Roman"/>
        </w:rPr>
        <w:t xml:space="preserve">U kategoriji </w:t>
      </w:r>
      <w:r w:rsidR="00F12C65" w:rsidRPr="004A0297">
        <w:rPr>
          <w:rFonts w:ascii="Calibri" w:eastAsia="Calibri" w:hAnsi="Calibri" w:cs="Times New Roman"/>
        </w:rPr>
        <w:t>kulture</w:t>
      </w:r>
      <w:r w:rsidRPr="004A0297">
        <w:rPr>
          <w:rFonts w:ascii="Calibri" w:eastAsia="Calibri" w:hAnsi="Calibri" w:cs="Times New Roman"/>
        </w:rPr>
        <w:t xml:space="preserve"> u 2015. godini ukupno je potrošeno </w:t>
      </w:r>
      <w:r w:rsidR="004A0297" w:rsidRPr="004A0297">
        <w:rPr>
          <w:rFonts w:ascii="Calibri" w:eastAsia="Calibri" w:hAnsi="Calibri" w:cs="Times New Roman"/>
        </w:rPr>
        <w:t>9 146 408</w:t>
      </w:r>
      <w:r w:rsidRPr="004A0297">
        <w:rPr>
          <w:rFonts w:ascii="Calibri" w:eastAsia="Calibri" w:hAnsi="Calibri" w:cs="Times New Roman"/>
        </w:rPr>
        <w:t xml:space="preserve"> kWh električne energije</w:t>
      </w:r>
      <w:r w:rsidR="0062256D" w:rsidRPr="004A0297">
        <w:rPr>
          <w:rFonts w:ascii="Calibri" w:eastAsia="Calibri" w:hAnsi="Calibri" w:cs="Times New Roman"/>
        </w:rPr>
        <w:t xml:space="preserve"> za ne</w:t>
      </w:r>
      <w:r w:rsidR="00386EB6" w:rsidRPr="004A0297">
        <w:rPr>
          <w:rFonts w:ascii="Calibri" w:eastAsia="Calibri" w:hAnsi="Calibri" w:cs="Times New Roman"/>
        </w:rPr>
        <w:t>-</w:t>
      </w:r>
      <w:r w:rsidR="0062256D" w:rsidRPr="004A0297">
        <w:rPr>
          <w:rFonts w:ascii="Calibri" w:eastAsia="Calibri" w:hAnsi="Calibri" w:cs="Times New Roman"/>
        </w:rPr>
        <w:t>toplinske namjene</w:t>
      </w:r>
      <w:r w:rsidR="00DB3904" w:rsidRPr="004A0297">
        <w:rPr>
          <w:rFonts w:ascii="Calibri" w:eastAsia="Calibri" w:hAnsi="Calibri" w:cs="Times New Roman"/>
        </w:rPr>
        <w:t>. Specifična potrošnja</w:t>
      </w:r>
      <w:r w:rsidR="00F12C65" w:rsidRPr="004A0297">
        <w:rPr>
          <w:rFonts w:ascii="Calibri" w:eastAsia="Calibri" w:hAnsi="Calibri" w:cs="Times New Roman"/>
        </w:rPr>
        <w:t xml:space="preserve"> </w:t>
      </w:r>
      <w:r w:rsidR="0062256D" w:rsidRPr="004A0297">
        <w:rPr>
          <w:rFonts w:ascii="Calibri" w:eastAsia="Calibri" w:hAnsi="Calibri" w:cs="Times New Roman"/>
        </w:rPr>
        <w:t>električne energije za ne</w:t>
      </w:r>
      <w:r w:rsidR="00711DA0" w:rsidRPr="004A0297">
        <w:rPr>
          <w:rFonts w:ascii="Calibri" w:eastAsia="Calibri" w:hAnsi="Calibri" w:cs="Times New Roman"/>
        </w:rPr>
        <w:t>-</w:t>
      </w:r>
      <w:r w:rsidR="0062256D" w:rsidRPr="004A0297">
        <w:rPr>
          <w:rFonts w:ascii="Calibri" w:eastAsia="Calibri" w:hAnsi="Calibri" w:cs="Times New Roman"/>
        </w:rPr>
        <w:t>toplinske namjene</w:t>
      </w:r>
      <w:r w:rsidR="00DB3904" w:rsidRPr="004A0297">
        <w:rPr>
          <w:rFonts w:ascii="Calibri" w:eastAsia="Calibri" w:hAnsi="Calibri" w:cs="Times New Roman"/>
        </w:rPr>
        <w:t xml:space="preserve"> kulturnih ustanova</w:t>
      </w:r>
      <w:r w:rsidR="0062256D" w:rsidRPr="004A0297">
        <w:rPr>
          <w:rFonts w:ascii="Calibri" w:eastAsia="Calibri" w:hAnsi="Calibri" w:cs="Times New Roman"/>
        </w:rPr>
        <w:t xml:space="preserve"> </w:t>
      </w:r>
      <w:r w:rsidR="00DB3904" w:rsidRPr="004A0297">
        <w:rPr>
          <w:rFonts w:ascii="Calibri" w:eastAsia="Calibri" w:hAnsi="Calibri" w:cs="Times New Roman"/>
        </w:rPr>
        <w:t>iznosi</w:t>
      </w:r>
      <w:r w:rsidR="00F12C65" w:rsidRPr="004A0297">
        <w:rPr>
          <w:rFonts w:ascii="Calibri" w:eastAsia="Calibri" w:hAnsi="Calibri" w:cs="Times New Roman"/>
        </w:rPr>
        <w:t xml:space="preserve"> 81,93</w:t>
      </w:r>
      <w:r w:rsidRPr="004A0297">
        <w:rPr>
          <w:rFonts w:ascii="Calibri" w:eastAsia="Calibri" w:hAnsi="Calibri" w:cs="Times New Roman"/>
        </w:rPr>
        <w:t xml:space="preserve"> kWh/m</w:t>
      </w:r>
      <w:r w:rsidRPr="004A0297">
        <w:rPr>
          <w:rFonts w:ascii="Calibri" w:eastAsia="Calibri" w:hAnsi="Calibri" w:cs="Times New Roman"/>
          <w:vertAlign w:val="superscript"/>
        </w:rPr>
        <w:t>2</w:t>
      </w:r>
      <w:r w:rsidR="00D66540" w:rsidRPr="004A0297">
        <w:rPr>
          <w:rFonts w:ascii="Calibri" w:eastAsia="Calibri" w:hAnsi="Calibri" w:cs="Times New Roman"/>
        </w:rPr>
        <w:t xml:space="preserve">, </w:t>
      </w:r>
      <w:r w:rsidR="002F7395" w:rsidRPr="004A0297">
        <w:rPr>
          <w:rFonts w:ascii="Calibri" w:eastAsia="Calibri" w:hAnsi="Calibri" w:cs="Times New Roman"/>
        </w:rPr>
        <w:fldChar w:fldCharType="begin"/>
      </w:r>
      <w:r w:rsidR="002F7395" w:rsidRPr="004A0297">
        <w:rPr>
          <w:rFonts w:ascii="Calibri" w:eastAsia="Calibri" w:hAnsi="Calibri" w:cs="Times New Roman"/>
        </w:rPr>
        <w:instrText xml:space="preserve"> REF _Ref462047233 \h </w:instrText>
      </w:r>
      <w:r w:rsidR="005E0ADE" w:rsidRPr="004A0297">
        <w:rPr>
          <w:rFonts w:ascii="Calibri" w:eastAsia="Calibri" w:hAnsi="Calibri" w:cs="Times New Roman"/>
        </w:rPr>
        <w:instrText xml:space="preserve"> \* MERGEFORMAT </w:instrText>
      </w:r>
      <w:r w:rsidR="002F7395" w:rsidRPr="004A0297">
        <w:rPr>
          <w:rFonts w:ascii="Calibri" w:eastAsia="Calibri" w:hAnsi="Calibri" w:cs="Times New Roman"/>
        </w:rPr>
      </w:r>
      <w:r w:rsidR="002F7395" w:rsidRPr="004A0297">
        <w:rPr>
          <w:rFonts w:ascii="Calibri" w:eastAsia="Calibri" w:hAnsi="Calibri" w:cs="Times New Roman"/>
        </w:rPr>
        <w:fldChar w:fldCharType="separate"/>
      </w:r>
      <w:r w:rsidR="009C319B" w:rsidRPr="00AE695B">
        <w:rPr>
          <w:b/>
        </w:rPr>
        <w:t xml:space="preserve">Slika </w:t>
      </w:r>
      <w:r w:rsidR="009C319B">
        <w:rPr>
          <w:b/>
          <w:noProof/>
        </w:rPr>
        <w:t>4</w:t>
      </w:r>
      <w:r w:rsidR="009C319B" w:rsidRPr="00AE695B">
        <w:rPr>
          <w:b/>
          <w:noProof/>
        </w:rPr>
        <w:t>.</w:t>
      </w:r>
      <w:r w:rsidR="009C319B">
        <w:rPr>
          <w:b/>
          <w:noProof/>
        </w:rPr>
        <w:t>9</w:t>
      </w:r>
      <w:r w:rsidR="002F7395" w:rsidRPr="004A0297">
        <w:rPr>
          <w:rFonts w:ascii="Calibri" w:eastAsia="Calibri" w:hAnsi="Calibri" w:cs="Times New Roman"/>
        </w:rPr>
        <w:fldChar w:fldCharType="end"/>
      </w:r>
      <w:r w:rsidRPr="004A0297">
        <w:rPr>
          <w:rFonts w:ascii="Calibri" w:eastAsia="Calibri" w:hAnsi="Calibri" w:cs="Times New Roman"/>
        </w:rPr>
        <w:t>.</w:t>
      </w:r>
    </w:p>
    <w:p w14:paraId="7D5DCED4" w14:textId="23F537ED" w:rsidR="0098526F" w:rsidRPr="00AE695B" w:rsidRDefault="002F7395" w:rsidP="00E92750">
      <w:pPr>
        <w:suppressAutoHyphens/>
        <w:autoSpaceDN w:val="0"/>
        <w:spacing w:after="0" w:line="240" w:lineRule="auto"/>
        <w:jc w:val="center"/>
        <w:textAlignment w:val="baseline"/>
        <w:rPr>
          <w:noProof/>
          <w:lang w:eastAsia="hr-HR"/>
        </w:rPr>
      </w:pPr>
      <w:r w:rsidRPr="00AE695B">
        <w:rPr>
          <w:noProof/>
          <w:lang w:eastAsia="hr-HR"/>
        </w:rPr>
        <w:drawing>
          <wp:inline distT="0" distB="0" distL="0" distR="0" wp14:anchorId="116F50EC" wp14:editId="7BEAD773">
            <wp:extent cx="4303568" cy="3293919"/>
            <wp:effectExtent l="0" t="0" r="1905" b="190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D48F88" w14:textId="730BA029" w:rsidR="0098526F" w:rsidRPr="00AE695B" w:rsidRDefault="0098526F" w:rsidP="00E92750">
      <w:pPr>
        <w:spacing w:line="240" w:lineRule="auto"/>
        <w:jc w:val="center"/>
      </w:pPr>
      <w:bookmarkStart w:id="47" w:name="_Ref462047233"/>
      <w:bookmarkStart w:id="48" w:name="_Toc468277413"/>
      <w:r w:rsidRPr="00AE695B">
        <w:rPr>
          <w:b/>
        </w:rPr>
        <w:t xml:space="preserve">Slika </w:t>
      </w:r>
      <w:r w:rsidRPr="00AE695B">
        <w:rPr>
          <w:b/>
        </w:rPr>
        <w:fldChar w:fldCharType="begin"/>
      </w:r>
      <w:r w:rsidRPr="00AE695B">
        <w:rPr>
          <w:b/>
        </w:rPr>
        <w:instrText xml:space="preserve"> STYLEREF 1 \s </w:instrText>
      </w:r>
      <w:r w:rsidRPr="00AE695B">
        <w:rPr>
          <w:b/>
        </w:rPr>
        <w:fldChar w:fldCharType="separate"/>
      </w:r>
      <w:r w:rsidR="009C319B">
        <w:rPr>
          <w:b/>
          <w:noProof/>
        </w:rPr>
        <w:t>4</w:t>
      </w:r>
      <w:r w:rsidRPr="00AE695B">
        <w:rPr>
          <w:b/>
          <w:noProof/>
        </w:rPr>
        <w:fldChar w:fldCharType="end"/>
      </w:r>
      <w:r w:rsidRPr="00AE695B">
        <w:rPr>
          <w:b/>
        </w:rPr>
        <w:t>.</w:t>
      </w:r>
      <w:r w:rsidRPr="00AE695B">
        <w:rPr>
          <w:b/>
        </w:rPr>
        <w:fldChar w:fldCharType="begin"/>
      </w:r>
      <w:r w:rsidRPr="00AE695B">
        <w:rPr>
          <w:b/>
        </w:rPr>
        <w:instrText xml:space="preserve"> SEQ Slika \* ARABIC \s 1 </w:instrText>
      </w:r>
      <w:r w:rsidRPr="00AE695B">
        <w:rPr>
          <w:b/>
        </w:rPr>
        <w:fldChar w:fldCharType="separate"/>
      </w:r>
      <w:r w:rsidR="009C319B">
        <w:rPr>
          <w:b/>
          <w:noProof/>
        </w:rPr>
        <w:t>9</w:t>
      </w:r>
      <w:r w:rsidRPr="00AE695B">
        <w:rPr>
          <w:b/>
          <w:noProof/>
        </w:rPr>
        <w:fldChar w:fldCharType="end"/>
      </w:r>
      <w:bookmarkEnd w:id="47"/>
      <w:r w:rsidRPr="00AE695B">
        <w:rPr>
          <w:b/>
        </w:rPr>
        <w:t xml:space="preserve"> </w:t>
      </w:r>
      <w:r w:rsidRPr="00AE695B">
        <w:t>Specifična potrošnja električne energije</w:t>
      </w:r>
      <w:r w:rsidR="00A21F46" w:rsidRPr="00AE695B">
        <w:t xml:space="preserve"> za ne</w:t>
      </w:r>
      <w:r w:rsidR="00C717C4" w:rsidRPr="00AE695B">
        <w:t>-</w:t>
      </w:r>
      <w:r w:rsidR="00A21F46" w:rsidRPr="00AE695B">
        <w:t>toplinske namjene</w:t>
      </w:r>
      <w:r w:rsidRPr="00AE695B">
        <w:t xml:space="preserve"> kategorije </w:t>
      </w:r>
      <w:r w:rsidR="002F7395" w:rsidRPr="00AE695B">
        <w:t>kulturne ustanove</w:t>
      </w:r>
      <w:r w:rsidRPr="00AE695B">
        <w:t xml:space="preserve"> </w:t>
      </w:r>
      <w:r w:rsidR="00D66540" w:rsidRPr="00AE695B">
        <w:t xml:space="preserve">u vlasništvu </w:t>
      </w:r>
      <w:r w:rsidRPr="00AE695B">
        <w:t>Grada Zagreba</w:t>
      </w:r>
      <w:r w:rsidR="000F179B" w:rsidRPr="00AE695B">
        <w:t xml:space="preserve"> u 2015. godini</w:t>
      </w:r>
      <w:bookmarkEnd w:id="48"/>
    </w:p>
    <w:p w14:paraId="57063851" w14:textId="24AB6D3E" w:rsidR="0043439D" w:rsidRDefault="004E49A0" w:rsidP="0043439D">
      <w:pPr>
        <w:suppressAutoHyphens/>
        <w:autoSpaceDN w:val="0"/>
        <w:spacing w:after="240" w:line="240" w:lineRule="auto"/>
        <w:jc w:val="both"/>
        <w:textAlignment w:val="baseline"/>
        <w:rPr>
          <w:rFonts w:ascii="Calibri" w:eastAsia="Calibri" w:hAnsi="Calibri" w:cs="Times New Roman"/>
        </w:rPr>
      </w:pPr>
      <w:r w:rsidRPr="00AE695B">
        <w:rPr>
          <w:rFonts w:ascii="Calibri" w:eastAsia="Calibri" w:hAnsi="Calibri" w:cs="Times New Roman"/>
        </w:rPr>
        <w:t xml:space="preserve">U kategoriji kulture u 2015. godini </w:t>
      </w:r>
      <w:r w:rsidR="00AE695B" w:rsidRPr="00AE695B">
        <w:rPr>
          <w:rFonts w:ascii="Calibri" w:eastAsia="Calibri" w:hAnsi="Calibri" w:cs="Times New Roman"/>
        </w:rPr>
        <w:t>ukupno je potrošno 15 498 297</w:t>
      </w:r>
      <w:r w:rsidRPr="00AE695B">
        <w:rPr>
          <w:rFonts w:ascii="Calibri" w:eastAsia="Calibri" w:hAnsi="Calibri" w:cs="Times New Roman"/>
        </w:rPr>
        <w:t xml:space="preserve"> kWh toplinske energije, što daje specifičnu potrošnju toplinske energije od 138,83 kWh/m</w:t>
      </w:r>
      <w:r w:rsidRPr="00AE695B">
        <w:rPr>
          <w:rFonts w:ascii="Calibri" w:eastAsia="Calibri" w:hAnsi="Calibri" w:cs="Times New Roman"/>
          <w:vertAlign w:val="superscript"/>
        </w:rPr>
        <w:t>2</w:t>
      </w:r>
      <w:r w:rsidRPr="00AE695B">
        <w:rPr>
          <w:rFonts w:ascii="Calibri" w:eastAsia="Calibri" w:hAnsi="Calibri" w:cs="Times New Roman"/>
        </w:rPr>
        <w:t>.</w:t>
      </w:r>
      <w:r w:rsidR="0043439D">
        <w:rPr>
          <w:rFonts w:ascii="Calibri" w:eastAsia="Calibri" w:hAnsi="Calibri" w:cs="Times New Roman"/>
        </w:rPr>
        <w:br w:type="page"/>
      </w:r>
    </w:p>
    <w:p w14:paraId="46A3A20E" w14:textId="23D7F8CD" w:rsidR="0098526F" w:rsidRPr="00AE695B" w:rsidRDefault="0098526F" w:rsidP="00E92750">
      <w:pPr>
        <w:suppressAutoHyphens/>
        <w:autoSpaceDN w:val="0"/>
        <w:spacing w:after="240" w:line="240" w:lineRule="auto"/>
        <w:jc w:val="both"/>
        <w:textAlignment w:val="baseline"/>
        <w:rPr>
          <w:rFonts w:ascii="Calibri" w:eastAsia="Calibri" w:hAnsi="Calibri" w:cs="Times New Roman"/>
        </w:rPr>
      </w:pPr>
      <w:r w:rsidRPr="00AE695B">
        <w:rPr>
          <w:rFonts w:ascii="Calibri" w:eastAsia="Calibri" w:hAnsi="Calibri" w:cs="Times New Roman"/>
        </w:rPr>
        <w:lastRenderedPageBreak/>
        <w:t xml:space="preserve">Parametri potrošnje toplinske energije </w:t>
      </w:r>
      <w:r w:rsidR="00974069" w:rsidRPr="00AE695B">
        <w:rPr>
          <w:rFonts w:ascii="Calibri" w:eastAsia="Calibri" w:hAnsi="Calibri" w:cs="Times New Roman"/>
        </w:rPr>
        <w:t>kulturnih ustanova</w:t>
      </w:r>
      <w:r w:rsidRPr="00AE695B">
        <w:rPr>
          <w:rFonts w:ascii="Calibri" w:eastAsia="Calibri" w:hAnsi="Calibri" w:cs="Times New Roman"/>
        </w:rPr>
        <w:t xml:space="preserve"> Grada Zagreba dani su</w:t>
      </w:r>
      <w:r w:rsidR="00F61CAC" w:rsidRPr="00AE695B">
        <w:rPr>
          <w:rFonts w:ascii="Calibri" w:eastAsia="Calibri" w:hAnsi="Calibri" w:cs="Times New Roman"/>
        </w:rPr>
        <w:t xml:space="preserve"> u</w:t>
      </w:r>
      <w:r w:rsidR="00F919DA" w:rsidRPr="00AE695B">
        <w:rPr>
          <w:rFonts w:ascii="Calibri" w:eastAsia="Calibri" w:hAnsi="Calibri" w:cs="Times New Roman"/>
        </w:rPr>
        <w:t xml:space="preserve"> nastavku</w:t>
      </w:r>
      <w:r w:rsidR="00D66540" w:rsidRPr="00AE695B">
        <w:rPr>
          <w:rFonts w:ascii="Calibri" w:eastAsia="Calibri" w:hAnsi="Calibri" w:cs="Times New Roman"/>
        </w:rPr>
        <w:t xml:space="preserve">, </w:t>
      </w:r>
      <w:r w:rsidR="006C4655" w:rsidRPr="00AE695B">
        <w:rPr>
          <w:rFonts w:ascii="Calibri" w:eastAsia="Calibri" w:hAnsi="Calibri" w:cs="Times New Roman"/>
        </w:rPr>
        <w:fldChar w:fldCharType="begin"/>
      </w:r>
      <w:r w:rsidR="006C4655" w:rsidRPr="00AE695B">
        <w:rPr>
          <w:rFonts w:ascii="Calibri" w:eastAsia="Calibri" w:hAnsi="Calibri" w:cs="Times New Roman"/>
        </w:rPr>
        <w:instrText xml:space="preserve"> REF _Ref462132198 \h </w:instrText>
      </w:r>
      <w:r w:rsidR="005E0ADE" w:rsidRPr="00AE695B">
        <w:rPr>
          <w:rFonts w:ascii="Calibri" w:eastAsia="Calibri" w:hAnsi="Calibri" w:cs="Times New Roman"/>
        </w:rPr>
        <w:instrText xml:space="preserve"> \* MERGEFORMAT </w:instrText>
      </w:r>
      <w:r w:rsidR="006C4655" w:rsidRPr="00AE695B">
        <w:rPr>
          <w:rFonts w:ascii="Calibri" w:eastAsia="Calibri" w:hAnsi="Calibri" w:cs="Times New Roman"/>
        </w:rPr>
      </w:r>
      <w:r w:rsidR="006C4655" w:rsidRPr="00AE695B">
        <w:rPr>
          <w:rFonts w:ascii="Calibri" w:eastAsia="Calibri" w:hAnsi="Calibri" w:cs="Times New Roman"/>
        </w:rPr>
        <w:fldChar w:fldCharType="separate"/>
      </w:r>
      <w:r w:rsidR="009C319B" w:rsidRPr="00AE695B">
        <w:rPr>
          <w:rFonts w:eastAsia="Calibri" w:cs="Times New Roman"/>
          <w:b/>
          <w:bCs/>
        </w:rPr>
        <w:t xml:space="preserve">Tablica </w:t>
      </w:r>
      <w:r w:rsidR="009C319B">
        <w:rPr>
          <w:rFonts w:eastAsia="Calibri" w:cs="Times New Roman"/>
          <w:b/>
          <w:bCs/>
          <w:noProof/>
        </w:rPr>
        <w:t>4</w:t>
      </w:r>
      <w:r w:rsidR="009C319B" w:rsidRPr="00AE695B">
        <w:rPr>
          <w:rFonts w:eastAsia="Calibri" w:cs="Times New Roman"/>
          <w:b/>
          <w:bCs/>
          <w:noProof/>
        </w:rPr>
        <w:t>.</w:t>
      </w:r>
      <w:r w:rsidR="009C319B">
        <w:rPr>
          <w:rFonts w:eastAsia="Calibri" w:cs="Times New Roman"/>
          <w:b/>
          <w:bCs/>
          <w:noProof/>
        </w:rPr>
        <w:t>3</w:t>
      </w:r>
      <w:r w:rsidR="006C4655" w:rsidRPr="00AE695B">
        <w:rPr>
          <w:rFonts w:ascii="Calibri" w:eastAsia="Calibri" w:hAnsi="Calibri" w:cs="Times New Roman"/>
        </w:rPr>
        <w:fldChar w:fldCharType="end"/>
      </w:r>
      <w:r w:rsidR="00D66540" w:rsidRPr="00AE695B">
        <w:rPr>
          <w:rFonts w:ascii="Calibri" w:eastAsia="Calibri" w:hAnsi="Calibri" w:cs="Times New Roman"/>
        </w:rPr>
        <w:t xml:space="preserve">, </w:t>
      </w:r>
      <w:r w:rsidR="004E49A0" w:rsidRPr="00AE695B">
        <w:rPr>
          <w:rFonts w:ascii="Calibri" w:eastAsia="Calibri" w:hAnsi="Calibri" w:cs="Times New Roman"/>
        </w:rPr>
        <w:fldChar w:fldCharType="begin"/>
      </w:r>
      <w:r w:rsidR="004E49A0" w:rsidRPr="00AE695B">
        <w:rPr>
          <w:rFonts w:ascii="Calibri" w:eastAsia="Calibri" w:hAnsi="Calibri" w:cs="Times New Roman"/>
        </w:rPr>
        <w:instrText xml:space="preserve"> REF _Ref462057436 \h  \* MERGEFORMAT </w:instrText>
      </w:r>
      <w:r w:rsidR="004E49A0" w:rsidRPr="00AE695B">
        <w:rPr>
          <w:rFonts w:ascii="Calibri" w:eastAsia="Calibri" w:hAnsi="Calibri" w:cs="Times New Roman"/>
        </w:rPr>
      </w:r>
      <w:r w:rsidR="004E49A0" w:rsidRPr="00AE695B">
        <w:rPr>
          <w:rFonts w:ascii="Calibri" w:eastAsia="Calibri" w:hAnsi="Calibri" w:cs="Times New Roman"/>
        </w:rPr>
        <w:fldChar w:fldCharType="separate"/>
      </w:r>
      <w:r w:rsidR="009C319B" w:rsidRPr="00AE695B">
        <w:rPr>
          <w:b/>
        </w:rPr>
        <w:t xml:space="preserve">Slika </w:t>
      </w:r>
      <w:r w:rsidR="009C319B">
        <w:rPr>
          <w:b/>
          <w:noProof/>
        </w:rPr>
        <w:t>4</w:t>
      </w:r>
      <w:r w:rsidR="009C319B" w:rsidRPr="00AE695B">
        <w:rPr>
          <w:b/>
          <w:noProof/>
        </w:rPr>
        <w:t>.</w:t>
      </w:r>
      <w:r w:rsidR="009C319B">
        <w:rPr>
          <w:b/>
          <w:noProof/>
        </w:rPr>
        <w:t>10</w:t>
      </w:r>
      <w:r w:rsidR="004E49A0" w:rsidRPr="00AE695B">
        <w:rPr>
          <w:rFonts w:ascii="Calibri" w:eastAsia="Calibri" w:hAnsi="Calibri" w:cs="Times New Roman"/>
        </w:rPr>
        <w:fldChar w:fldCharType="end"/>
      </w:r>
      <w:r w:rsidR="004E49A0" w:rsidRPr="00AE695B">
        <w:rPr>
          <w:rFonts w:ascii="Calibri" w:eastAsia="Calibri" w:hAnsi="Calibri" w:cs="Times New Roman"/>
        </w:rPr>
        <w:t xml:space="preserve"> </w:t>
      </w:r>
      <w:r w:rsidR="00D66540" w:rsidRPr="00AE695B">
        <w:rPr>
          <w:rFonts w:ascii="Calibri" w:eastAsia="Calibri" w:hAnsi="Calibri" w:cs="Times New Roman"/>
        </w:rPr>
        <w:t xml:space="preserve">i </w:t>
      </w:r>
      <w:r w:rsidR="004E49A0" w:rsidRPr="00AE695B">
        <w:rPr>
          <w:rFonts w:ascii="Calibri" w:eastAsia="Calibri" w:hAnsi="Calibri" w:cs="Times New Roman"/>
        </w:rPr>
        <w:fldChar w:fldCharType="begin"/>
      </w:r>
      <w:r w:rsidR="004E49A0" w:rsidRPr="00AE695B">
        <w:rPr>
          <w:rFonts w:ascii="Calibri" w:eastAsia="Calibri" w:hAnsi="Calibri" w:cs="Times New Roman"/>
        </w:rPr>
        <w:instrText xml:space="preserve"> REF _Ref462057444 \h  \* MERGEFORMAT </w:instrText>
      </w:r>
      <w:r w:rsidR="004E49A0" w:rsidRPr="00AE695B">
        <w:rPr>
          <w:rFonts w:ascii="Calibri" w:eastAsia="Calibri" w:hAnsi="Calibri" w:cs="Times New Roman"/>
        </w:rPr>
      </w:r>
      <w:r w:rsidR="004E49A0" w:rsidRPr="00AE695B">
        <w:rPr>
          <w:rFonts w:ascii="Calibri" w:eastAsia="Calibri" w:hAnsi="Calibri" w:cs="Times New Roman"/>
        </w:rPr>
        <w:fldChar w:fldCharType="separate"/>
      </w:r>
      <w:r w:rsidR="009C319B" w:rsidRPr="009C319B">
        <w:rPr>
          <w:b/>
        </w:rPr>
        <w:t xml:space="preserve">Slika </w:t>
      </w:r>
      <w:r w:rsidR="009C319B" w:rsidRPr="009C319B">
        <w:rPr>
          <w:b/>
          <w:noProof/>
        </w:rPr>
        <w:t>4.11</w:t>
      </w:r>
      <w:r w:rsidR="004E49A0" w:rsidRPr="00AE695B">
        <w:rPr>
          <w:rFonts w:ascii="Calibri" w:eastAsia="Calibri" w:hAnsi="Calibri" w:cs="Times New Roman"/>
        </w:rPr>
        <w:fldChar w:fldCharType="end"/>
      </w:r>
      <w:r w:rsidRPr="00AE695B">
        <w:rPr>
          <w:rFonts w:ascii="Calibri" w:eastAsia="Calibri" w:hAnsi="Calibri" w:cs="Times New Roman"/>
        </w:rPr>
        <w:t>.</w:t>
      </w:r>
    </w:p>
    <w:p w14:paraId="0E8CD9D1" w14:textId="27EFE9C1" w:rsidR="0098526F" w:rsidRPr="00AE695B" w:rsidRDefault="0098526F" w:rsidP="00E92750">
      <w:pPr>
        <w:suppressAutoHyphens/>
        <w:autoSpaceDN w:val="0"/>
        <w:spacing w:after="0" w:line="240" w:lineRule="auto"/>
        <w:jc w:val="both"/>
        <w:textAlignment w:val="baseline"/>
        <w:rPr>
          <w:rFonts w:ascii="Calibri" w:eastAsia="Calibri" w:hAnsi="Calibri" w:cs="Times New Roman"/>
        </w:rPr>
      </w:pPr>
      <w:bookmarkStart w:id="49" w:name="_Ref462132198"/>
      <w:bookmarkStart w:id="50" w:name="_Ref462132191"/>
      <w:bookmarkStart w:id="51" w:name="_Toc468277495"/>
      <w:r w:rsidRPr="00AE695B">
        <w:rPr>
          <w:rFonts w:eastAsia="Calibri" w:cs="Times New Roman"/>
          <w:b/>
          <w:bCs/>
        </w:rPr>
        <w:t xml:space="preserve">Tablica </w:t>
      </w:r>
      <w:r w:rsidR="000B3499" w:rsidRPr="00AE695B">
        <w:rPr>
          <w:rFonts w:eastAsia="Calibri" w:cs="Times New Roman"/>
          <w:b/>
          <w:bCs/>
        </w:rPr>
        <w:fldChar w:fldCharType="begin"/>
      </w:r>
      <w:r w:rsidR="000B3499" w:rsidRPr="00AE695B">
        <w:rPr>
          <w:rFonts w:eastAsia="Calibri" w:cs="Times New Roman"/>
          <w:b/>
          <w:bCs/>
        </w:rPr>
        <w:instrText xml:space="preserve"> STYLEREF 1 \s </w:instrText>
      </w:r>
      <w:r w:rsidR="000B3499" w:rsidRPr="00AE695B">
        <w:rPr>
          <w:rFonts w:eastAsia="Calibri" w:cs="Times New Roman"/>
          <w:b/>
          <w:bCs/>
        </w:rPr>
        <w:fldChar w:fldCharType="separate"/>
      </w:r>
      <w:r w:rsidR="009C319B">
        <w:rPr>
          <w:rFonts w:eastAsia="Calibri" w:cs="Times New Roman"/>
          <w:b/>
          <w:bCs/>
          <w:noProof/>
        </w:rPr>
        <w:t>4</w:t>
      </w:r>
      <w:r w:rsidR="000B3499" w:rsidRPr="00AE695B">
        <w:rPr>
          <w:rFonts w:eastAsia="Calibri" w:cs="Times New Roman"/>
          <w:b/>
          <w:bCs/>
        </w:rPr>
        <w:fldChar w:fldCharType="end"/>
      </w:r>
      <w:r w:rsidR="000B3499" w:rsidRPr="00AE695B">
        <w:rPr>
          <w:rFonts w:eastAsia="Calibri" w:cs="Times New Roman"/>
          <w:b/>
          <w:bCs/>
        </w:rPr>
        <w:t>.</w:t>
      </w:r>
      <w:r w:rsidR="000B3499" w:rsidRPr="00AE695B">
        <w:rPr>
          <w:rFonts w:eastAsia="Calibri" w:cs="Times New Roman"/>
          <w:b/>
          <w:bCs/>
        </w:rPr>
        <w:fldChar w:fldCharType="begin"/>
      </w:r>
      <w:r w:rsidR="000B3499" w:rsidRPr="00AE695B">
        <w:rPr>
          <w:rFonts w:eastAsia="Calibri" w:cs="Times New Roman"/>
          <w:b/>
          <w:bCs/>
        </w:rPr>
        <w:instrText xml:space="preserve"> SEQ Tablica \* ARABIC \s 1 </w:instrText>
      </w:r>
      <w:r w:rsidR="000B3499" w:rsidRPr="00AE695B">
        <w:rPr>
          <w:rFonts w:eastAsia="Calibri" w:cs="Times New Roman"/>
          <w:b/>
          <w:bCs/>
        </w:rPr>
        <w:fldChar w:fldCharType="separate"/>
      </w:r>
      <w:r w:rsidR="009C319B">
        <w:rPr>
          <w:rFonts w:eastAsia="Calibri" w:cs="Times New Roman"/>
          <w:b/>
          <w:bCs/>
          <w:noProof/>
        </w:rPr>
        <w:t>3</w:t>
      </w:r>
      <w:r w:rsidR="000B3499" w:rsidRPr="00AE695B">
        <w:rPr>
          <w:rFonts w:eastAsia="Calibri" w:cs="Times New Roman"/>
          <w:b/>
          <w:bCs/>
        </w:rPr>
        <w:fldChar w:fldCharType="end"/>
      </w:r>
      <w:bookmarkEnd w:id="49"/>
      <w:r w:rsidRPr="00AE695B">
        <w:rPr>
          <w:rFonts w:eastAsia="Calibri" w:cs="Times New Roman"/>
          <w:b/>
          <w:bCs/>
        </w:rPr>
        <w:t xml:space="preserve"> </w:t>
      </w:r>
      <w:r w:rsidRPr="00AE695B">
        <w:rPr>
          <w:rFonts w:ascii="Calibri" w:eastAsia="Calibri" w:hAnsi="Calibri" w:cs="Times New Roman"/>
        </w:rPr>
        <w:t xml:space="preserve">Parametri potrošnje toplinske energije kategorije </w:t>
      </w:r>
      <w:r w:rsidR="00974069" w:rsidRPr="00AE695B">
        <w:rPr>
          <w:rFonts w:ascii="Calibri" w:eastAsia="Calibri" w:hAnsi="Calibri" w:cs="Times New Roman"/>
        </w:rPr>
        <w:t>kulturnih ustanova</w:t>
      </w:r>
      <w:r w:rsidRPr="00AE695B">
        <w:rPr>
          <w:rFonts w:ascii="Calibri" w:eastAsia="Calibri" w:hAnsi="Calibri" w:cs="Times New Roman"/>
        </w:rPr>
        <w:t xml:space="preserve"> Grada Zagreba</w:t>
      </w:r>
      <w:bookmarkEnd w:id="50"/>
      <w:r w:rsidR="00F61CAC" w:rsidRPr="00AE695B">
        <w:rPr>
          <w:rFonts w:ascii="Calibri" w:eastAsia="Calibri" w:hAnsi="Calibri" w:cs="Times New Roman"/>
        </w:rPr>
        <w:t xml:space="preserve"> u 2015. godini</w:t>
      </w:r>
      <w:bookmarkEnd w:id="51"/>
    </w:p>
    <w:tbl>
      <w:tblPr>
        <w:tblW w:w="4942" w:type="pct"/>
        <w:tblInd w:w="108" w:type="dxa"/>
        <w:tblLayout w:type="fixed"/>
        <w:tblLook w:val="04A0" w:firstRow="1" w:lastRow="0" w:firstColumn="1" w:lastColumn="0" w:noHBand="0" w:noVBand="1"/>
      </w:tblPr>
      <w:tblGrid>
        <w:gridCol w:w="1939"/>
        <w:gridCol w:w="1105"/>
        <w:gridCol w:w="1523"/>
        <w:gridCol w:w="1800"/>
        <w:gridCol w:w="2590"/>
      </w:tblGrid>
      <w:tr w:rsidR="002F6EC1" w:rsidRPr="00AE695B" w14:paraId="079772C8" w14:textId="77777777" w:rsidTr="00C7065B">
        <w:trPr>
          <w:trHeight w:val="363"/>
        </w:trPr>
        <w:tc>
          <w:tcPr>
            <w:tcW w:w="108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7270D48" w14:textId="77777777" w:rsidR="002F6EC1" w:rsidRPr="00AE695B" w:rsidRDefault="002F6EC1" w:rsidP="00E92750">
            <w:pPr>
              <w:spacing w:after="0" w:line="240" w:lineRule="auto"/>
              <w:rPr>
                <w:rFonts w:ascii="Calibri" w:eastAsia="Times New Roman" w:hAnsi="Calibri" w:cs="Times New Roman"/>
                <w:b/>
                <w:bCs/>
                <w:color w:val="000000"/>
                <w:sz w:val="20"/>
                <w:szCs w:val="20"/>
                <w:lang w:eastAsia="hr-HR"/>
              </w:rPr>
            </w:pPr>
            <w:r w:rsidRPr="00AE695B">
              <w:rPr>
                <w:rFonts w:ascii="Calibri" w:eastAsia="Times New Roman" w:hAnsi="Calibri" w:cs="Times New Roman"/>
                <w:b/>
                <w:bCs/>
                <w:color w:val="000000"/>
                <w:sz w:val="20"/>
                <w:szCs w:val="20"/>
                <w:lang w:eastAsia="hr-HR"/>
              </w:rPr>
              <w:t>Energent</w:t>
            </w:r>
          </w:p>
        </w:tc>
        <w:tc>
          <w:tcPr>
            <w:tcW w:w="617" w:type="pct"/>
            <w:tcBorders>
              <w:top w:val="single" w:sz="4" w:space="0" w:color="auto"/>
              <w:left w:val="nil"/>
              <w:bottom w:val="single" w:sz="4" w:space="0" w:color="auto"/>
              <w:right w:val="single" w:sz="4" w:space="0" w:color="auto"/>
            </w:tcBorders>
            <w:shd w:val="clear" w:color="000000" w:fill="D9D9D9"/>
            <w:noWrap/>
            <w:vAlign w:val="center"/>
            <w:hideMark/>
          </w:tcPr>
          <w:p w14:paraId="00353523" w14:textId="77777777" w:rsidR="002F6EC1" w:rsidRPr="00AE695B" w:rsidRDefault="002F6EC1" w:rsidP="00E92750">
            <w:pPr>
              <w:spacing w:after="0" w:line="240" w:lineRule="auto"/>
              <w:jc w:val="center"/>
              <w:rPr>
                <w:rFonts w:ascii="Calibri" w:eastAsia="Times New Roman" w:hAnsi="Calibri" w:cs="Times New Roman"/>
                <w:b/>
                <w:bCs/>
                <w:color w:val="000000"/>
                <w:sz w:val="20"/>
                <w:szCs w:val="20"/>
                <w:lang w:eastAsia="hr-HR"/>
              </w:rPr>
            </w:pPr>
            <w:r w:rsidRPr="00AE695B">
              <w:rPr>
                <w:rFonts w:ascii="Calibri" w:eastAsia="Times New Roman" w:hAnsi="Calibri" w:cs="Times New Roman"/>
                <w:b/>
                <w:bCs/>
                <w:color w:val="000000"/>
                <w:sz w:val="20"/>
                <w:szCs w:val="20"/>
                <w:lang w:eastAsia="hr-HR"/>
              </w:rPr>
              <w:t>Broj objekata</w:t>
            </w:r>
          </w:p>
        </w:tc>
        <w:tc>
          <w:tcPr>
            <w:tcW w:w="850" w:type="pct"/>
            <w:tcBorders>
              <w:top w:val="single" w:sz="4" w:space="0" w:color="auto"/>
              <w:left w:val="nil"/>
              <w:bottom w:val="single" w:sz="4" w:space="0" w:color="auto"/>
              <w:right w:val="single" w:sz="4" w:space="0" w:color="auto"/>
            </w:tcBorders>
            <w:shd w:val="clear" w:color="000000" w:fill="D9D9D9"/>
            <w:vAlign w:val="center"/>
            <w:hideMark/>
          </w:tcPr>
          <w:p w14:paraId="1444391D" w14:textId="77777777" w:rsidR="002F6EC1" w:rsidRPr="00AE695B" w:rsidRDefault="002F6EC1" w:rsidP="00E92750">
            <w:pPr>
              <w:spacing w:after="0" w:line="240" w:lineRule="auto"/>
              <w:jc w:val="center"/>
              <w:rPr>
                <w:rFonts w:ascii="Calibri" w:eastAsia="Times New Roman" w:hAnsi="Calibri" w:cs="Times New Roman"/>
                <w:b/>
                <w:bCs/>
                <w:color w:val="000000"/>
                <w:sz w:val="20"/>
                <w:szCs w:val="20"/>
                <w:lang w:eastAsia="hr-HR"/>
              </w:rPr>
            </w:pPr>
            <w:r w:rsidRPr="00AE695B">
              <w:rPr>
                <w:rFonts w:ascii="Calibri" w:eastAsia="Times New Roman" w:hAnsi="Calibri" w:cs="Times New Roman"/>
                <w:b/>
                <w:bCs/>
                <w:color w:val="000000"/>
                <w:sz w:val="20"/>
                <w:szCs w:val="20"/>
                <w:lang w:eastAsia="hr-HR"/>
              </w:rPr>
              <w:t>Ukupna grijana površina (m</w:t>
            </w:r>
            <w:r w:rsidRPr="00AE695B">
              <w:rPr>
                <w:rFonts w:ascii="Calibri" w:eastAsia="Times New Roman" w:hAnsi="Calibri" w:cs="Times New Roman"/>
                <w:b/>
                <w:bCs/>
                <w:color w:val="000000"/>
                <w:sz w:val="20"/>
                <w:szCs w:val="20"/>
                <w:vertAlign w:val="superscript"/>
                <w:lang w:eastAsia="hr-HR"/>
              </w:rPr>
              <w:t>2</w:t>
            </w:r>
            <w:r w:rsidRPr="00AE695B">
              <w:rPr>
                <w:rFonts w:ascii="Calibri" w:eastAsia="Times New Roman" w:hAnsi="Calibri" w:cs="Times New Roman"/>
                <w:b/>
                <w:bCs/>
                <w:color w:val="000000"/>
                <w:sz w:val="20"/>
                <w:szCs w:val="20"/>
                <w:lang w:eastAsia="hr-HR"/>
              </w:rPr>
              <w:t>)</w:t>
            </w:r>
          </w:p>
        </w:tc>
        <w:tc>
          <w:tcPr>
            <w:tcW w:w="1005" w:type="pct"/>
            <w:tcBorders>
              <w:top w:val="single" w:sz="4" w:space="0" w:color="auto"/>
              <w:left w:val="nil"/>
              <w:bottom w:val="single" w:sz="4" w:space="0" w:color="auto"/>
              <w:right w:val="single" w:sz="4" w:space="0" w:color="auto"/>
            </w:tcBorders>
            <w:shd w:val="clear" w:color="000000" w:fill="D9D9D9"/>
            <w:vAlign w:val="center"/>
            <w:hideMark/>
          </w:tcPr>
          <w:p w14:paraId="184FC643" w14:textId="77777777" w:rsidR="002F6EC1" w:rsidRPr="00AE695B" w:rsidRDefault="002F6EC1" w:rsidP="00E92750">
            <w:pPr>
              <w:spacing w:after="0" w:line="240" w:lineRule="auto"/>
              <w:jc w:val="center"/>
              <w:rPr>
                <w:rFonts w:ascii="Calibri" w:eastAsia="Times New Roman" w:hAnsi="Calibri" w:cs="Times New Roman"/>
                <w:b/>
                <w:bCs/>
                <w:color w:val="000000"/>
                <w:sz w:val="20"/>
                <w:szCs w:val="20"/>
                <w:lang w:eastAsia="hr-HR"/>
              </w:rPr>
            </w:pPr>
            <w:r w:rsidRPr="00AE695B">
              <w:rPr>
                <w:rFonts w:ascii="Calibri" w:eastAsia="Times New Roman" w:hAnsi="Calibri" w:cs="Times New Roman"/>
                <w:b/>
                <w:bCs/>
                <w:color w:val="000000"/>
                <w:sz w:val="20"/>
                <w:szCs w:val="20"/>
                <w:lang w:eastAsia="hr-HR"/>
              </w:rPr>
              <w:t>Potrošnja toplinske energije (MWh)</w:t>
            </w:r>
          </w:p>
        </w:tc>
        <w:tc>
          <w:tcPr>
            <w:tcW w:w="1447" w:type="pct"/>
            <w:tcBorders>
              <w:top w:val="single" w:sz="4" w:space="0" w:color="auto"/>
              <w:left w:val="nil"/>
              <w:bottom w:val="single" w:sz="4" w:space="0" w:color="auto"/>
              <w:right w:val="single" w:sz="4" w:space="0" w:color="auto"/>
            </w:tcBorders>
            <w:shd w:val="clear" w:color="000000" w:fill="D9D9D9"/>
            <w:vAlign w:val="center"/>
            <w:hideMark/>
          </w:tcPr>
          <w:p w14:paraId="4775A714" w14:textId="2935B744" w:rsidR="002F6EC1" w:rsidRPr="00AE695B" w:rsidRDefault="00131530" w:rsidP="00E92750">
            <w:pPr>
              <w:spacing w:after="0" w:line="240" w:lineRule="auto"/>
              <w:jc w:val="center"/>
              <w:rPr>
                <w:rFonts w:ascii="Calibri" w:eastAsia="Times New Roman" w:hAnsi="Calibri" w:cs="Times New Roman"/>
                <w:b/>
                <w:bCs/>
                <w:color w:val="000000"/>
                <w:sz w:val="20"/>
                <w:szCs w:val="20"/>
                <w:lang w:eastAsia="hr-HR"/>
              </w:rPr>
            </w:pPr>
            <w:r w:rsidRPr="00AE695B">
              <w:rPr>
                <w:rFonts w:ascii="Calibri" w:eastAsia="Times New Roman" w:hAnsi="Calibri" w:cs="Times New Roman"/>
                <w:b/>
                <w:bCs/>
                <w:color w:val="000000"/>
                <w:sz w:val="20"/>
                <w:szCs w:val="20"/>
                <w:lang w:eastAsia="hr-HR"/>
              </w:rPr>
              <w:t>Specifična korisna energija za grijanje</w:t>
            </w:r>
            <w:r w:rsidR="002F6EC1" w:rsidRPr="00AE695B">
              <w:rPr>
                <w:rFonts w:ascii="Calibri" w:eastAsia="Times New Roman" w:hAnsi="Calibri" w:cs="Times New Roman"/>
                <w:b/>
                <w:bCs/>
                <w:color w:val="000000"/>
                <w:sz w:val="20"/>
                <w:szCs w:val="20"/>
                <w:lang w:eastAsia="hr-HR"/>
              </w:rPr>
              <w:t xml:space="preserve"> (kWh/m</w:t>
            </w:r>
            <w:r w:rsidR="002F6EC1" w:rsidRPr="00AE695B">
              <w:rPr>
                <w:rFonts w:ascii="Calibri" w:eastAsia="Times New Roman" w:hAnsi="Calibri" w:cs="Times New Roman"/>
                <w:b/>
                <w:bCs/>
                <w:color w:val="000000"/>
                <w:sz w:val="20"/>
                <w:szCs w:val="20"/>
                <w:vertAlign w:val="superscript"/>
                <w:lang w:eastAsia="hr-HR"/>
              </w:rPr>
              <w:t>2</w:t>
            </w:r>
            <w:r w:rsidR="002F6EC1" w:rsidRPr="00AE695B">
              <w:rPr>
                <w:rFonts w:ascii="Calibri" w:eastAsia="Times New Roman" w:hAnsi="Calibri" w:cs="Times New Roman"/>
                <w:b/>
                <w:bCs/>
                <w:color w:val="000000"/>
                <w:sz w:val="20"/>
                <w:szCs w:val="20"/>
                <w:lang w:eastAsia="hr-HR"/>
              </w:rPr>
              <w:t>)</w:t>
            </w:r>
          </w:p>
        </w:tc>
      </w:tr>
      <w:tr w:rsidR="002F6EC1" w:rsidRPr="00AE695B" w14:paraId="4E96F2E5" w14:textId="77777777" w:rsidTr="00C7065B">
        <w:trPr>
          <w:trHeight w:val="255"/>
        </w:trPr>
        <w:tc>
          <w:tcPr>
            <w:tcW w:w="1082" w:type="pct"/>
            <w:tcBorders>
              <w:top w:val="nil"/>
              <w:left w:val="single" w:sz="4" w:space="0" w:color="auto"/>
              <w:bottom w:val="single" w:sz="4" w:space="0" w:color="auto"/>
              <w:right w:val="single" w:sz="4" w:space="0" w:color="auto"/>
            </w:tcBorders>
            <w:shd w:val="clear" w:color="000000" w:fill="D9D9D9"/>
            <w:vAlign w:val="center"/>
            <w:hideMark/>
          </w:tcPr>
          <w:p w14:paraId="581B1768" w14:textId="77777777" w:rsidR="002F6EC1" w:rsidRPr="00AE695B" w:rsidRDefault="002F6EC1" w:rsidP="00E92750">
            <w:pPr>
              <w:spacing w:after="0" w:line="240" w:lineRule="auto"/>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Toplana vrelovod</w:t>
            </w:r>
          </w:p>
        </w:tc>
        <w:tc>
          <w:tcPr>
            <w:tcW w:w="617" w:type="pct"/>
            <w:tcBorders>
              <w:top w:val="nil"/>
              <w:left w:val="nil"/>
              <w:bottom w:val="single" w:sz="4" w:space="0" w:color="auto"/>
              <w:right w:val="single" w:sz="4" w:space="0" w:color="auto"/>
            </w:tcBorders>
            <w:shd w:val="clear" w:color="auto" w:fill="auto"/>
            <w:noWrap/>
            <w:vAlign w:val="center"/>
            <w:hideMark/>
          </w:tcPr>
          <w:p w14:paraId="225DC5D4" w14:textId="7777777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22</w:t>
            </w:r>
          </w:p>
        </w:tc>
        <w:tc>
          <w:tcPr>
            <w:tcW w:w="850" w:type="pct"/>
            <w:tcBorders>
              <w:top w:val="nil"/>
              <w:left w:val="nil"/>
              <w:bottom w:val="single" w:sz="4" w:space="0" w:color="auto"/>
              <w:right w:val="single" w:sz="4" w:space="0" w:color="auto"/>
            </w:tcBorders>
            <w:shd w:val="clear" w:color="auto" w:fill="auto"/>
            <w:noWrap/>
            <w:vAlign w:val="center"/>
            <w:hideMark/>
          </w:tcPr>
          <w:p w14:paraId="027B0FB7" w14:textId="71809E22" w:rsidR="002F6EC1" w:rsidRPr="00AE695B" w:rsidRDefault="000F179B"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 xml:space="preserve">21 </w:t>
            </w:r>
            <w:r w:rsidR="002F6EC1" w:rsidRPr="00AE695B">
              <w:rPr>
                <w:rFonts w:ascii="Calibri" w:eastAsia="Times New Roman" w:hAnsi="Calibri" w:cs="Times New Roman"/>
                <w:color w:val="000000"/>
                <w:sz w:val="20"/>
                <w:szCs w:val="20"/>
                <w:lang w:eastAsia="hr-HR"/>
              </w:rPr>
              <w:t>913,53</w:t>
            </w:r>
          </w:p>
        </w:tc>
        <w:tc>
          <w:tcPr>
            <w:tcW w:w="1005" w:type="pct"/>
            <w:tcBorders>
              <w:top w:val="nil"/>
              <w:left w:val="nil"/>
              <w:bottom w:val="single" w:sz="4" w:space="0" w:color="auto"/>
              <w:right w:val="single" w:sz="4" w:space="0" w:color="auto"/>
            </w:tcBorders>
            <w:shd w:val="clear" w:color="auto" w:fill="auto"/>
            <w:noWrap/>
            <w:vAlign w:val="center"/>
            <w:hideMark/>
          </w:tcPr>
          <w:p w14:paraId="46168DB6" w14:textId="418C3066" w:rsidR="002F6EC1" w:rsidRPr="00AE695B" w:rsidRDefault="000F179B"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 xml:space="preserve">4 </w:t>
            </w:r>
            <w:r w:rsidR="002F6EC1" w:rsidRPr="00AE695B">
              <w:rPr>
                <w:rFonts w:ascii="Calibri" w:eastAsia="Times New Roman" w:hAnsi="Calibri" w:cs="Times New Roman"/>
                <w:color w:val="000000"/>
                <w:sz w:val="20"/>
                <w:szCs w:val="20"/>
                <w:lang w:eastAsia="hr-HR"/>
              </w:rPr>
              <w:t>418,26</w:t>
            </w:r>
          </w:p>
        </w:tc>
        <w:tc>
          <w:tcPr>
            <w:tcW w:w="1447" w:type="pct"/>
            <w:tcBorders>
              <w:top w:val="nil"/>
              <w:left w:val="nil"/>
              <w:bottom w:val="single" w:sz="4" w:space="0" w:color="auto"/>
              <w:right w:val="single" w:sz="4" w:space="0" w:color="auto"/>
            </w:tcBorders>
            <w:shd w:val="clear" w:color="auto" w:fill="auto"/>
            <w:noWrap/>
            <w:vAlign w:val="center"/>
            <w:hideMark/>
          </w:tcPr>
          <w:p w14:paraId="6A475BBB" w14:textId="7777777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201,62</w:t>
            </w:r>
          </w:p>
        </w:tc>
      </w:tr>
      <w:tr w:rsidR="002F6EC1" w:rsidRPr="00AE695B" w14:paraId="40E48214" w14:textId="77777777" w:rsidTr="00C7065B">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0FF10C7E" w14:textId="77777777" w:rsidR="002F6EC1" w:rsidRPr="00AE695B" w:rsidRDefault="002F6EC1" w:rsidP="00E92750">
            <w:pPr>
              <w:spacing w:after="0" w:line="240" w:lineRule="auto"/>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Prirodni plin</w:t>
            </w:r>
          </w:p>
        </w:tc>
        <w:tc>
          <w:tcPr>
            <w:tcW w:w="617" w:type="pct"/>
            <w:tcBorders>
              <w:top w:val="nil"/>
              <w:left w:val="nil"/>
              <w:bottom w:val="single" w:sz="4" w:space="0" w:color="auto"/>
              <w:right w:val="single" w:sz="4" w:space="0" w:color="auto"/>
            </w:tcBorders>
            <w:shd w:val="clear" w:color="auto" w:fill="auto"/>
            <w:noWrap/>
            <w:vAlign w:val="center"/>
            <w:hideMark/>
          </w:tcPr>
          <w:p w14:paraId="2D78F453" w14:textId="7777777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69</w:t>
            </w:r>
          </w:p>
        </w:tc>
        <w:tc>
          <w:tcPr>
            <w:tcW w:w="850" w:type="pct"/>
            <w:tcBorders>
              <w:top w:val="nil"/>
              <w:left w:val="nil"/>
              <w:bottom w:val="single" w:sz="4" w:space="0" w:color="auto"/>
              <w:right w:val="single" w:sz="4" w:space="0" w:color="auto"/>
            </w:tcBorders>
            <w:shd w:val="clear" w:color="auto" w:fill="auto"/>
            <w:noWrap/>
            <w:vAlign w:val="center"/>
            <w:hideMark/>
          </w:tcPr>
          <w:p w14:paraId="1441D09F" w14:textId="13AD8D82" w:rsidR="002F6EC1" w:rsidRPr="00AE695B" w:rsidRDefault="000F179B"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 xml:space="preserve">84 </w:t>
            </w:r>
            <w:r w:rsidR="002F6EC1" w:rsidRPr="00AE695B">
              <w:rPr>
                <w:rFonts w:ascii="Calibri" w:eastAsia="Times New Roman" w:hAnsi="Calibri" w:cs="Times New Roman"/>
                <w:color w:val="000000"/>
                <w:sz w:val="20"/>
                <w:szCs w:val="20"/>
                <w:lang w:eastAsia="hr-HR"/>
              </w:rPr>
              <w:t>706,06</w:t>
            </w:r>
          </w:p>
        </w:tc>
        <w:tc>
          <w:tcPr>
            <w:tcW w:w="1005" w:type="pct"/>
            <w:tcBorders>
              <w:top w:val="nil"/>
              <w:left w:val="nil"/>
              <w:bottom w:val="single" w:sz="4" w:space="0" w:color="auto"/>
              <w:right w:val="single" w:sz="4" w:space="0" w:color="auto"/>
            </w:tcBorders>
            <w:shd w:val="clear" w:color="auto" w:fill="auto"/>
            <w:noWrap/>
            <w:vAlign w:val="center"/>
            <w:hideMark/>
          </w:tcPr>
          <w:p w14:paraId="3BED2DA4" w14:textId="233ABDCE" w:rsidR="002F6EC1" w:rsidRPr="00AE695B" w:rsidRDefault="000F179B"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 xml:space="preserve">10 </w:t>
            </w:r>
            <w:r w:rsidR="002F6EC1" w:rsidRPr="00AE695B">
              <w:rPr>
                <w:rFonts w:ascii="Calibri" w:eastAsia="Times New Roman" w:hAnsi="Calibri" w:cs="Times New Roman"/>
                <w:color w:val="000000"/>
                <w:sz w:val="20"/>
                <w:szCs w:val="20"/>
                <w:lang w:eastAsia="hr-HR"/>
              </w:rPr>
              <w:t>584,40</w:t>
            </w:r>
          </w:p>
        </w:tc>
        <w:tc>
          <w:tcPr>
            <w:tcW w:w="1447" w:type="pct"/>
            <w:tcBorders>
              <w:top w:val="nil"/>
              <w:left w:val="nil"/>
              <w:bottom w:val="single" w:sz="4" w:space="0" w:color="auto"/>
              <w:right w:val="single" w:sz="4" w:space="0" w:color="auto"/>
            </w:tcBorders>
            <w:shd w:val="clear" w:color="auto" w:fill="auto"/>
            <w:noWrap/>
            <w:vAlign w:val="center"/>
            <w:hideMark/>
          </w:tcPr>
          <w:p w14:paraId="14FCCA2B" w14:textId="7777777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124,95</w:t>
            </w:r>
          </w:p>
        </w:tc>
      </w:tr>
      <w:tr w:rsidR="002F6EC1" w:rsidRPr="00AE695B" w14:paraId="03BDA93C" w14:textId="77777777" w:rsidTr="00C7065B">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195F046C" w14:textId="77777777" w:rsidR="002F6EC1" w:rsidRPr="00AE695B" w:rsidRDefault="002F6EC1" w:rsidP="00E92750">
            <w:pPr>
              <w:spacing w:after="0" w:line="240" w:lineRule="auto"/>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Lož ulje</w:t>
            </w:r>
          </w:p>
        </w:tc>
        <w:tc>
          <w:tcPr>
            <w:tcW w:w="617" w:type="pct"/>
            <w:tcBorders>
              <w:top w:val="nil"/>
              <w:left w:val="nil"/>
              <w:bottom w:val="single" w:sz="4" w:space="0" w:color="auto"/>
              <w:right w:val="single" w:sz="4" w:space="0" w:color="auto"/>
            </w:tcBorders>
            <w:shd w:val="clear" w:color="auto" w:fill="auto"/>
            <w:noWrap/>
            <w:vAlign w:val="center"/>
            <w:hideMark/>
          </w:tcPr>
          <w:p w14:paraId="6D395DD3" w14:textId="7777777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3</w:t>
            </w:r>
          </w:p>
        </w:tc>
        <w:tc>
          <w:tcPr>
            <w:tcW w:w="850" w:type="pct"/>
            <w:tcBorders>
              <w:top w:val="nil"/>
              <w:left w:val="nil"/>
              <w:bottom w:val="single" w:sz="4" w:space="0" w:color="auto"/>
              <w:right w:val="single" w:sz="4" w:space="0" w:color="auto"/>
            </w:tcBorders>
            <w:shd w:val="clear" w:color="auto" w:fill="auto"/>
            <w:noWrap/>
            <w:vAlign w:val="center"/>
            <w:hideMark/>
          </w:tcPr>
          <w:p w14:paraId="4CD16981" w14:textId="046531EE" w:rsidR="002F6EC1" w:rsidRPr="00AE695B" w:rsidRDefault="000F179B"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 xml:space="preserve">2 </w:t>
            </w:r>
            <w:r w:rsidR="002F6EC1" w:rsidRPr="00AE695B">
              <w:rPr>
                <w:rFonts w:ascii="Calibri" w:eastAsia="Times New Roman" w:hAnsi="Calibri" w:cs="Times New Roman"/>
                <w:color w:val="000000"/>
                <w:sz w:val="20"/>
                <w:szCs w:val="20"/>
                <w:lang w:eastAsia="hr-HR"/>
              </w:rPr>
              <w:t>941,71</w:t>
            </w:r>
          </w:p>
        </w:tc>
        <w:tc>
          <w:tcPr>
            <w:tcW w:w="1005" w:type="pct"/>
            <w:tcBorders>
              <w:top w:val="nil"/>
              <w:left w:val="nil"/>
              <w:bottom w:val="single" w:sz="4" w:space="0" w:color="auto"/>
              <w:right w:val="single" w:sz="4" w:space="0" w:color="auto"/>
            </w:tcBorders>
            <w:shd w:val="clear" w:color="auto" w:fill="auto"/>
            <w:noWrap/>
            <w:vAlign w:val="center"/>
            <w:hideMark/>
          </w:tcPr>
          <w:p w14:paraId="18C94B77" w14:textId="490EF79E"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390,38</w:t>
            </w:r>
          </w:p>
        </w:tc>
        <w:tc>
          <w:tcPr>
            <w:tcW w:w="1447" w:type="pct"/>
            <w:tcBorders>
              <w:top w:val="nil"/>
              <w:left w:val="nil"/>
              <w:bottom w:val="single" w:sz="4" w:space="0" w:color="auto"/>
              <w:right w:val="single" w:sz="4" w:space="0" w:color="auto"/>
            </w:tcBorders>
            <w:shd w:val="clear" w:color="auto" w:fill="auto"/>
            <w:noWrap/>
            <w:vAlign w:val="center"/>
            <w:hideMark/>
          </w:tcPr>
          <w:p w14:paraId="7D60C049" w14:textId="7777777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132,71</w:t>
            </w:r>
          </w:p>
        </w:tc>
      </w:tr>
      <w:tr w:rsidR="002F6EC1" w:rsidRPr="00AE695B" w14:paraId="1957CDC6" w14:textId="77777777" w:rsidTr="00C7065B">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1E1207E4" w14:textId="77777777" w:rsidR="002F6EC1" w:rsidRPr="00AE695B" w:rsidRDefault="002F6EC1" w:rsidP="00E92750">
            <w:pPr>
              <w:spacing w:after="0" w:line="240" w:lineRule="auto"/>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Električna energija</w:t>
            </w:r>
          </w:p>
        </w:tc>
        <w:tc>
          <w:tcPr>
            <w:tcW w:w="617" w:type="pct"/>
            <w:tcBorders>
              <w:top w:val="nil"/>
              <w:left w:val="nil"/>
              <w:bottom w:val="single" w:sz="4" w:space="0" w:color="auto"/>
              <w:right w:val="single" w:sz="4" w:space="0" w:color="auto"/>
            </w:tcBorders>
            <w:shd w:val="clear" w:color="auto" w:fill="auto"/>
            <w:noWrap/>
            <w:vAlign w:val="center"/>
            <w:hideMark/>
          </w:tcPr>
          <w:p w14:paraId="34C565EF" w14:textId="7777777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5</w:t>
            </w:r>
          </w:p>
        </w:tc>
        <w:tc>
          <w:tcPr>
            <w:tcW w:w="850" w:type="pct"/>
            <w:tcBorders>
              <w:top w:val="nil"/>
              <w:left w:val="nil"/>
              <w:bottom w:val="single" w:sz="4" w:space="0" w:color="auto"/>
              <w:right w:val="single" w:sz="4" w:space="0" w:color="auto"/>
            </w:tcBorders>
            <w:shd w:val="clear" w:color="auto" w:fill="auto"/>
            <w:noWrap/>
            <w:vAlign w:val="center"/>
            <w:hideMark/>
          </w:tcPr>
          <w:p w14:paraId="13E44CD5" w14:textId="5E9BE89A" w:rsidR="002F6EC1" w:rsidRPr="00AE695B" w:rsidRDefault="000F179B"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 xml:space="preserve">1 </w:t>
            </w:r>
            <w:r w:rsidR="002F6EC1" w:rsidRPr="00AE695B">
              <w:rPr>
                <w:rFonts w:ascii="Calibri" w:eastAsia="Times New Roman" w:hAnsi="Calibri" w:cs="Times New Roman"/>
                <w:color w:val="000000"/>
                <w:sz w:val="20"/>
                <w:szCs w:val="20"/>
                <w:lang w:eastAsia="hr-HR"/>
              </w:rPr>
              <w:t>163,00</w:t>
            </w:r>
          </w:p>
        </w:tc>
        <w:tc>
          <w:tcPr>
            <w:tcW w:w="1005" w:type="pct"/>
            <w:tcBorders>
              <w:top w:val="nil"/>
              <w:left w:val="nil"/>
              <w:bottom w:val="single" w:sz="4" w:space="0" w:color="auto"/>
              <w:right w:val="single" w:sz="4" w:space="0" w:color="auto"/>
            </w:tcBorders>
            <w:shd w:val="clear" w:color="auto" w:fill="auto"/>
            <w:noWrap/>
            <w:vAlign w:val="center"/>
            <w:hideMark/>
          </w:tcPr>
          <w:p w14:paraId="38643409" w14:textId="1762DA1C"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105,26</w:t>
            </w:r>
          </w:p>
        </w:tc>
        <w:tc>
          <w:tcPr>
            <w:tcW w:w="1447" w:type="pct"/>
            <w:tcBorders>
              <w:top w:val="nil"/>
              <w:left w:val="nil"/>
              <w:bottom w:val="single" w:sz="4" w:space="0" w:color="auto"/>
              <w:right w:val="single" w:sz="4" w:space="0" w:color="auto"/>
            </w:tcBorders>
            <w:shd w:val="clear" w:color="auto" w:fill="auto"/>
            <w:noWrap/>
            <w:vAlign w:val="center"/>
            <w:hideMark/>
          </w:tcPr>
          <w:p w14:paraId="772D20FF" w14:textId="7777777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90,51</w:t>
            </w:r>
          </w:p>
        </w:tc>
      </w:tr>
      <w:tr w:rsidR="002F6EC1" w:rsidRPr="00AE695B" w14:paraId="37204A72" w14:textId="77777777" w:rsidTr="00C7065B">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587DF76D" w14:textId="77777777" w:rsidR="002F6EC1" w:rsidRPr="00AE695B" w:rsidRDefault="002F6EC1" w:rsidP="00E92750">
            <w:pPr>
              <w:spacing w:after="0" w:line="240" w:lineRule="auto"/>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Bez grijanja</w:t>
            </w:r>
          </w:p>
        </w:tc>
        <w:tc>
          <w:tcPr>
            <w:tcW w:w="617" w:type="pct"/>
            <w:tcBorders>
              <w:top w:val="nil"/>
              <w:left w:val="nil"/>
              <w:bottom w:val="single" w:sz="4" w:space="0" w:color="auto"/>
              <w:right w:val="single" w:sz="4" w:space="0" w:color="auto"/>
            </w:tcBorders>
            <w:shd w:val="clear" w:color="auto" w:fill="auto"/>
            <w:noWrap/>
            <w:vAlign w:val="center"/>
            <w:hideMark/>
          </w:tcPr>
          <w:p w14:paraId="7389E9E9" w14:textId="7777777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1</w:t>
            </w:r>
          </w:p>
        </w:tc>
        <w:tc>
          <w:tcPr>
            <w:tcW w:w="850" w:type="pct"/>
            <w:tcBorders>
              <w:top w:val="nil"/>
              <w:left w:val="nil"/>
              <w:bottom w:val="single" w:sz="4" w:space="0" w:color="auto"/>
              <w:right w:val="single" w:sz="4" w:space="0" w:color="auto"/>
            </w:tcBorders>
            <w:shd w:val="clear" w:color="auto" w:fill="auto"/>
            <w:noWrap/>
            <w:vAlign w:val="center"/>
            <w:hideMark/>
          </w:tcPr>
          <w:p w14:paraId="0CDF7D45" w14:textId="4B1683A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913,00</w:t>
            </w:r>
          </w:p>
        </w:tc>
        <w:tc>
          <w:tcPr>
            <w:tcW w:w="1005" w:type="pct"/>
            <w:tcBorders>
              <w:top w:val="nil"/>
              <w:left w:val="nil"/>
              <w:bottom w:val="single" w:sz="4" w:space="0" w:color="auto"/>
              <w:right w:val="single" w:sz="4" w:space="0" w:color="auto"/>
            </w:tcBorders>
            <w:shd w:val="clear" w:color="auto" w:fill="auto"/>
            <w:noWrap/>
            <w:vAlign w:val="center"/>
            <w:hideMark/>
          </w:tcPr>
          <w:p w14:paraId="74D569A6" w14:textId="6F7FD0DB"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w:t>
            </w:r>
          </w:p>
        </w:tc>
        <w:tc>
          <w:tcPr>
            <w:tcW w:w="1447" w:type="pct"/>
            <w:tcBorders>
              <w:top w:val="nil"/>
              <w:left w:val="nil"/>
              <w:bottom w:val="single" w:sz="4" w:space="0" w:color="auto"/>
              <w:right w:val="single" w:sz="4" w:space="0" w:color="auto"/>
            </w:tcBorders>
            <w:shd w:val="clear" w:color="auto" w:fill="auto"/>
            <w:noWrap/>
            <w:vAlign w:val="center"/>
            <w:hideMark/>
          </w:tcPr>
          <w:p w14:paraId="3A42FE3D" w14:textId="77777777" w:rsidR="002F6EC1" w:rsidRPr="00AE695B" w:rsidRDefault="002F6EC1" w:rsidP="00E92750">
            <w:pPr>
              <w:spacing w:after="0" w:line="240" w:lineRule="auto"/>
              <w:jc w:val="center"/>
              <w:rPr>
                <w:rFonts w:ascii="Calibri" w:eastAsia="Times New Roman" w:hAnsi="Calibri" w:cs="Times New Roman"/>
                <w:color w:val="000000"/>
                <w:sz w:val="20"/>
                <w:szCs w:val="20"/>
                <w:lang w:eastAsia="hr-HR"/>
              </w:rPr>
            </w:pPr>
            <w:r w:rsidRPr="00AE695B">
              <w:rPr>
                <w:rFonts w:ascii="Calibri" w:eastAsia="Times New Roman" w:hAnsi="Calibri" w:cs="Times New Roman"/>
                <w:color w:val="000000"/>
                <w:sz w:val="20"/>
                <w:szCs w:val="20"/>
                <w:lang w:eastAsia="hr-HR"/>
              </w:rPr>
              <w:t>-</w:t>
            </w:r>
          </w:p>
        </w:tc>
      </w:tr>
      <w:tr w:rsidR="002F6EC1" w:rsidRPr="007C7920" w14:paraId="757E89BB" w14:textId="77777777" w:rsidTr="00C7065B">
        <w:trPr>
          <w:trHeight w:val="255"/>
        </w:trPr>
        <w:tc>
          <w:tcPr>
            <w:tcW w:w="1082" w:type="pct"/>
            <w:tcBorders>
              <w:top w:val="nil"/>
              <w:left w:val="single" w:sz="4" w:space="0" w:color="auto"/>
              <w:bottom w:val="single" w:sz="4" w:space="0" w:color="auto"/>
              <w:right w:val="single" w:sz="4" w:space="0" w:color="auto"/>
            </w:tcBorders>
            <w:shd w:val="clear" w:color="000000" w:fill="D9D9D9"/>
            <w:noWrap/>
            <w:vAlign w:val="center"/>
            <w:hideMark/>
          </w:tcPr>
          <w:p w14:paraId="6CD4BA8C" w14:textId="77777777" w:rsidR="002F6EC1" w:rsidRPr="00AE695B" w:rsidRDefault="002F6EC1" w:rsidP="00E92750">
            <w:pPr>
              <w:spacing w:after="0" w:line="240" w:lineRule="auto"/>
              <w:rPr>
                <w:rFonts w:ascii="Calibri" w:eastAsia="Times New Roman" w:hAnsi="Calibri" w:cs="Times New Roman"/>
                <w:b/>
                <w:bCs/>
                <w:color w:val="000000"/>
                <w:sz w:val="20"/>
                <w:szCs w:val="20"/>
                <w:lang w:eastAsia="hr-HR"/>
              </w:rPr>
            </w:pPr>
            <w:r w:rsidRPr="00AE695B">
              <w:rPr>
                <w:rFonts w:ascii="Calibri" w:eastAsia="Times New Roman" w:hAnsi="Calibri" w:cs="Times New Roman"/>
                <w:b/>
                <w:bCs/>
                <w:color w:val="000000"/>
                <w:sz w:val="20"/>
                <w:szCs w:val="20"/>
                <w:lang w:eastAsia="hr-HR"/>
              </w:rPr>
              <w:t>UKUPNO</w:t>
            </w:r>
          </w:p>
        </w:tc>
        <w:tc>
          <w:tcPr>
            <w:tcW w:w="617" w:type="pct"/>
            <w:tcBorders>
              <w:top w:val="nil"/>
              <w:left w:val="nil"/>
              <w:bottom w:val="single" w:sz="4" w:space="0" w:color="auto"/>
              <w:right w:val="single" w:sz="4" w:space="0" w:color="auto"/>
            </w:tcBorders>
            <w:shd w:val="clear" w:color="auto" w:fill="auto"/>
            <w:noWrap/>
            <w:vAlign w:val="center"/>
            <w:hideMark/>
          </w:tcPr>
          <w:p w14:paraId="38058379" w14:textId="77777777" w:rsidR="002F6EC1" w:rsidRPr="00AE695B" w:rsidRDefault="002F6EC1" w:rsidP="00E92750">
            <w:pPr>
              <w:spacing w:after="0" w:line="240" w:lineRule="auto"/>
              <w:jc w:val="center"/>
              <w:rPr>
                <w:rFonts w:ascii="Calibri" w:eastAsia="Times New Roman" w:hAnsi="Calibri" w:cs="Times New Roman"/>
                <w:b/>
                <w:bCs/>
                <w:color w:val="000000"/>
                <w:sz w:val="20"/>
                <w:szCs w:val="20"/>
                <w:lang w:eastAsia="hr-HR"/>
              </w:rPr>
            </w:pPr>
            <w:r w:rsidRPr="00AE695B">
              <w:rPr>
                <w:rFonts w:ascii="Calibri" w:eastAsia="Times New Roman" w:hAnsi="Calibri" w:cs="Times New Roman"/>
                <w:b/>
                <w:bCs/>
                <w:color w:val="000000"/>
                <w:sz w:val="20"/>
                <w:szCs w:val="20"/>
                <w:lang w:eastAsia="hr-HR"/>
              </w:rPr>
              <w:t>100</w:t>
            </w:r>
          </w:p>
        </w:tc>
        <w:tc>
          <w:tcPr>
            <w:tcW w:w="850" w:type="pct"/>
            <w:tcBorders>
              <w:top w:val="nil"/>
              <w:left w:val="nil"/>
              <w:bottom w:val="single" w:sz="4" w:space="0" w:color="auto"/>
              <w:right w:val="single" w:sz="4" w:space="0" w:color="auto"/>
            </w:tcBorders>
            <w:shd w:val="clear" w:color="auto" w:fill="auto"/>
            <w:noWrap/>
            <w:vAlign w:val="center"/>
            <w:hideMark/>
          </w:tcPr>
          <w:p w14:paraId="4691811D" w14:textId="6610D8B5" w:rsidR="002F6EC1" w:rsidRPr="00AE695B" w:rsidRDefault="000F179B" w:rsidP="00E92750">
            <w:pPr>
              <w:spacing w:after="0" w:line="240" w:lineRule="auto"/>
              <w:jc w:val="center"/>
              <w:rPr>
                <w:rFonts w:ascii="Calibri" w:eastAsia="Times New Roman" w:hAnsi="Calibri" w:cs="Times New Roman"/>
                <w:b/>
                <w:bCs/>
                <w:color w:val="000000"/>
                <w:sz w:val="20"/>
                <w:szCs w:val="20"/>
                <w:lang w:eastAsia="hr-HR"/>
              </w:rPr>
            </w:pPr>
            <w:r w:rsidRPr="00AE695B">
              <w:rPr>
                <w:rFonts w:ascii="Calibri" w:eastAsia="Times New Roman" w:hAnsi="Calibri" w:cs="Times New Roman"/>
                <w:b/>
                <w:bCs/>
                <w:color w:val="000000"/>
                <w:sz w:val="20"/>
                <w:szCs w:val="20"/>
                <w:lang w:eastAsia="hr-HR"/>
              </w:rPr>
              <w:t xml:space="preserve">111 </w:t>
            </w:r>
            <w:r w:rsidR="002F6EC1" w:rsidRPr="00AE695B">
              <w:rPr>
                <w:rFonts w:ascii="Calibri" w:eastAsia="Times New Roman" w:hAnsi="Calibri" w:cs="Times New Roman"/>
                <w:b/>
                <w:bCs/>
                <w:color w:val="000000"/>
                <w:sz w:val="20"/>
                <w:szCs w:val="20"/>
                <w:lang w:eastAsia="hr-HR"/>
              </w:rPr>
              <w:t>637,30</w:t>
            </w:r>
          </w:p>
        </w:tc>
        <w:tc>
          <w:tcPr>
            <w:tcW w:w="1005" w:type="pct"/>
            <w:tcBorders>
              <w:top w:val="nil"/>
              <w:left w:val="nil"/>
              <w:bottom w:val="single" w:sz="4" w:space="0" w:color="auto"/>
              <w:right w:val="single" w:sz="4" w:space="0" w:color="auto"/>
            </w:tcBorders>
            <w:shd w:val="clear" w:color="auto" w:fill="auto"/>
            <w:noWrap/>
            <w:vAlign w:val="center"/>
            <w:hideMark/>
          </w:tcPr>
          <w:p w14:paraId="57130C4D" w14:textId="78F8A33E" w:rsidR="002F6EC1" w:rsidRPr="00AE695B" w:rsidRDefault="000F179B" w:rsidP="00E92750">
            <w:pPr>
              <w:spacing w:after="0" w:line="240" w:lineRule="auto"/>
              <w:jc w:val="center"/>
              <w:rPr>
                <w:rFonts w:ascii="Calibri" w:eastAsia="Times New Roman" w:hAnsi="Calibri" w:cs="Times New Roman"/>
                <w:b/>
                <w:bCs/>
                <w:color w:val="000000"/>
                <w:sz w:val="20"/>
                <w:szCs w:val="20"/>
                <w:lang w:eastAsia="hr-HR"/>
              </w:rPr>
            </w:pPr>
            <w:r w:rsidRPr="00AE695B">
              <w:rPr>
                <w:rFonts w:ascii="Calibri" w:eastAsia="Times New Roman" w:hAnsi="Calibri" w:cs="Times New Roman"/>
                <w:b/>
                <w:bCs/>
                <w:color w:val="000000"/>
                <w:sz w:val="20"/>
                <w:szCs w:val="20"/>
                <w:lang w:eastAsia="hr-HR"/>
              </w:rPr>
              <w:t xml:space="preserve">15 </w:t>
            </w:r>
            <w:r w:rsidR="002F6EC1" w:rsidRPr="00AE695B">
              <w:rPr>
                <w:rFonts w:ascii="Calibri" w:eastAsia="Times New Roman" w:hAnsi="Calibri" w:cs="Times New Roman"/>
                <w:b/>
                <w:bCs/>
                <w:color w:val="000000"/>
                <w:sz w:val="20"/>
                <w:szCs w:val="20"/>
                <w:lang w:eastAsia="hr-HR"/>
              </w:rPr>
              <w:t>498,30</w:t>
            </w:r>
          </w:p>
        </w:tc>
        <w:tc>
          <w:tcPr>
            <w:tcW w:w="1447" w:type="pct"/>
            <w:tcBorders>
              <w:top w:val="nil"/>
              <w:left w:val="nil"/>
              <w:bottom w:val="single" w:sz="4" w:space="0" w:color="auto"/>
              <w:right w:val="single" w:sz="4" w:space="0" w:color="auto"/>
            </w:tcBorders>
            <w:shd w:val="clear" w:color="auto" w:fill="auto"/>
            <w:noWrap/>
            <w:vAlign w:val="center"/>
            <w:hideMark/>
          </w:tcPr>
          <w:p w14:paraId="10CBCCDA" w14:textId="77777777" w:rsidR="002F6EC1" w:rsidRPr="00AE695B" w:rsidRDefault="002F6EC1" w:rsidP="00E92750">
            <w:pPr>
              <w:spacing w:after="0" w:line="240" w:lineRule="auto"/>
              <w:jc w:val="center"/>
              <w:rPr>
                <w:rFonts w:ascii="Calibri" w:eastAsia="Times New Roman" w:hAnsi="Calibri" w:cs="Times New Roman"/>
                <w:b/>
                <w:bCs/>
                <w:color w:val="000000"/>
                <w:sz w:val="20"/>
                <w:szCs w:val="20"/>
                <w:lang w:eastAsia="hr-HR"/>
              </w:rPr>
            </w:pPr>
            <w:r w:rsidRPr="00AE695B">
              <w:rPr>
                <w:rFonts w:ascii="Calibri" w:eastAsia="Times New Roman" w:hAnsi="Calibri" w:cs="Times New Roman"/>
                <w:b/>
                <w:bCs/>
                <w:color w:val="000000"/>
                <w:sz w:val="20"/>
                <w:szCs w:val="20"/>
                <w:lang w:eastAsia="hr-HR"/>
              </w:rPr>
              <w:t>138,83</w:t>
            </w:r>
          </w:p>
        </w:tc>
      </w:tr>
    </w:tbl>
    <w:p w14:paraId="67518538" w14:textId="51011202" w:rsidR="004E49A0" w:rsidRPr="007C7920" w:rsidRDefault="004E49A0" w:rsidP="00E92750">
      <w:pPr>
        <w:suppressAutoHyphens/>
        <w:autoSpaceDN w:val="0"/>
        <w:spacing w:after="0" w:line="240" w:lineRule="auto"/>
        <w:jc w:val="center"/>
        <w:textAlignment w:val="baseline"/>
        <w:rPr>
          <w:noProof/>
          <w:highlight w:val="yellow"/>
          <w:lang w:eastAsia="hr-HR"/>
        </w:rPr>
      </w:pPr>
    </w:p>
    <w:p w14:paraId="311CBC41" w14:textId="3EFEEAE6" w:rsidR="00F919DA" w:rsidRPr="00AE695B" w:rsidRDefault="009159BF" w:rsidP="00E92750">
      <w:pPr>
        <w:suppressAutoHyphens/>
        <w:autoSpaceDN w:val="0"/>
        <w:spacing w:after="0" w:line="240" w:lineRule="auto"/>
        <w:jc w:val="center"/>
        <w:textAlignment w:val="baseline"/>
        <w:rPr>
          <w:noProof/>
          <w:lang w:eastAsia="hr-HR"/>
        </w:rPr>
      </w:pPr>
      <w:r w:rsidRPr="00AE695B">
        <w:rPr>
          <w:noProof/>
          <w:lang w:eastAsia="hr-HR"/>
        </w:rPr>
        <w:drawing>
          <wp:inline distT="0" distB="0" distL="0" distR="0" wp14:anchorId="5486606E" wp14:editId="433E3DD7">
            <wp:extent cx="4149305" cy="2553419"/>
            <wp:effectExtent l="38100" t="0" r="3810"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8DFC5E" w14:textId="607F02FE" w:rsidR="0098526F" w:rsidRPr="00AE695B" w:rsidRDefault="0098526F" w:rsidP="00E92750">
      <w:pPr>
        <w:suppressAutoHyphens/>
        <w:autoSpaceDN w:val="0"/>
        <w:spacing w:after="240" w:line="240" w:lineRule="auto"/>
        <w:jc w:val="center"/>
        <w:textAlignment w:val="baseline"/>
        <w:rPr>
          <w:rFonts w:ascii="Calibri" w:eastAsia="Calibri" w:hAnsi="Calibri" w:cs="Times New Roman"/>
        </w:rPr>
      </w:pPr>
      <w:bookmarkStart w:id="52" w:name="_Ref462057436"/>
      <w:bookmarkStart w:id="53" w:name="_Toc468277414"/>
      <w:r w:rsidRPr="00AE695B">
        <w:rPr>
          <w:b/>
        </w:rPr>
        <w:t xml:space="preserve">Slika </w:t>
      </w:r>
      <w:r w:rsidRPr="00AE695B">
        <w:rPr>
          <w:b/>
        </w:rPr>
        <w:fldChar w:fldCharType="begin"/>
      </w:r>
      <w:r w:rsidRPr="00AE695B">
        <w:rPr>
          <w:b/>
        </w:rPr>
        <w:instrText xml:space="preserve"> STYLEREF 1 \s </w:instrText>
      </w:r>
      <w:r w:rsidRPr="00AE695B">
        <w:rPr>
          <w:b/>
        </w:rPr>
        <w:fldChar w:fldCharType="separate"/>
      </w:r>
      <w:r w:rsidR="009C319B">
        <w:rPr>
          <w:b/>
          <w:noProof/>
        </w:rPr>
        <w:t>4</w:t>
      </w:r>
      <w:r w:rsidRPr="00AE695B">
        <w:rPr>
          <w:b/>
          <w:noProof/>
        </w:rPr>
        <w:fldChar w:fldCharType="end"/>
      </w:r>
      <w:r w:rsidRPr="00AE695B">
        <w:rPr>
          <w:b/>
        </w:rPr>
        <w:t>.</w:t>
      </w:r>
      <w:r w:rsidRPr="00AE695B">
        <w:rPr>
          <w:b/>
        </w:rPr>
        <w:fldChar w:fldCharType="begin"/>
      </w:r>
      <w:r w:rsidRPr="00AE695B">
        <w:rPr>
          <w:b/>
        </w:rPr>
        <w:instrText xml:space="preserve"> SEQ Slika \* ARABIC \s 1 </w:instrText>
      </w:r>
      <w:r w:rsidRPr="00AE695B">
        <w:rPr>
          <w:b/>
        </w:rPr>
        <w:fldChar w:fldCharType="separate"/>
      </w:r>
      <w:r w:rsidR="009C319B">
        <w:rPr>
          <w:b/>
          <w:noProof/>
        </w:rPr>
        <w:t>10</w:t>
      </w:r>
      <w:r w:rsidRPr="00AE695B">
        <w:rPr>
          <w:b/>
          <w:noProof/>
        </w:rPr>
        <w:fldChar w:fldCharType="end"/>
      </w:r>
      <w:bookmarkEnd w:id="52"/>
      <w:r w:rsidRPr="00AE695B">
        <w:rPr>
          <w:rFonts w:ascii="Calibri" w:eastAsia="Calibri" w:hAnsi="Calibri" w:cs="Times New Roman"/>
          <w:b/>
        </w:rPr>
        <w:t xml:space="preserve"> </w:t>
      </w:r>
      <w:r w:rsidRPr="00AE695B">
        <w:rPr>
          <w:rFonts w:ascii="Calibri" w:eastAsia="Calibri" w:hAnsi="Calibri" w:cs="Times New Roman"/>
        </w:rPr>
        <w:t xml:space="preserve">Struktura potrošnje toplinske energije kategorije </w:t>
      </w:r>
      <w:r w:rsidR="00974069" w:rsidRPr="00AE695B">
        <w:rPr>
          <w:rFonts w:ascii="Calibri" w:eastAsia="Calibri" w:hAnsi="Calibri" w:cs="Times New Roman"/>
        </w:rPr>
        <w:t>kulturnih ustanova</w:t>
      </w:r>
      <w:r w:rsidRPr="00AE695B">
        <w:rPr>
          <w:rFonts w:ascii="Calibri" w:eastAsia="Calibri" w:hAnsi="Calibri" w:cs="Times New Roman"/>
        </w:rPr>
        <w:t xml:space="preserve"> Grada Zagreba</w:t>
      </w:r>
      <w:r w:rsidR="00F61CAC" w:rsidRPr="00AE695B">
        <w:rPr>
          <w:rFonts w:ascii="Calibri" w:eastAsia="Calibri" w:hAnsi="Calibri" w:cs="Times New Roman"/>
        </w:rPr>
        <w:t xml:space="preserve"> u 2015. godini</w:t>
      </w:r>
      <w:bookmarkEnd w:id="53"/>
    </w:p>
    <w:p w14:paraId="3417940A" w14:textId="324B859D" w:rsidR="0098526F" w:rsidRPr="00AE695B" w:rsidRDefault="0098526F" w:rsidP="00E92750">
      <w:pPr>
        <w:suppressAutoHyphens/>
        <w:autoSpaceDN w:val="0"/>
        <w:spacing w:after="240" w:line="240" w:lineRule="auto"/>
        <w:jc w:val="both"/>
        <w:textAlignment w:val="baseline"/>
        <w:rPr>
          <w:rFonts w:ascii="Calibri" w:eastAsia="Calibri" w:hAnsi="Calibri" w:cs="Times New Roman"/>
        </w:rPr>
      </w:pPr>
      <w:r w:rsidRPr="00AE695B">
        <w:rPr>
          <w:rFonts w:ascii="Calibri" w:eastAsia="Calibri" w:hAnsi="Calibri" w:cs="Times New Roman"/>
        </w:rPr>
        <w:t>Gledajući udio pojedinih energenata u ukupnoj potrošnji</w:t>
      </w:r>
      <w:r w:rsidR="00F919DA" w:rsidRPr="00AE695B">
        <w:rPr>
          <w:rFonts w:ascii="Calibri" w:eastAsia="Calibri" w:hAnsi="Calibri" w:cs="Times New Roman"/>
        </w:rPr>
        <w:t xml:space="preserve"> toplinske energije kategorije </w:t>
      </w:r>
      <w:r w:rsidR="00711DA0" w:rsidRPr="00AE695B">
        <w:rPr>
          <w:rFonts w:ascii="Calibri" w:eastAsia="Calibri" w:hAnsi="Calibri" w:cs="Times New Roman"/>
        </w:rPr>
        <w:t>kulturni</w:t>
      </w:r>
      <w:r w:rsidR="009159BF" w:rsidRPr="00AE695B">
        <w:rPr>
          <w:rFonts w:ascii="Calibri" w:eastAsia="Calibri" w:hAnsi="Calibri" w:cs="Times New Roman"/>
        </w:rPr>
        <w:t>h</w:t>
      </w:r>
      <w:r w:rsidR="00711DA0" w:rsidRPr="00AE695B">
        <w:rPr>
          <w:rFonts w:ascii="Calibri" w:eastAsia="Calibri" w:hAnsi="Calibri" w:cs="Times New Roman"/>
        </w:rPr>
        <w:t xml:space="preserve"> ustanova</w:t>
      </w:r>
      <w:r w:rsidR="00F61CAC" w:rsidRPr="00AE695B">
        <w:rPr>
          <w:rFonts w:ascii="Calibri" w:eastAsia="Calibri" w:hAnsi="Calibri" w:cs="Times New Roman"/>
        </w:rPr>
        <w:t xml:space="preserve"> u 2015. godini,</w:t>
      </w:r>
      <w:r w:rsidRPr="00AE695B">
        <w:rPr>
          <w:rFonts w:ascii="Calibri" w:eastAsia="Calibri" w:hAnsi="Calibri" w:cs="Times New Roman"/>
        </w:rPr>
        <w:t xml:space="preserve"> omj</w:t>
      </w:r>
      <w:r w:rsidR="00711DA0" w:rsidRPr="00AE695B">
        <w:rPr>
          <w:rFonts w:ascii="Calibri" w:eastAsia="Calibri" w:hAnsi="Calibri" w:cs="Times New Roman"/>
        </w:rPr>
        <w:t>er je sljedeći: prirodni plin 68,29</w:t>
      </w:r>
      <w:r w:rsidRPr="00AE695B">
        <w:rPr>
          <w:rFonts w:ascii="Calibri" w:eastAsia="Calibri" w:hAnsi="Calibri" w:cs="Times New Roman"/>
        </w:rPr>
        <w:t xml:space="preserve">%, </w:t>
      </w:r>
      <w:r w:rsidR="00F919DA" w:rsidRPr="00AE695B">
        <w:rPr>
          <w:rFonts w:ascii="Calibri" w:eastAsia="Calibri" w:hAnsi="Calibri" w:cs="Times New Roman"/>
        </w:rPr>
        <w:t>toplana vrelovod 28,51%,</w:t>
      </w:r>
      <w:r w:rsidR="00711DA0" w:rsidRPr="00AE695B">
        <w:rPr>
          <w:rFonts w:ascii="Calibri" w:eastAsia="Calibri" w:hAnsi="Calibri" w:cs="Times New Roman"/>
        </w:rPr>
        <w:t xml:space="preserve"> lož ulje 2,52%, dok 0,68</w:t>
      </w:r>
      <w:r w:rsidRPr="00AE695B">
        <w:rPr>
          <w:rFonts w:ascii="Calibri" w:eastAsia="Calibri" w:hAnsi="Calibri" w:cs="Times New Roman"/>
        </w:rPr>
        <w:t xml:space="preserve">% se odnosi na </w:t>
      </w:r>
      <w:r w:rsidR="00711DA0" w:rsidRPr="00AE695B">
        <w:rPr>
          <w:rFonts w:ascii="Calibri" w:eastAsia="Calibri" w:hAnsi="Calibri" w:cs="Times New Roman"/>
        </w:rPr>
        <w:t>električnu energiju</w:t>
      </w:r>
      <w:r w:rsidRPr="00AE695B">
        <w:rPr>
          <w:rFonts w:ascii="Calibri" w:eastAsia="Calibri" w:hAnsi="Calibri" w:cs="Times New Roman"/>
        </w:rPr>
        <w:t>.</w:t>
      </w:r>
    </w:p>
    <w:p w14:paraId="62211764" w14:textId="109264CF" w:rsidR="004E49A0" w:rsidRPr="00AE695B" w:rsidRDefault="00C7065B" w:rsidP="00E92750">
      <w:pPr>
        <w:suppressAutoHyphens/>
        <w:autoSpaceDN w:val="0"/>
        <w:spacing w:after="0" w:line="240" w:lineRule="auto"/>
        <w:jc w:val="center"/>
        <w:textAlignment w:val="baseline"/>
        <w:rPr>
          <w:noProof/>
          <w:lang w:eastAsia="hr-HR"/>
        </w:rPr>
      </w:pPr>
      <w:r w:rsidRPr="00AE695B">
        <w:rPr>
          <w:noProof/>
          <w:lang w:eastAsia="hr-HR"/>
        </w:rPr>
        <w:lastRenderedPageBreak/>
        <w:drawing>
          <wp:inline distT="0" distB="0" distL="0" distR="0" wp14:anchorId="5B3216B7" wp14:editId="23F7AF62">
            <wp:extent cx="5095875" cy="32956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6E7BD2" w14:textId="0C55F8F5" w:rsidR="0098526F" w:rsidRPr="00BB0033" w:rsidRDefault="0098526F" w:rsidP="00E92750">
      <w:pPr>
        <w:spacing w:line="240" w:lineRule="auto"/>
        <w:jc w:val="center"/>
        <w:rPr>
          <w:noProof/>
        </w:rPr>
      </w:pPr>
      <w:bookmarkStart w:id="54" w:name="_Ref462057444"/>
      <w:bookmarkStart w:id="55" w:name="_Toc468277415"/>
      <w:r w:rsidRPr="00BB0033">
        <w:rPr>
          <w:b/>
        </w:rPr>
        <w:t xml:space="preserve">Slika </w:t>
      </w:r>
      <w:r w:rsidRPr="00BB0033">
        <w:rPr>
          <w:b/>
        </w:rPr>
        <w:fldChar w:fldCharType="begin"/>
      </w:r>
      <w:r w:rsidRPr="00BB0033">
        <w:rPr>
          <w:b/>
        </w:rPr>
        <w:instrText xml:space="preserve"> STYLEREF 1 \s </w:instrText>
      </w:r>
      <w:r w:rsidRPr="00BB0033">
        <w:rPr>
          <w:b/>
        </w:rPr>
        <w:fldChar w:fldCharType="separate"/>
      </w:r>
      <w:r w:rsidR="009C319B" w:rsidRPr="00BB0033">
        <w:rPr>
          <w:b/>
          <w:noProof/>
        </w:rPr>
        <w:t>4</w:t>
      </w:r>
      <w:r w:rsidRPr="00BB0033">
        <w:rPr>
          <w:b/>
          <w:noProof/>
        </w:rPr>
        <w:fldChar w:fldCharType="end"/>
      </w:r>
      <w:r w:rsidRPr="00BB0033">
        <w:rPr>
          <w:b/>
        </w:rPr>
        <w:t>.</w:t>
      </w:r>
      <w:r w:rsidRPr="00BB0033">
        <w:rPr>
          <w:b/>
        </w:rPr>
        <w:fldChar w:fldCharType="begin"/>
      </w:r>
      <w:r w:rsidRPr="00BB0033">
        <w:rPr>
          <w:b/>
        </w:rPr>
        <w:instrText xml:space="preserve"> SEQ Slika \* ARABIC \s 1 </w:instrText>
      </w:r>
      <w:r w:rsidRPr="00BB0033">
        <w:rPr>
          <w:b/>
        </w:rPr>
        <w:fldChar w:fldCharType="separate"/>
      </w:r>
      <w:r w:rsidR="009C319B" w:rsidRPr="00BB0033">
        <w:rPr>
          <w:b/>
          <w:noProof/>
        </w:rPr>
        <w:t>11</w:t>
      </w:r>
      <w:r w:rsidRPr="00BB0033">
        <w:rPr>
          <w:b/>
          <w:noProof/>
        </w:rPr>
        <w:fldChar w:fldCharType="end"/>
      </w:r>
      <w:bookmarkEnd w:id="54"/>
      <w:r w:rsidRPr="00BB0033">
        <w:rPr>
          <w:b/>
          <w:noProof/>
        </w:rPr>
        <w:t xml:space="preserve"> </w:t>
      </w:r>
      <w:r w:rsidR="00131530" w:rsidRPr="00BB0033">
        <w:rPr>
          <w:noProof/>
        </w:rPr>
        <w:t>Specifična korisna energija za grijanje</w:t>
      </w:r>
      <w:r w:rsidRPr="00BB0033">
        <w:rPr>
          <w:noProof/>
        </w:rPr>
        <w:t xml:space="preserve"> prema energentu kategorije </w:t>
      </w:r>
      <w:r w:rsidR="00974069" w:rsidRPr="00BB0033">
        <w:rPr>
          <w:noProof/>
        </w:rPr>
        <w:t>kulturnih ustanova</w:t>
      </w:r>
      <w:r w:rsidRPr="00BB0033">
        <w:rPr>
          <w:noProof/>
        </w:rPr>
        <w:t xml:space="preserve"> Grada Zagreba</w:t>
      </w:r>
      <w:r w:rsidR="00F61CAC" w:rsidRPr="00BB0033">
        <w:rPr>
          <w:noProof/>
        </w:rPr>
        <w:t xml:space="preserve"> u 2015. godini</w:t>
      </w:r>
      <w:bookmarkEnd w:id="55"/>
    </w:p>
    <w:p w14:paraId="2CEDDC6F" w14:textId="285DBB9C" w:rsidR="00420F77" w:rsidRPr="007C7920" w:rsidRDefault="0098526F" w:rsidP="00E92750">
      <w:pPr>
        <w:spacing w:line="240" w:lineRule="auto"/>
        <w:jc w:val="both"/>
        <w:rPr>
          <w:noProof/>
          <w:highlight w:val="yellow"/>
        </w:rPr>
      </w:pPr>
      <w:r w:rsidRPr="00AE695B">
        <w:rPr>
          <w:noProof/>
        </w:rPr>
        <w:t xml:space="preserve">Gledajući energente, u kategoriji </w:t>
      </w:r>
      <w:r w:rsidR="00D25AB2" w:rsidRPr="00AE695B">
        <w:rPr>
          <w:noProof/>
        </w:rPr>
        <w:t>kulturnih ustanova</w:t>
      </w:r>
      <w:r w:rsidRPr="00AE695B">
        <w:rPr>
          <w:noProof/>
        </w:rPr>
        <w:t xml:space="preserve"> najveća </w:t>
      </w:r>
      <w:r w:rsidR="00113CEC" w:rsidRPr="00AE695B">
        <w:rPr>
          <w:noProof/>
        </w:rPr>
        <w:t>s</w:t>
      </w:r>
      <w:r w:rsidR="00131530" w:rsidRPr="00AE695B">
        <w:rPr>
          <w:noProof/>
        </w:rPr>
        <w:t>pecifična korisna energija za grijanje</w:t>
      </w:r>
      <w:r w:rsidRPr="00AE695B">
        <w:rPr>
          <w:noProof/>
        </w:rPr>
        <w:t xml:space="preserve"> za</w:t>
      </w:r>
      <w:r w:rsidR="009159BF" w:rsidRPr="00AE695B">
        <w:rPr>
          <w:noProof/>
        </w:rPr>
        <w:t>bilježena je u objektima koji se</w:t>
      </w:r>
      <w:r w:rsidR="00EA5D50">
        <w:rPr>
          <w:noProof/>
        </w:rPr>
        <w:t xml:space="preserve"> gri</w:t>
      </w:r>
      <w:r w:rsidR="009159BF" w:rsidRPr="00AE695B">
        <w:rPr>
          <w:noProof/>
        </w:rPr>
        <w:t>ju na toplanu</w:t>
      </w:r>
      <w:r w:rsidR="00D25AB2" w:rsidRPr="00AE695B">
        <w:rPr>
          <w:noProof/>
        </w:rPr>
        <w:t xml:space="preserve"> velovod (201,</w:t>
      </w:r>
      <w:r w:rsidRPr="00AE695B">
        <w:rPr>
          <w:noProof/>
        </w:rPr>
        <w:t>6</w:t>
      </w:r>
      <w:r w:rsidR="00D25AB2" w:rsidRPr="00AE695B">
        <w:rPr>
          <w:noProof/>
        </w:rPr>
        <w:t>2</w:t>
      </w:r>
      <w:r w:rsidRPr="00AE695B">
        <w:rPr>
          <w:noProof/>
        </w:rPr>
        <w:t xml:space="preserve"> kWh/m</w:t>
      </w:r>
      <w:r w:rsidRPr="00AE695B">
        <w:rPr>
          <w:noProof/>
          <w:vertAlign w:val="superscript"/>
        </w:rPr>
        <w:t>2</w:t>
      </w:r>
      <w:r w:rsidRPr="00AE695B">
        <w:rPr>
          <w:noProof/>
        </w:rPr>
        <w:t>), dok je najmanja u objektima koji za</w:t>
      </w:r>
      <w:r w:rsidR="00D25AB2" w:rsidRPr="00AE695B">
        <w:rPr>
          <w:noProof/>
        </w:rPr>
        <w:t xml:space="preserve"> grijanje</w:t>
      </w:r>
      <w:r w:rsidR="00113CEC" w:rsidRPr="00AE695B">
        <w:rPr>
          <w:noProof/>
        </w:rPr>
        <w:t xml:space="preserve"> koriste električnu energiju (90</w:t>
      </w:r>
      <w:r w:rsidR="00D25AB2" w:rsidRPr="00AE695B">
        <w:rPr>
          <w:noProof/>
        </w:rPr>
        <w:t>,</w:t>
      </w:r>
      <w:r w:rsidR="00113CEC" w:rsidRPr="00AE695B">
        <w:rPr>
          <w:noProof/>
        </w:rPr>
        <w:t>5</w:t>
      </w:r>
      <w:r w:rsidR="00D25AB2" w:rsidRPr="00AE695B">
        <w:rPr>
          <w:noProof/>
        </w:rPr>
        <w:t>1</w:t>
      </w:r>
      <w:r w:rsidRPr="00AE695B">
        <w:rPr>
          <w:noProof/>
        </w:rPr>
        <w:t xml:space="preserve"> kWh/m</w:t>
      </w:r>
      <w:r w:rsidRPr="00AE695B">
        <w:rPr>
          <w:noProof/>
          <w:vertAlign w:val="superscript"/>
        </w:rPr>
        <w:t>2</w:t>
      </w:r>
      <w:r w:rsidRPr="00AE695B">
        <w:rPr>
          <w:noProof/>
        </w:rPr>
        <w:t>).</w:t>
      </w:r>
      <w:r w:rsidR="00420F77" w:rsidRPr="007C7920">
        <w:rPr>
          <w:noProof/>
          <w:highlight w:val="yellow"/>
        </w:rPr>
        <w:br w:type="page"/>
      </w:r>
    </w:p>
    <w:p w14:paraId="14FB11C1" w14:textId="09CF03F4" w:rsidR="006C6F4B" w:rsidRPr="00085050" w:rsidRDefault="000503E7" w:rsidP="00E92750">
      <w:pPr>
        <w:pStyle w:val="Heading3"/>
        <w:spacing w:after="240" w:line="240" w:lineRule="auto"/>
        <w:jc w:val="both"/>
        <w:rPr>
          <w:lang w:eastAsia="hr-HR"/>
        </w:rPr>
      </w:pPr>
      <w:bookmarkStart w:id="56" w:name="_Toc468345350"/>
      <w:r w:rsidRPr="00085050">
        <w:rPr>
          <w:lang w:eastAsia="hr-HR"/>
        </w:rPr>
        <w:lastRenderedPageBreak/>
        <w:t>Zgrade G</w:t>
      </w:r>
      <w:r w:rsidR="00F44AE9" w:rsidRPr="00085050">
        <w:rPr>
          <w:lang w:eastAsia="hr-HR"/>
        </w:rPr>
        <w:t>radske uprave i mjesne samouprave</w:t>
      </w:r>
      <w:bookmarkEnd w:id="56"/>
    </w:p>
    <w:p w14:paraId="7EE4CF35" w14:textId="5954FA83" w:rsidR="006C6F4B" w:rsidRPr="00085050" w:rsidRDefault="00F44AE9" w:rsidP="00E92750">
      <w:pPr>
        <w:suppressAutoHyphens/>
        <w:autoSpaceDN w:val="0"/>
        <w:spacing w:after="120" w:line="240" w:lineRule="auto"/>
        <w:jc w:val="both"/>
        <w:textAlignment w:val="baseline"/>
        <w:rPr>
          <w:rFonts w:ascii="Calibri" w:eastAsia="Calibri" w:hAnsi="Calibri" w:cs="Times New Roman"/>
        </w:rPr>
      </w:pPr>
      <w:r w:rsidRPr="00085050">
        <w:rPr>
          <w:rFonts w:ascii="Calibri" w:eastAsia="Calibri" w:hAnsi="Calibri" w:cs="Times New Roman"/>
          <w:color w:val="333333"/>
        </w:rPr>
        <w:t>Podaci o energetskim potrošnjama ove kategorije</w:t>
      </w:r>
      <w:r w:rsidR="00E10001" w:rsidRPr="00085050">
        <w:rPr>
          <w:rFonts w:ascii="Calibri" w:eastAsia="Calibri" w:hAnsi="Calibri" w:cs="Times New Roman"/>
          <w:color w:val="333333"/>
        </w:rPr>
        <w:t xml:space="preserve"> zgrada u vlasništvu Grada Zagreba</w:t>
      </w:r>
      <w:r w:rsidR="006C6F4B" w:rsidRPr="00085050">
        <w:rPr>
          <w:rFonts w:ascii="Calibri" w:eastAsia="Calibri" w:hAnsi="Calibri" w:cs="Times New Roman"/>
        </w:rPr>
        <w:t xml:space="preserve"> podijeljeni su</w:t>
      </w:r>
      <w:r w:rsidR="00E10001" w:rsidRPr="00085050">
        <w:rPr>
          <w:rFonts w:ascii="Calibri" w:eastAsia="Calibri" w:hAnsi="Calibri" w:cs="Times New Roman"/>
        </w:rPr>
        <w:t xml:space="preserve"> u </w:t>
      </w:r>
      <w:r w:rsidR="00590573" w:rsidRPr="00085050">
        <w:rPr>
          <w:rFonts w:ascii="Calibri" w:eastAsia="Calibri" w:hAnsi="Calibri" w:cs="Times New Roman"/>
        </w:rPr>
        <w:t xml:space="preserve">sljedeće </w:t>
      </w:r>
      <w:r w:rsidR="00E10001" w:rsidRPr="00085050">
        <w:rPr>
          <w:rFonts w:ascii="Calibri" w:eastAsia="Calibri" w:hAnsi="Calibri" w:cs="Times New Roman"/>
        </w:rPr>
        <w:t>dvije</w:t>
      </w:r>
      <w:r w:rsidR="00A63A0D">
        <w:rPr>
          <w:rFonts w:ascii="Calibri" w:eastAsia="Calibri" w:hAnsi="Calibri" w:cs="Times New Roman"/>
        </w:rPr>
        <w:t xml:space="preserve"> pod</w:t>
      </w:r>
      <w:r w:rsidR="006C6F4B" w:rsidRPr="00085050">
        <w:rPr>
          <w:rFonts w:ascii="Calibri" w:eastAsia="Calibri" w:hAnsi="Calibri" w:cs="Times New Roman"/>
        </w:rPr>
        <w:t>kategorije:</w:t>
      </w:r>
    </w:p>
    <w:p w14:paraId="0DCE24AF" w14:textId="7C830CE2" w:rsidR="006C6F4B" w:rsidRPr="00085050" w:rsidRDefault="00590573" w:rsidP="00EE7021">
      <w:pPr>
        <w:numPr>
          <w:ilvl w:val="0"/>
          <w:numId w:val="18"/>
        </w:numPr>
        <w:suppressAutoHyphens/>
        <w:autoSpaceDN w:val="0"/>
        <w:spacing w:after="0" w:line="240" w:lineRule="auto"/>
        <w:jc w:val="both"/>
        <w:textAlignment w:val="baseline"/>
        <w:rPr>
          <w:rFonts w:ascii="Calibri" w:eastAsia="Calibri" w:hAnsi="Calibri" w:cs="Times New Roman"/>
        </w:rPr>
      </w:pPr>
      <w:r w:rsidRPr="00085050">
        <w:rPr>
          <w:rFonts w:ascii="Calibri" w:eastAsia="Calibri" w:hAnsi="Calibri" w:cs="Times New Roman"/>
        </w:rPr>
        <w:t>Gradska uprava i</w:t>
      </w:r>
    </w:p>
    <w:p w14:paraId="38620985" w14:textId="1D9902F6" w:rsidR="006C6F4B" w:rsidRPr="00511883" w:rsidRDefault="00590573" w:rsidP="00EE7021">
      <w:pPr>
        <w:numPr>
          <w:ilvl w:val="0"/>
          <w:numId w:val="18"/>
        </w:numPr>
        <w:suppressAutoHyphens/>
        <w:autoSpaceDN w:val="0"/>
        <w:spacing w:after="240" w:line="240" w:lineRule="auto"/>
        <w:jc w:val="both"/>
        <w:textAlignment w:val="baseline"/>
        <w:rPr>
          <w:rFonts w:ascii="Calibri" w:eastAsia="Calibri" w:hAnsi="Calibri" w:cs="Times New Roman"/>
        </w:rPr>
      </w:pPr>
      <w:r w:rsidRPr="00511883">
        <w:rPr>
          <w:rFonts w:ascii="Calibri" w:eastAsia="Calibri" w:hAnsi="Calibri" w:cs="Times New Roman"/>
        </w:rPr>
        <w:t>Mjesna samouprava</w:t>
      </w:r>
      <w:r w:rsidR="006C6F4B" w:rsidRPr="00511883">
        <w:rPr>
          <w:rFonts w:ascii="Calibri" w:eastAsia="Calibri" w:hAnsi="Calibri" w:cs="Times New Roman"/>
        </w:rPr>
        <w:t>.</w:t>
      </w:r>
    </w:p>
    <w:p w14:paraId="5843418F" w14:textId="2530BA57" w:rsidR="0013167D" w:rsidRPr="00362A40" w:rsidRDefault="00EE6F2B" w:rsidP="00E92750">
      <w:pPr>
        <w:suppressAutoHyphens/>
        <w:autoSpaceDN w:val="0"/>
        <w:spacing w:after="240" w:line="240" w:lineRule="auto"/>
        <w:jc w:val="both"/>
        <w:textAlignment w:val="baseline"/>
        <w:rPr>
          <w:rFonts w:ascii="Calibri" w:eastAsia="Calibri" w:hAnsi="Calibri" w:cs="Times New Roman"/>
        </w:rPr>
      </w:pPr>
      <w:r w:rsidRPr="00362A40">
        <w:rPr>
          <w:rFonts w:ascii="Calibri" w:eastAsia="Calibri" w:hAnsi="Calibri" w:cs="Times New Roman"/>
        </w:rPr>
        <w:t>Ukupan broj objekata ove kategorije je 251, ukupne površine 126 258,63 m</w:t>
      </w:r>
      <w:r w:rsidRPr="00362A40">
        <w:rPr>
          <w:rFonts w:ascii="Calibri" w:eastAsia="Calibri" w:hAnsi="Calibri" w:cs="Times New Roman"/>
          <w:vertAlign w:val="superscript"/>
        </w:rPr>
        <w:t>2</w:t>
      </w:r>
      <w:r w:rsidRPr="00362A40">
        <w:rPr>
          <w:rFonts w:ascii="Calibri" w:eastAsia="Calibri" w:hAnsi="Calibri" w:cs="Times New Roman"/>
        </w:rPr>
        <w:t xml:space="preserve">, </w:t>
      </w:r>
      <w:r w:rsidR="007B781D" w:rsidRPr="00362A40">
        <w:rPr>
          <w:rFonts w:ascii="Calibri" w:eastAsia="Calibri" w:hAnsi="Calibri" w:cs="Times New Roman"/>
        </w:rPr>
        <w:t xml:space="preserve">od čega </w:t>
      </w:r>
      <w:r w:rsidR="00CB47D4" w:rsidRPr="00362A40">
        <w:rPr>
          <w:rFonts w:ascii="Calibri" w:eastAsia="Calibri" w:hAnsi="Calibri" w:cs="Times New Roman"/>
        </w:rPr>
        <w:t>G</w:t>
      </w:r>
      <w:r w:rsidRPr="00362A40">
        <w:rPr>
          <w:rFonts w:ascii="Calibri" w:eastAsia="Calibri" w:hAnsi="Calibri" w:cs="Times New Roman"/>
        </w:rPr>
        <w:t>radska uprava raspolaže s 29 objekata ukupne površine 80 911,95 m</w:t>
      </w:r>
      <w:r w:rsidRPr="00362A40">
        <w:rPr>
          <w:rFonts w:ascii="Calibri" w:eastAsia="Calibri" w:hAnsi="Calibri" w:cs="Times New Roman"/>
          <w:vertAlign w:val="superscript"/>
        </w:rPr>
        <w:t>2</w:t>
      </w:r>
      <w:r w:rsidRPr="00362A40">
        <w:rPr>
          <w:rFonts w:ascii="Calibri" w:eastAsia="Calibri" w:hAnsi="Calibri" w:cs="Times New Roman"/>
        </w:rPr>
        <w:t xml:space="preserve">, a mjesna samouprava s 222 objekta ukupne površine </w:t>
      </w:r>
      <w:r w:rsidR="007B781D" w:rsidRPr="00362A40">
        <w:rPr>
          <w:rFonts w:ascii="Calibri" w:eastAsia="Calibri" w:hAnsi="Calibri" w:cs="Times New Roman"/>
        </w:rPr>
        <w:t>45 346,68 m</w:t>
      </w:r>
      <w:r w:rsidR="007B781D" w:rsidRPr="00362A40">
        <w:rPr>
          <w:rFonts w:ascii="Calibri" w:eastAsia="Calibri" w:hAnsi="Calibri" w:cs="Times New Roman"/>
          <w:vertAlign w:val="superscript"/>
        </w:rPr>
        <w:t>2</w:t>
      </w:r>
      <w:r w:rsidR="007B781D" w:rsidRPr="00362A40">
        <w:rPr>
          <w:rFonts w:ascii="Calibri" w:eastAsia="Calibri" w:hAnsi="Calibri" w:cs="Times New Roman"/>
        </w:rPr>
        <w:t>.</w:t>
      </w:r>
    </w:p>
    <w:p w14:paraId="2C55B6BA" w14:textId="6C011B37" w:rsidR="006C6F4B" w:rsidRPr="00362A40" w:rsidRDefault="006C6F4B" w:rsidP="00E92750">
      <w:pPr>
        <w:suppressAutoHyphens/>
        <w:autoSpaceDN w:val="0"/>
        <w:spacing w:after="240" w:line="240" w:lineRule="auto"/>
        <w:jc w:val="both"/>
        <w:textAlignment w:val="baseline"/>
        <w:rPr>
          <w:rFonts w:ascii="Calibri" w:eastAsia="Calibri" w:hAnsi="Calibri" w:cs="Times New Roman"/>
        </w:rPr>
      </w:pPr>
      <w:r w:rsidRPr="00362A40">
        <w:rPr>
          <w:rFonts w:ascii="Calibri" w:eastAsia="Calibri" w:hAnsi="Calibri" w:cs="Times New Roman"/>
        </w:rPr>
        <w:t xml:space="preserve">U </w:t>
      </w:r>
      <w:r w:rsidR="00356D1E" w:rsidRPr="00362A40">
        <w:rPr>
          <w:rFonts w:ascii="Calibri" w:eastAsia="Calibri" w:hAnsi="Calibri" w:cs="Times New Roman"/>
        </w:rPr>
        <w:t>kategoriji zgrada gradske uprave i mjesne samouprave</w:t>
      </w:r>
      <w:r w:rsidRPr="00362A40">
        <w:rPr>
          <w:rFonts w:ascii="Calibri" w:eastAsia="Calibri" w:hAnsi="Calibri" w:cs="Times New Roman"/>
        </w:rPr>
        <w:t xml:space="preserve"> u 2015. godini u</w:t>
      </w:r>
      <w:r w:rsidR="00007B9C" w:rsidRPr="00362A40">
        <w:rPr>
          <w:rFonts w:ascii="Calibri" w:eastAsia="Calibri" w:hAnsi="Calibri" w:cs="Times New Roman"/>
        </w:rPr>
        <w:t xml:space="preserve">kupno je potrošeno </w:t>
      </w:r>
      <w:r w:rsidR="00D06C31">
        <w:rPr>
          <w:rFonts w:ascii="Calibri" w:eastAsia="Calibri" w:hAnsi="Calibri" w:cs="Times New Roman"/>
        </w:rPr>
        <w:t xml:space="preserve">4 858 </w:t>
      </w:r>
      <w:r w:rsidR="00D06C31" w:rsidRPr="00D06C31">
        <w:rPr>
          <w:rFonts w:ascii="Calibri" w:eastAsia="Calibri" w:hAnsi="Calibri" w:cs="Times New Roman"/>
        </w:rPr>
        <w:t xml:space="preserve">716,15 </w:t>
      </w:r>
      <w:r w:rsidRPr="00362A40">
        <w:rPr>
          <w:rFonts w:ascii="Calibri" w:eastAsia="Calibri" w:hAnsi="Calibri" w:cs="Times New Roman"/>
        </w:rPr>
        <w:t>kWh električne energije</w:t>
      </w:r>
      <w:r w:rsidR="00A52C22" w:rsidRPr="00362A40">
        <w:rPr>
          <w:rFonts w:ascii="Calibri" w:eastAsia="Calibri" w:hAnsi="Calibri" w:cs="Times New Roman"/>
        </w:rPr>
        <w:t xml:space="preserve"> za ne-toplinske namjene</w:t>
      </w:r>
      <w:r w:rsidRPr="00362A40">
        <w:rPr>
          <w:rFonts w:ascii="Calibri" w:eastAsia="Calibri" w:hAnsi="Calibri" w:cs="Times New Roman"/>
        </w:rPr>
        <w:t>, što daje specifičnu potrošnju</w:t>
      </w:r>
      <w:r w:rsidR="00E74DF6" w:rsidRPr="00362A40">
        <w:rPr>
          <w:rFonts w:ascii="Calibri" w:eastAsia="Calibri" w:hAnsi="Calibri" w:cs="Times New Roman"/>
        </w:rPr>
        <w:t xml:space="preserve"> od 3</w:t>
      </w:r>
      <w:r w:rsidR="00362A40" w:rsidRPr="00362A40">
        <w:rPr>
          <w:rFonts w:ascii="Calibri" w:eastAsia="Calibri" w:hAnsi="Calibri" w:cs="Times New Roman"/>
        </w:rPr>
        <w:t>8</w:t>
      </w:r>
      <w:r w:rsidR="00E74DF6" w:rsidRPr="00362A40">
        <w:rPr>
          <w:rFonts w:ascii="Calibri" w:eastAsia="Calibri" w:hAnsi="Calibri" w:cs="Times New Roman"/>
        </w:rPr>
        <w:t>,4</w:t>
      </w:r>
      <w:r w:rsidR="00362A40" w:rsidRPr="00362A40">
        <w:rPr>
          <w:rFonts w:ascii="Calibri" w:eastAsia="Calibri" w:hAnsi="Calibri" w:cs="Times New Roman"/>
        </w:rPr>
        <w:t>8</w:t>
      </w:r>
      <w:r w:rsidRPr="00362A40">
        <w:rPr>
          <w:rFonts w:ascii="Calibri" w:eastAsia="Calibri" w:hAnsi="Calibri" w:cs="Times New Roman"/>
        </w:rPr>
        <w:t xml:space="preserve"> kWh/m</w:t>
      </w:r>
      <w:r w:rsidRPr="00362A40">
        <w:rPr>
          <w:rFonts w:ascii="Calibri" w:eastAsia="Calibri" w:hAnsi="Calibri" w:cs="Times New Roman"/>
          <w:vertAlign w:val="superscript"/>
        </w:rPr>
        <w:t>2</w:t>
      </w:r>
      <w:r w:rsidR="00232B66" w:rsidRPr="00362A40">
        <w:rPr>
          <w:rFonts w:ascii="Calibri" w:eastAsia="Calibri" w:hAnsi="Calibri" w:cs="Times New Roman"/>
        </w:rPr>
        <w:t>.</w:t>
      </w:r>
    </w:p>
    <w:p w14:paraId="19C4ADD7" w14:textId="469D36F8" w:rsidR="00362A40" w:rsidRDefault="00E645CF" w:rsidP="00E92750">
      <w:pPr>
        <w:suppressAutoHyphens/>
        <w:autoSpaceDN w:val="0"/>
        <w:spacing w:after="240" w:line="240" w:lineRule="auto"/>
        <w:jc w:val="both"/>
        <w:textAlignment w:val="baseline"/>
        <w:rPr>
          <w:rFonts w:ascii="Calibri" w:eastAsia="Calibri" w:hAnsi="Calibri" w:cs="Times New Roman"/>
        </w:rPr>
      </w:pPr>
      <w:r w:rsidRPr="00362A40">
        <w:rPr>
          <w:rFonts w:ascii="Calibri" w:eastAsia="Calibri" w:hAnsi="Calibri" w:cs="Times New Roman"/>
        </w:rPr>
        <w:t>U kategoriji zgrada gradske uprave i mjesne samouprave u 2015. godini ukupna potrošnja top</w:t>
      </w:r>
      <w:r w:rsidR="006D6E74">
        <w:rPr>
          <w:rFonts w:ascii="Calibri" w:eastAsia="Calibri" w:hAnsi="Calibri" w:cs="Times New Roman"/>
        </w:rPr>
        <w:t>linske energije iznosi 17 444</w:t>
      </w:r>
      <w:r w:rsidRPr="00362A40">
        <w:rPr>
          <w:rFonts w:ascii="Calibri" w:eastAsia="Calibri" w:hAnsi="Calibri" w:cs="Times New Roman"/>
        </w:rPr>
        <w:t xml:space="preserve"> MWh.</w:t>
      </w:r>
      <w:r w:rsidR="00D5281D" w:rsidRPr="00362A40">
        <w:rPr>
          <w:rFonts w:ascii="Calibri" w:eastAsia="Calibri" w:hAnsi="Calibri" w:cs="Times New Roman"/>
        </w:rPr>
        <w:t xml:space="preserve"> </w:t>
      </w:r>
      <w:r w:rsidR="00362A40">
        <w:rPr>
          <w:rFonts w:ascii="Calibri" w:eastAsia="Calibri" w:hAnsi="Calibri" w:cs="Times New Roman"/>
        </w:rPr>
        <w:t>Z</w:t>
      </w:r>
      <w:r w:rsidR="00BC4B25">
        <w:rPr>
          <w:rFonts w:ascii="Calibri" w:eastAsia="Calibri" w:hAnsi="Calibri" w:cs="Times New Roman"/>
        </w:rPr>
        <w:t>a</w:t>
      </w:r>
      <w:r w:rsidR="00362A40">
        <w:rPr>
          <w:rFonts w:ascii="Calibri" w:eastAsia="Calibri" w:hAnsi="Calibri" w:cs="Times New Roman"/>
        </w:rPr>
        <w:t xml:space="preserve"> dio objekata za koje nisu bili dostupni podaci, iste je iskustveno procijenio Gradski odjel za energetiku, zaštitu okoliša i održivi razvoj. </w:t>
      </w:r>
    </w:p>
    <w:p w14:paraId="4616EBC0" w14:textId="294DE2EE" w:rsidR="006C6F4B" w:rsidRPr="00362A40" w:rsidRDefault="00723A91" w:rsidP="00E92750">
      <w:pPr>
        <w:suppressAutoHyphens/>
        <w:autoSpaceDN w:val="0"/>
        <w:spacing w:after="240" w:line="240" w:lineRule="auto"/>
        <w:jc w:val="both"/>
        <w:textAlignment w:val="baseline"/>
        <w:rPr>
          <w:rFonts w:ascii="Calibri" w:eastAsia="Calibri" w:hAnsi="Calibri" w:cs="Times New Roman"/>
        </w:rPr>
      </w:pPr>
      <w:r w:rsidRPr="00362A40">
        <w:rPr>
          <w:rFonts w:ascii="Calibri" w:eastAsia="Calibri" w:hAnsi="Calibri" w:cs="Times New Roman"/>
        </w:rPr>
        <w:t>Nadalje, budući da je za svaki objekt poznat podatak o energentu koji se koristi za grijanje prostora i površina objekta, napravljena je analiza zastupljenosti pojedinog energenta</w:t>
      </w:r>
      <w:r w:rsidR="00D5281D" w:rsidRPr="00362A40">
        <w:rPr>
          <w:rFonts w:ascii="Calibri" w:eastAsia="Calibri" w:hAnsi="Calibri" w:cs="Times New Roman"/>
        </w:rPr>
        <w:t xml:space="preserve"> za grijanje</w:t>
      </w:r>
      <w:r w:rsidR="00124946" w:rsidRPr="00362A40">
        <w:rPr>
          <w:rFonts w:ascii="Calibri" w:eastAsia="Calibri" w:hAnsi="Calibri" w:cs="Times New Roman"/>
        </w:rPr>
        <w:t xml:space="preserve">, </w:t>
      </w:r>
      <w:r w:rsidR="00386EB6" w:rsidRPr="00362A40">
        <w:rPr>
          <w:rFonts w:ascii="Calibri" w:eastAsia="Calibri" w:hAnsi="Calibri" w:cs="Times New Roman"/>
        </w:rPr>
        <w:fldChar w:fldCharType="begin"/>
      </w:r>
      <w:r w:rsidR="00386EB6" w:rsidRPr="00362A40">
        <w:rPr>
          <w:rFonts w:ascii="Calibri" w:eastAsia="Calibri" w:hAnsi="Calibri" w:cs="Times New Roman"/>
        </w:rPr>
        <w:instrText xml:space="preserve"> REF _Ref461705884 \h </w:instrText>
      </w:r>
      <w:r w:rsidR="005E0ADE" w:rsidRPr="00362A40">
        <w:rPr>
          <w:rFonts w:ascii="Calibri" w:eastAsia="Calibri" w:hAnsi="Calibri" w:cs="Times New Roman"/>
        </w:rPr>
        <w:instrText xml:space="preserve"> \* MERGEFORMAT </w:instrText>
      </w:r>
      <w:r w:rsidR="00386EB6" w:rsidRPr="00362A40">
        <w:rPr>
          <w:rFonts w:ascii="Calibri" w:eastAsia="Calibri" w:hAnsi="Calibri" w:cs="Times New Roman"/>
        </w:rPr>
      </w:r>
      <w:r w:rsidR="00386EB6" w:rsidRPr="00362A40">
        <w:rPr>
          <w:rFonts w:ascii="Calibri" w:eastAsia="Calibri" w:hAnsi="Calibri" w:cs="Times New Roman"/>
        </w:rPr>
        <w:fldChar w:fldCharType="separate"/>
      </w:r>
      <w:r w:rsidR="009C319B" w:rsidRPr="00362A40">
        <w:rPr>
          <w:rFonts w:eastAsia="Calibri" w:cs="Times New Roman"/>
          <w:b/>
          <w:bCs/>
        </w:rPr>
        <w:t xml:space="preserve">Tablica </w:t>
      </w:r>
      <w:r w:rsidR="009C319B">
        <w:rPr>
          <w:rFonts w:eastAsia="Calibri" w:cs="Times New Roman"/>
          <w:b/>
          <w:bCs/>
          <w:noProof/>
        </w:rPr>
        <w:t>4</w:t>
      </w:r>
      <w:r w:rsidR="009C319B" w:rsidRPr="00362A40">
        <w:rPr>
          <w:rFonts w:eastAsia="Calibri" w:cs="Times New Roman"/>
          <w:b/>
          <w:bCs/>
          <w:noProof/>
        </w:rPr>
        <w:t>.</w:t>
      </w:r>
      <w:r w:rsidR="009C319B">
        <w:rPr>
          <w:rFonts w:eastAsia="Calibri" w:cs="Times New Roman"/>
          <w:b/>
          <w:bCs/>
          <w:noProof/>
        </w:rPr>
        <w:t>4</w:t>
      </w:r>
      <w:r w:rsidR="00386EB6" w:rsidRPr="00362A40">
        <w:rPr>
          <w:rFonts w:ascii="Calibri" w:eastAsia="Calibri" w:hAnsi="Calibri" w:cs="Times New Roman"/>
        </w:rPr>
        <w:fldChar w:fldCharType="end"/>
      </w:r>
      <w:r w:rsidR="00124946" w:rsidRPr="00362A40">
        <w:rPr>
          <w:rFonts w:ascii="Calibri" w:eastAsia="Calibri" w:hAnsi="Calibri" w:cs="Times New Roman"/>
        </w:rPr>
        <w:t xml:space="preserve"> </w:t>
      </w:r>
      <w:r w:rsidR="00877FCA" w:rsidRPr="00362A40">
        <w:rPr>
          <w:rFonts w:ascii="Calibri" w:eastAsia="Calibri" w:hAnsi="Calibri" w:cs="Times New Roman"/>
        </w:rPr>
        <w:t>i</w:t>
      </w:r>
      <w:r w:rsidR="00124946" w:rsidRPr="00362A40">
        <w:rPr>
          <w:rFonts w:ascii="Calibri" w:eastAsia="Calibri" w:hAnsi="Calibri" w:cs="Times New Roman"/>
        </w:rPr>
        <w:t xml:space="preserve"> </w:t>
      </w:r>
      <w:r w:rsidR="00D5281D" w:rsidRPr="00362A40">
        <w:rPr>
          <w:rFonts w:ascii="Calibri" w:eastAsia="Calibri" w:hAnsi="Calibri" w:cs="Times New Roman"/>
        </w:rPr>
        <w:fldChar w:fldCharType="begin"/>
      </w:r>
      <w:r w:rsidR="00D5281D" w:rsidRPr="00362A40">
        <w:rPr>
          <w:rFonts w:ascii="Calibri" w:eastAsia="Calibri" w:hAnsi="Calibri" w:cs="Times New Roman"/>
        </w:rPr>
        <w:instrText xml:space="preserve"> REF _Ref461705925 \h </w:instrText>
      </w:r>
      <w:r w:rsidR="005E0ADE" w:rsidRPr="00362A40">
        <w:rPr>
          <w:rFonts w:ascii="Calibri" w:eastAsia="Calibri" w:hAnsi="Calibri" w:cs="Times New Roman"/>
        </w:rPr>
        <w:instrText xml:space="preserve"> \* MERGEFORMAT </w:instrText>
      </w:r>
      <w:r w:rsidR="00D5281D" w:rsidRPr="00362A40">
        <w:rPr>
          <w:rFonts w:ascii="Calibri" w:eastAsia="Calibri" w:hAnsi="Calibri" w:cs="Times New Roman"/>
        </w:rPr>
      </w:r>
      <w:r w:rsidR="00D5281D" w:rsidRPr="00362A40">
        <w:rPr>
          <w:rFonts w:ascii="Calibri" w:eastAsia="Calibri" w:hAnsi="Calibri" w:cs="Times New Roman"/>
        </w:rPr>
        <w:fldChar w:fldCharType="separate"/>
      </w:r>
      <w:r w:rsidR="009C319B" w:rsidRPr="00FD3E38">
        <w:rPr>
          <w:b/>
        </w:rPr>
        <w:t xml:space="preserve">Slika </w:t>
      </w:r>
      <w:r w:rsidR="009C319B">
        <w:rPr>
          <w:b/>
          <w:noProof/>
        </w:rPr>
        <w:t>4</w:t>
      </w:r>
      <w:r w:rsidR="009C319B" w:rsidRPr="00FD3E38">
        <w:rPr>
          <w:b/>
          <w:noProof/>
        </w:rPr>
        <w:t>.</w:t>
      </w:r>
      <w:r w:rsidR="009C319B">
        <w:rPr>
          <w:b/>
          <w:noProof/>
        </w:rPr>
        <w:t>12</w:t>
      </w:r>
      <w:r w:rsidR="00D5281D" w:rsidRPr="00362A40">
        <w:rPr>
          <w:rFonts w:ascii="Calibri" w:eastAsia="Calibri" w:hAnsi="Calibri" w:cs="Times New Roman"/>
        </w:rPr>
        <w:fldChar w:fldCharType="end"/>
      </w:r>
      <w:r w:rsidR="006C6F4B" w:rsidRPr="00362A40">
        <w:rPr>
          <w:rFonts w:ascii="Calibri" w:eastAsia="Calibri" w:hAnsi="Calibri" w:cs="Times New Roman"/>
        </w:rPr>
        <w:t>.</w:t>
      </w:r>
    </w:p>
    <w:p w14:paraId="785EEE1A" w14:textId="11F7077F" w:rsidR="006C6F4B" w:rsidRPr="00362A40" w:rsidRDefault="006C6F4B" w:rsidP="00E92750">
      <w:pPr>
        <w:suppressAutoHyphens/>
        <w:autoSpaceDN w:val="0"/>
        <w:spacing w:after="0" w:line="240" w:lineRule="auto"/>
        <w:jc w:val="both"/>
        <w:textAlignment w:val="baseline"/>
        <w:rPr>
          <w:rFonts w:ascii="Calibri" w:eastAsia="Calibri" w:hAnsi="Calibri" w:cs="Times New Roman"/>
        </w:rPr>
      </w:pPr>
      <w:bookmarkStart w:id="57" w:name="_Ref461705884"/>
      <w:bookmarkStart w:id="58" w:name="_Ref461705878"/>
      <w:bookmarkStart w:id="59" w:name="_Toc468277496"/>
      <w:r w:rsidRPr="00362A40">
        <w:rPr>
          <w:rFonts w:eastAsia="Calibri" w:cs="Times New Roman"/>
          <w:b/>
          <w:bCs/>
        </w:rPr>
        <w:t xml:space="preserve">Tablica </w:t>
      </w:r>
      <w:r w:rsidR="000B3499" w:rsidRPr="00362A40">
        <w:rPr>
          <w:rFonts w:eastAsia="Calibri" w:cs="Times New Roman"/>
          <w:b/>
          <w:bCs/>
        </w:rPr>
        <w:fldChar w:fldCharType="begin"/>
      </w:r>
      <w:r w:rsidR="000B3499" w:rsidRPr="00362A40">
        <w:rPr>
          <w:rFonts w:eastAsia="Calibri" w:cs="Times New Roman"/>
          <w:b/>
          <w:bCs/>
        </w:rPr>
        <w:instrText xml:space="preserve"> STYLEREF 1 \s </w:instrText>
      </w:r>
      <w:r w:rsidR="000B3499" w:rsidRPr="00362A40">
        <w:rPr>
          <w:rFonts w:eastAsia="Calibri" w:cs="Times New Roman"/>
          <w:b/>
          <w:bCs/>
        </w:rPr>
        <w:fldChar w:fldCharType="separate"/>
      </w:r>
      <w:r w:rsidR="009C319B">
        <w:rPr>
          <w:rFonts w:eastAsia="Calibri" w:cs="Times New Roman"/>
          <w:b/>
          <w:bCs/>
          <w:noProof/>
        </w:rPr>
        <w:t>4</w:t>
      </w:r>
      <w:r w:rsidR="000B3499" w:rsidRPr="00362A40">
        <w:rPr>
          <w:rFonts w:eastAsia="Calibri" w:cs="Times New Roman"/>
          <w:b/>
          <w:bCs/>
        </w:rPr>
        <w:fldChar w:fldCharType="end"/>
      </w:r>
      <w:r w:rsidR="000B3499" w:rsidRPr="00362A40">
        <w:rPr>
          <w:rFonts w:eastAsia="Calibri" w:cs="Times New Roman"/>
          <w:b/>
          <w:bCs/>
        </w:rPr>
        <w:t>.</w:t>
      </w:r>
      <w:r w:rsidR="000B3499" w:rsidRPr="00362A40">
        <w:rPr>
          <w:rFonts w:eastAsia="Calibri" w:cs="Times New Roman"/>
          <w:b/>
          <w:bCs/>
        </w:rPr>
        <w:fldChar w:fldCharType="begin"/>
      </w:r>
      <w:r w:rsidR="000B3499" w:rsidRPr="00362A40">
        <w:rPr>
          <w:rFonts w:eastAsia="Calibri" w:cs="Times New Roman"/>
          <w:b/>
          <w:bCs/>
        </w:rPr>
        <w:instrText xml:space="preserve"> SEQ Tablica \* ARABIC \s 1 </w:instrText>
      </w:r>
      <w:r w:rsidR="000B3499" w:rsidRPr="00362A40">
        <w:rPr>
          <w:rFonts w:eastAsia="Calibri" w:cs="Times New Roman"/>
          <w:b/>
          <w:bCs/>
        </w:rPr>
        <w:fldChar w:fldCharType="separate"/>
      </w:r>
      <w:r w:rsidR="009C319B">
        <w:rPr>
          <w:rFonts w:eastAsia="Calibri" w:cs="Times New Roman"/>
          <w:b/>
          <w:bCs/>
          <w:noProof/>
        </w:rPr>
        <w:t>4</w:t>
      </w:r>
      <w:r w:rsidR="000B3499" w:rsidRPr="00362A40">
        <w:rPr>
          <w:rFonts w:eastAsia="Calibri" w:cs="Times New Roman"/>
          <w:b/>
          <w:bCs/>
        </w:rPr>
        <w:fldChar w:fldCharType="end"/>
      </w:r>
      <w:bookmarkEnd w:id="57"/>
      <w:r w:rsidRPr="00362A40">
        <w:rPr>
          <w:rFonts w:eastAsia="Calibri" w:cs="Times New Roman"/>
          <w:b/>
          <w:bCs/>
        </w:rPr>
        <w:t xml:space="preserve"> </w:t>
      </w:r>
      <w:r w:rsidR="00723A91" w:rsidRPr="00362A40">
        <w:rPr>
          <w:rFonts w:ascii="Calibri" w:eastAsia="Calibri" w:hAnsi="Calibri" w:cs="Times New Roman"/>
        </w:rPr>
        <w:t>Zastupljenost energenta za grijanje objekata</w:t>
      </w:r>
      <w:r w:rsidR="001E39F8" w:rsidRPr="00362A40">
        <w:rPr>
          <w:rFonts w:ascii="Calibri" w:eastAsia="Calibri" w:hAnsi="Calibri" w:cs="Times New Roman"/>
        </w:rPr>
        <w:t xml:space="preserve"> gradske uprave i mjesne samouprave</w:t>
      </w:r>
      <w:r w:rsidRPr="00362A40">
        <w:rPr>
          <w:rFonts w:ascii="Calibri" w:eastAsia="Calibri" w:hAnsi="Calibri" w:cs="Times New Roman"/>
        </w:rPr>
        <w:t xml:space="preserve"> Grada Zagreba</w:t>
      </w:r>
      <w:bookmarkEnd w:id="58"/>
      <w:r w:rsidR="00E51D3B" w:rsidRPr="00362A40">
        <w:rPr>
          <w:rFonts w:ascii="Calibri" w:eastAsia="Calibri" w:hAnsi="Calibri" w:cs="Times New Roman"/>
        </w:rPr>
        <w:t xml:space="preserve"> u 2015. godini</w:t>
      </w:r>
      <w:bookmarkEnd w:id="59"/>
    </w:p>
    <w:tbl>
      <w:tblPr>
        <w:tblW w:w="4942" w:type="pct"/>
        <w:tblInd w:w="108" w:type="dxa"/>
        <w:tblLook w:val="04A0" w:firstRow="1" w:lastRow="0" w:firstColumn="1" w:lastColumn="0" w:noHBand="0" w:noVBand="1"/>
      </w:tblPr>
      <w:tblGrid>
        <w:gridCol w:w="2490"/>
        <w:gridCol w:w="3767"/>
        <w:gridCol w:w="2700"/>
      </w:tblGrid>
      <w:tr w:rsidR="006476D8" w:rsidRPr="00362A40" w14:paraId="770B8A80" w14:textId="77777777" w:rsidTr="006476D8">
        <w:trPr>
          <w:trHeight w:val="64"/>
        </w:trPr>
        <w:tc>
          <w:tcPr>
            <w:tcW w:w="1390" w:type="pct"/>
            <w:tcBorders>
              <w:top w:val="single" w:sz="4" w:space="0" w:color="auto"/>
              <w:left w:val="single" w:sz="4" w:space="0" w:color="auto"/>
              <w:bottom w:val="single" w:sz="4" w:space="0" w:color="auto"/>
              <w:right w:val="single" w:sz="4" w:space="0" w:color="auto"/>
            </w:tcBorders>
            <w:shd w:val="clear" w:color="000000" w:fill="D9D9D9"/>
            <w:hideMark/>
          </w:tcPr>
          <w:p w14:paraId="11AB3E34" w14:textId="77777777" w:rsidR="006476D8" w:rsidRPr="00362A40" w:rsidRDefault="006476D8" w:rsidP="00E92750">
            <w:pPr>
              <w:spacing w:after="0" w:line="240" w:lineRule="auto"/>
              <w:rPr>
                <w:rFonts w:ascii="Calibri" w:eastAsia="Times New Roman" w:hAnsi="Calibri" w:cs="Times New Roman"/>
                <w:b/>
                <w:bCs/>
                <w:color w:val="000000"/>
                <w:sz w:val="20"/>
                <w:szCs w:val="20"/>
                <w:lang w:eastAsia="hr-HR"/>
              </w:rPr>
            </w:pPr>
            <w:r w:rsidRPr="00362A40">
              <w:rPr>
                <w:rFonts w:ascii="Calibri" w:eastAsia="Times New Roman" w:hAnsi="Calibri" w:cs="Times New Roman"/>
                <w:b/>
                <w:bCs/>
                <w:color w:val="000000"/>
                <w:sz w:val="20"/>
                <w:szCs w:val="20"/>
                <w:lang w:eastAsia="hr-HR"/>
              </w:rPr>
              <w:t>Energent</w:t>
            </w:r>
          </w:p>
        </w:tc>
        <w:tc>
          <w:tcPr>
            <w:tcW w:w="2103" w:type="pct"/>
            <w:tcBorders>
              <w:top w:val="single" w:sz="4" w:space="0" w:color="auto"/>
              <w:left w:val="nil"/>
              <w:bottom w:val="single" w:sz="4" w:space="0" w:color="auto"/>
              <w:right w:val="single" w:sz="4" w:space="0" w:color="auto"/>
            </w:tcBorders>
            <w:shd w:val="clear" w:color="000000" w:fill="D9D9D9"/>
            <w:hideMark/>
          </w:tcPr>
          <w:p w14:paraId="717E190B" w14:textId="77777777" w:rsidR="006476D8" w:rsidRPr="00362A40" w:rsidRDefault="006476D8" w:rsidP="00E92750">
            <w:pPr>
              <w:spacing w:after="0" w:line="240" w:lineRule="auto"/>
              <w:jc w:val="center"/>
              <w:rPr>
                <w:rFonts w:ascii="Calibri" w:eastAsia="Times New Roman" w:hAnsi="Calibri" w:cs="Times New Roman"/>
                <w:b/>
                <w:bCs/>
                <w:color w:val="000000"/>
                <w:sz w:val="20"/>
                <w:szCs w:val="20"/>
                <w:lang w:eastAsia="hr-HR"/>
              </w:rPr>
            </w:pPr>
            <w:r w:rsidRPr="00362A40">
              <w:rPr>
                <w:rFonts w:ascii="Calibri" w:eastAsia="Times New Roman" w:hAnsi="Calibri" w:cs="Times New Roman"/>
                <w:b/>
                <w:bCs/>
                <w:color w:val="000000"/>
                <w:sz w:val="20"/>
                <w:szCs w:val="20"/>
                <w:lang w:eastAsia="hr-HR"/>
              </w:rPr>
              <w:t>Broj objekata</w:t>
            </w:r>
          </w:p>
        </w:tc>
        <w:tc>
          <w:tcPr>
            <w:tcW w:w="1507" w:type="pct"/>
            <w:tcBorders>
              <w:top w:val="single" w:sz="4" w:space="0" w:color="auto"/>
              <w:left w:val="nil"/>
              <w:bottom w:val="single" w:sz="4" w:space="0" w:color="auto"/>
              <w:right w:val="single" w:sz="4" w:space="0" w:color="auto"/>
            </w:tcBorders>
            <w:shd w:val="clear" w:color="000000" w:fill="D9D9D9"/>
            <w:hideMark/>
          </w:tcPr>
          <w:p w14:paraId="0D93B821" w14:textId="77777777" w:rsidR="006476D8" w:rsidRPr="00362A40" w:rsidRDefault="006476D8" w:rsidP="00E92750">
            <w:pPr>
              <w:spacing w:after="0" w:line="240" w:lineRule="auto"/>
              <w:jc w:val="center"/>
              <w:rPr>
                <w:rFonts w:ascii="Calibri" w:eastAsia="Times New Roman" w:hAnsi="Calibri" w:cs="Times New Roman"/>
                <w:b/>
                <w:bCs/>
                <w:color w:val="000000"/>
                <w:sz w:val="20"/>
                <w:szCs w:val="20"/>
                <w:lang w:eastAsia="hr-HR"/>
              </w:rPr>
            </w:pPr>
            <w:r w:rsidRPr="00362A40">
              <w:rPr>
                <w:rFonts w:ascii="Calibri" w:eastAsia="Times New Roman" w:hAnsi="Calibri" w:cs="Times New Roman"/>
                <w:b/>
                <w:bCs/>
                <w:color w:val="000000"/>
                <w:sz w:val="20"/>
                <w:szCs w:val="20"/>
                <w:lang w:eastAsia="hr-HR"/>
              </w:rPr>
              <w:t>Ukupna grijana površina (m</w:t>
            </w:r>
            <w:r w:rsidRPr="00362A40">
              <w:rPr>
                <w:rFonts w:ascii="Calibri" w:eastAsia="Times New Roman" w:hAnsi="Calibri" w:cs="Times New Roman"/>
                <w:b/>
                <w:bCs/>
                <w:color w:val="000000"/>
                <w:sz w:val="20"/>
                <w:szCs w:val="20"/>
                <w:vertAlign w:val="superscript"/>
                <w:lang w:eastAsia="hr-HR"/>
              </w:rPr>
              <w:t>2</w:t>
            </w:r>
            <w:r w:rsidRPr="00362A40">
              <w:rPr>
                <w:rFonts w:ascii="Calibri" w:eastAsia="Times New Roman" w:hAnsi="Calibri" w:cs="Times New Roman"/>
                <w:b/>
                <w:bCs/>
                <w:color w:val="000000"/>
                <w:sz w:val="20"/>
                <w:szCs w:val="20"/>
                <w:lang w:eastAsia="hr-HR"/>
              </w:rPr>
              <w:t>)</w:t>
            </w:r>
          </w:p>
        </w:tc>
      </w:tr>
      <w:tr w:rsidR="006476D8" w:rsidRPr="00362A40" w14:paraId="03E3000F" w14:textId="77777777" w:rsidTr="006476D8">
        <w:trPr>
          <w:trHeight w:val="255"/>
        </w:trPr>
        <w:tc>
          <w:tcPr>
            <w:tcW w:w="1390" w:type="pct"/>
            <w:tcBorders>
              <w:top w:val="nil"/>
              <w:left w:val="single" w:sz="4" w:space="0" w:color="auto"/>
              <w:bottom w:val="single" w:sz="4" w:space="0" w:color="auto"/>
              <w:right w:val="single" w:sz="4" w:space="0" w:color="auto"/>
            </w:tcBorders>
            <w:shd w:val="clear" w:color="000000" w:fill="D9D9D9"/>
            <w:hideMark/>
          </w:tcPr>
          <w:p w14:paraId="10CD3967" w14:textId="77777777" w:rsidR="006476D8" w:rsidRPr="00362A40" w:rsidRDefault="006476D8" w:rsidP="00E92750">
            <w:pPr>
              <w:spacing w:after="0" w:line="240" w:lineRule="auto"/>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Toplana vrelovod</w:t>
            </w:r>
          </w:p>
        </w:tc>
        <w:tc>
          <w:tcPr>
            <w:tcW w:w="2103" w:type="pct"/>
            <w:tcBorders>
              <w:top w:val="nil"/>
              <w:left w:val="nil"/>
              <w:bottom w:val="single" w:sz="4" w:space="0" w:color="auto"/>
              <w:right w:val="single" w:sz="4" w:space="0" w:color="auto"/>
            </w:tcBorders>
            <w:shd w:val="clear" w:color="auto" w:fill="auto"/>
            <w:hideMark/>
          </w:tcPr>
          <w:p w14:paraId="2C1FE349" w14:textId="77777777" w:rsidR="006476D8" w:rsidRPr="00362A40" w:rsidRDefault="006476D8"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39</w:t>
            </w:r>
          </w:p>
        </w:tc>
        <w:tc>
          <w:tcPr>
            <w:tcW w:w="1507" w:type="pct"/>
            <w:tcBorders>
              <w:top w:val="nil"/>
              <w:left w:val="nil"/>
              <w:bottom w:val="single" w:sz="4" w:space="0" w:color="auto"/>
              <w:right w:val="single" w:sz="4" w:space="0" w:color="auto"/>
            </w:tcBorders>
            <w:shd w:val="clear" w:color="auto" w:fill="auto"/>
            <w:hideMark/>
          </w:tcPr>
          <w:p w14:paraId="5E5F2A34" w14:textId="1CF1BB09" w:rsidR="006476D8" w:rsidRPr="00362A40" w:rsidRDefault="00E51D3B"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 xml:space="preserve">42 </w:t>
            </w:r>
            <w:r w:rsidR="006476D8" w:rsidRPr="00362A40">
              <w:rPr>
                <w:rFonts w:ascii="Calibri" w:eastAsia="Times New Roman" w:hAnsi="Calibri" w:cs="Times New Roman"/>
                <w:color w:val="000000"/>
                <w:sz w:val="20"/>
                <w:szCs w:val="20"/>
                <w:lang w:eastAsia="hr-HR"/>
              </w:rPr>
              <w:t>910,60</w:t>
            </w:r>
          </w:p>
        </w:tc>
      </w:tr>
      <w:tr w:rsidR="006476D8" w:rsidRPr="00362A40" w14:paraId="14A44517" w14:textId="77777777" w:rsidTr="006476D8">
        <w:trPr>
          <w:trHeight w:val="255"/>
        </w:trPr>
        <w:tc>
          <w:tcPr>
            <w:tcW w:w="1390" w:type="pct"/>
            <w:tcBorders>
              <w:top w:val="nil"/>
              <w:left w:val="single" w:sz="4" w:space="0" w:color="auto"/>
              <w:bottom w:val="single" w:sz="4" w:space="0" w:color="auto"/>
              <w:right w:val="single" w:sz="4" w:space="0" w:color="auto"/>
            </w:tcBorders>
            <w:shd w:val="clear" w:color="000000" w:fill="D9D9D9"/>
            <w:hideMark/>
          </w:tcPr>
          <w:p w14:paraId="3685F9E5" w14:textId="77777777" w:rsidR="006476D8" w:rsidRPr="00362A40" w:rsidRDefault="006476D8" w:rsidP="00E92750">
            <w:pPr>
              <w:spacing w:after="0" w:line="240" w:lineRule="auto"/>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Toplana para</w:t>
            </w:r>
          </w:p>
        </w:tc>
        <w:tc>
          <w:tcPr>
            <w:tcW w:w="2103" w:type="pct"/>
            <w:tcBorders>
              <w:top w:val="nil"/>
              <w:left w:val="nil"/>
              <w:bottom w:val="single" w:sz="4" w:space="0" w:color="auto"/>
              <w:right w:val="single" w:sz="4" w:space="0" w:color="auto"/>
            </w:tcBorders>
            <w:shd w:val="clear" w:color="auto" w:fill="auto"/>
            <w:hideMark/>
          </w:tcPr>
          <w:p w14:paraId="4CD093BE" w14:textId="77777777" w:rsidR="006476D8" w:rsidRPr="00362A40" w:rsidRDefault="006476D8"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2</w:t>
            </w:r>
          </w:p>
        </w:tc>
        <w:tc>
          <w:tcPr>
            <w:tcW w:w="1507" w:type="pct"/>
            <w:tcBorders>
              <w:top w:val="nil"/>
              <w:left w:val="nil"/>
              <w:bottom w:val="single" w:sz="4" w:space="0" w:color="auto"/>
              <w:right w:val="single" w:sz="4" w:space="0" w:color="auto"/>
            </w:tcBorders>
            <w:shd w:val="clear" w:color="auto" w:fill="auto"/>
            <w:hideMark/>
          </w:tcPr>
          <w:p w14:paraId="78C0B9C9" w14:textId="01877B17" w:rsidR="006476D8" w:rsidRPr="00362A40" w:rsidRDefault="00E51D3B"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 xml:space="preserve">5 </w:t>
            </w:r>
            <w:r w:rsidR="006476D8" w:rsidRPr="00362A40">
              <w:rPr>
                <w:rFonts w:ascii="Calibri" w:eastAsia="Times New Roman" w:hAnsi="Calibri" w:cs="Times New Roman"/>
                <w:color w:val="000000"/>
                <w:sz w:val="20"/>
                <w:szCs w:val="20"/>
                <w:lang w:eastAsia="hr-HR"/>
              </w:rPr>
              <w:t>050,41</w:t>
            </w:r>
          </w:p>
        </w:tc>
      </w:tr>
      <w:tr w:rsidR="006476D8" w:rsidRPr="00362A40" w14:paraId="5C625FE6" w14:textId="77777777" w:rsidTr="006476D8">
        <w:trPr>
          <w:trHeight w:val="255"/>
        </w:trPr>
        <w:tc>
          <w:tcPr>
            <w:tcW w:w="1390" w:type="pct"/>
            <w:tcBorders>
              <w:top w:val="nil"/>
              <w:left w:val="single" w:sz="4" w:space="0" w:color="auto"/>
              <w:bottom w:val="single" w:sz="4" w:space="0" w:color="auto"/>
              <w:right w:val="single" w:sz="4" w:space="0" w:color="auto"/>
            </w:tcBorders>
            <w:shd w:val="clear" w:color="000000" w:fill="D9D9D9"/>
            <w:noWrap/>
            <w:hideMark/>
          </w:tcPr>
          <w:p w14:paraId="7CFB3A93" w14:textId="77777777" w:rsidR="006476D8" w:rsidRPr="00362A40" w:rsidRDefault="006476D8" w:rsidP="00E92750">
            <w:pPr>
              <w:spacing w:after="0" w:line="240" w:lineRule="auto"/>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Prirodni plin</w:t>
            </w:r>
          </w:p>
        </w:tc>
        <w:tc>
          <w:tcPr>
            <w:tcW w:w="2103" w:type="pct"/>
            <w:tcBorders>
              <w:top w:val="nil"/>
              <w:left w:val="nil"/>
              <w:bottom w:val="single" w:sz="4" w:space="0" w:color="auto"/>
              <w:right w:val="single" w:sz="4" w:space="0" w:color="auto"/>
            </w:tcBorders>
            <w:shd w:val="clear" w:color="auto" w:fill="auto"/>
            <w:noWrap/>
            <w:hideMark/>
          </w:tcPr>
          <w:p w14:paraId="4D031495" w14:textId="77777777" w:rsidR="006476D8" w:rsidRPr="00362A40" w:rsidRDefault="006476D8"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167</w:t>
            </w:r>
          </w:p>
        </w:tc>
        <w:tc>
          <w:tcPr>
            <w:tcW w:w="1507" w:type="pct"/>
            <w:tcBorders>
              <w:top w:val="nil"/>
              <w:left w:val="nil"/>
              <w:bottom w:val="single" w:sz="4" w:space="0" w:color="auto"/>
              <w:right w:val="single" w:sz="4" w:space="0" w:color="auto"/>
            </w:tcBorders>
            <w:shd w:val="clear" w:color="auto" w:fill="auto"/>
            <w:noWrap/>
            <w:hideMark/>
          </w:tcPr>
          <w:p w14:paraId="0A3989A6" w14:textId="6CF03CB7" w:rsidR="006476D8" w:rsidRPr="00362A40" w:rsidRDefault="00E51D3B"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 xml:space="preserve">69 </w:t>
            </w:r>
            <w:r w:rsidR="006476D8" w:rsidRPr="00362A40">
              <w:rPr>
                <w:rFonts w:ascii="Calibri" w:eastAsia="Times New Roman" w:hAnsi="Calibri" w:cs="Times New Roman"/>
                <w:color w:val="000000"/>
                <w:sz w:val="20"/>
                <w:szCs w:val="20"/>
                <w:lang w:eastAsia="hr-HR"/>
              </w:rPr>
              <w:t>839,13</w:t>
            </w:r>
          </w:p>
        </w:tc>
      </w:tr>
      <w:tr w:rsidR="006476D8" w:rsidRPr="00362A40" w14:paraId="51072E08" w14:textId="77777777" w:rsidTr="006476D8">
        <w:trPr>
          <w:trHeight w:val="255"/>
        </w:trPr>
        <w:tc>
          <w:tcPr>
            <w:tcW w:w="1390" w:type="pct"/>
            <w:tcBorders>
              <w:top w:val="nil"/>
              <w:left w:val="single" w:sz="4" w:space="0" w:color="auto"/>
              <w:bottom w:val="single" w:sz="4" w:space="0" w:color="auto"/>
              <w:right w:val="single" w:sz="4" w:space="0" w:color="auto"/>
            </w:tcBorders>
            <w:shd w:val="clear" w:color="000000" w:fill="D9D9D9"/>
            <w:noWrap/>
            <w:hideMark/>
          </w:tcPr>
          <w:p w14:paraId="4505D60B" w14:textId="77777777" w:rsidR="006476D8" w:rsidRPr="00362A40" w:rsidRDefault="006476D8" w:rsidP="00E92750">
            <w:pPr>
              <w:spacing w:after="0" w:line="240" w:lineRule="auto"/>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Lož ulje</w:t>
            </w:r>
          </w:p>
        </w:tc>
        <w:tc>
          <w:tcPr>
            <w:tcW w:w="2103" w:type="pct"/>
            <w:tcBorders>
              <w:top w:val="nil"/>
              <w:left w:val="nil"/>
              <w:bottom w:val="single" w:sz="4" w:space="0" w:color="auto"/>
              <w:right w:val="single" w:sz="4" w:space="0" w:color="auto"/>
            </w:tcBorders>
            <w:shd w:val="clear" w:color="auto" w:fill="auto"/>
            <w:noWrap/>
            <w:hideMark/>
          </w:tcPr>
          <w:p w14:paraId="0BF13586" w14:textId="77777777" w:rsidR="006476D8" w:rsidRPr="00362A40" w:rsidRDefault="006476D8"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22</w:t>
            </w:r>
          </w:p>
        </w:tc>
        <w:tc>
          <w:tcPr>
            <w:tcW w:w="1507" w:type="pct"/>
            <w:tcBorders>
              <w:top w:val="nil"/>
              <w:left w:val="nil"/>
              <w:bottom w:val="single" w:sz="4" w:space="0" w:color="auto"/>
              <w:right w:val="single" w:sz="4" w:space="0" w:color="auto"/>
            </w:tcBorders>
            <w:shd w:val="clear" w:color="auto" w:fill="auto"/>
            <w:noWrap/>
            <w:hideMark/>
          </w:tcPr>
          <w:p w14:paraId="3F9EFAC5" w14:textId="48586628" w:rsidR="006476D8" w:rsidRPr="00362A40" w:rsidRDefault="00E51D3B"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 xml:space="preserve">6 </w:t>
            </w:r>
            <w:r w:rsidR="006476D8" w:rsidRPr="00362A40">
              <w:rPr>
                <w:rFonts w:ascii="Calibri" w:eastAsia="Times New Roman" w:hAnsi="Calibri" w:cs="Times New Roman"/>
                <w:color w:val="000000"/>
                <w:sz w:val="20"/>
                <w:szCs w:val="20"/>
                <w:lang w:eastAsia="hr-HR"/>
              </w:rPr>
              <w:t>165,34</w:t>
            </w:r>
          </w:p>
        </w:tc>
      </w:tr>
      <w:tr w:rsidR="006476D8" w:rsidRPr="00362A40" w14:paraId="22CEA100" w14:textId="77777777" w:rsidTr="006476D8">
        <w:trPr>
          <w:trHeight w:val="255"/>
        </w:trPr>
        <w:tc>
          <w:tcPr>
            <w:tcW w:w="1390" w:type="pct"/>
            <w:tcBorders>
              <w:top w:val="nil"/>
              <w:left w:val="single" w:sz="4" w:space="0" w:color="auto"/>
              <w:bottom w:val="single" w:sz="4" w:space="0" w:color="auto"/>
              <w:right w:val="single" w:sz="4" w:space="0" w:color="auto"/>
            </w:tcBorders>
            <w:shd w:val="clear" w:color="000000" w:fill="D9D9D9"/>
            <w:noWrap/>
            <w:hideMark/>
          </w:tcPr>
          <w:p w14:paraId="1B7DDA46" w14:textId="77777777" w:rsidR="006476D8" w:rsidRPr="00362A40" w:rsidRDefault="006476D8" w:rsidP="00E92750">
            <w:pPr>
              <w:spacing w:after="0" w:line="240" w:lineRule="auto"/>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Električna energija</w:t>
            </w:r>
          </w:p>
        </w:tc>
        <w:tc>
          <w:tcPr>
            <w:tcW w:w="2103" w:type="pct"/>
            <w:tcBorders>
              <w:top w:val="nil"/>
              <w:left w:val="nil"/>
              <w:bottom w:val="single" w:sz="4" w:space="0" w:color="auto"/>
              <w:right w:val="single" w:sz="4" w:space="0" w:color="auto"/>
            </w:tcBorders>
            <w:shd w:val="clear" w:color="auto" w:fill="auto"/>
            <w:noWrap/>
            <w:hideMark/>
          </w:tcPr>
          <w:p w14:paraId="462B8273" w14:textId="77777777" w:rsidR="006476D8" w:rsidRPr="00362A40" w:rsidRDefault="006476D8"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16</w:t>
            </w:r>
          </w:p>
        </w:tc>
        <w:tc>
          <w:tcPr>
            <w:tcW w:w="1507" w:type="pct"/>
            <w:tcBorders>
              <w:top w:val="nil"/>
              <w:left w:val="nil"/>
              <w:bottom w:val="single" w:sz="4" w:space="0" w:color="auto"/>
              <w:right w:val="single" w:sz="4" w:space="0" w:color="auto"/>
            </w:tcBorders>
            <w:shd w:val="clear" w:color="auto" w:fill="auto"/>
            <w:noWrap/>
            <w:hideMark/>
          </w:tcPr>
          <w:p w14:paraId="0E385983" w14:textId="103ED812" w:rsidR="006476D8" w:rsidRPr="00362A40" w:rsidRDefault="00E51D3B"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 xml:space="preserve">1 </w:t>
            </w:r>
            <w:r w:rsidR="006476D8" w:rsidRPr="00362A40">
              <w:rPr>
                <w:rFonts w:ascii="Calibri" w:eastAsia="Times New Roman" w:hAnsi="Calibri" w:cs="Times New Roman"/>
                <w:color w:val="000000"/>
                <w:sz w:val="20"/>
                <w:szCs w:val="20"/>
                <w:lang w:eastAsia="hr-HR"/>
              </w:rPr>
              <w:t>627,78</w:t>
            </w:r>
          </w:p>
        </w:tc>
      </w:tr>
      <w:tr w:rsidR="006476D8" w:rsidRPr="00362A40" w14:paraId="721431ED" w14:textId="77777777" w:rsidTr="006476D8">
        <w:trPr>
          <w:trHeight w:val="255"/>
        </w:trPr>
        <w:tc>
          <w:tcPr>
            <w:tcW w:w="1390" w:type="pct"/>
            <w:tcBorders>
              <w:top w:val="nil"/>
              <w:left w:val="single" w:sz="4" w:space="0" w:color="auto"/>
              <w:bottom w:val="single" w:sz="4" w:space="0" w:color="auto"/>
              <w:right w:val="single" w:sz="4" w:space="0" w:color="auto"/>
            </w:tcBorders>
            <w:shd w:val="clear" w:color="000000" w:fill="D9D9D9"/>
            <w:noWrap/>
            <w:hideMark/>
          </w:tcPr>
          <w:p w14:paraId="6C034F7E" w14:textId="77777777" w:rsidR="006476D8" w:rsidRPr="00362A40" w:rsidRDefault="006476D8" w:rsidP="00E92750">
            <w:pPr>
              <w:spacing w:after="0" w:line="240" w:lineRule="auto"/>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Biomasa drvo</w:t>
            </w:r>
          </w:p>
        </w:tc>
        <w:tc>
          <w:tcPr>
            <w:tcW w:w="2103" w:type="pct"/>
            <w:tcBorders>
              <w:top w:val="nil"/>
              <w:left w:val="nil"/>
              <w:bottom w:val="single" w:sz="4" w:space="0" w:color="auto"/>
              <w:right w:val="single" w:sz="4" w:space="0" w:color="auto"/>
            </w:tcBorders>
            <w:shd w:val="clear" w:color="auto" w:fill="auto"/>
            <w:noWrap/>
            <w:hideMark/>
          </w:tcPr>
          <w:p w14:paraId="560D9473" w14:textId="77777777" w:rsidR="006476D8" w:rsidRPr="00362A40" w:rsidRDefault="006476D8"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4</w:t>
            </w:r>
          </w:p>
        </w:tc>
        <w:tc>
          <w:tcPr>
            <w:tcW w:w="1507" w:type="pct"/>
            <w:tcBorders>
              <w:top w:val="nil"/>
              <w:left w:val="nil"/>
              <w:bottom w:val="single" w:sz="4" w:space="0" w:color="auto"/>
              <w:right w:val="single" w:sz="4" w:space="0" w:color="auto"/>
            </w:tcBorders>
            <w:shd w:val="clear" w:color="auto" w:fill="auto"/>
            <w:noWrap/>
            <w:hideMark/>
          </w:tcPr>
          <w:p w14:paraId="6204ED65" w14:textId="77777777" w:rsidR="006476D8" w:rsidRPr="00362A40" w:rsidRDefault="006476D8"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640,67</w:t>
            </w:r>
          </w:p>
        </w:tc>
      </w:tr>
      <w:tr w:rsidR="006476D8" w:rsidRPr="00362A40" w14:paraId="4AC8DD78" w14:textId="77777777" w:rsidTr="006476D8">
        <w:trPr>
          <w:trHeight w:val="255"/>
        </w:trPr>
        <w:tc>
          <w:tcPr>
            <w:tcW w:w="1390" w:type="pct"/>
            <w:tcBorders>
              <w:top w:val="nil"/>
              <w:left w:val="single" w:sz="4" w:space="0" w:color="auto"/>
              <w:bottom w:val="single" w:sz="4" w:space="0" w:color="auto"/>
              <w:right w:val="single" w:sz="4" w:space="0" w:color="auto"/>
            </w:tcBorders>
            <w:shd w:val="clear" w:color="000000" w:fill="D9D9D9"/>
            <w:noWrap/>
            <w:hideMark/>
          </w:tcPr>
          <w:p w14:paraId="0BCC4311" w14:textId="77777777" w:rsidR="006476D8" w:rsidRPr="00362A40" w:rsidRDefault="006476D8" w:rsidP="00E92750">
            <w:pPr>
              <w:spacing w:after="0" w:line="240" w:lineRule="auto"/>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Bez grijanja</w:t>
            </w:r>
          </w:p>
        </w:tc>
        <w:tc>
          <w:tcPr>
            <w:tcW w:w="2103" w:type="pct"/>
            <w:tcBorders>
              <w:top w:val="nil"/>
              <w:left w:val="nil"/>
              <w:bottom w:val="single" w:sz="4" w:space="0" w:color="auto"/>
              <w:right w:val="single" w:sz="4" w:space="0" w:color="auto"/>
            </w:tcBorders>
            <w:shd w:val="clear" w:color="auto" w:fill="auto"/>
            <w:noWrap/>
            <w:hideMark/>
          </w:tcPr>
          <w:p w14:paraId="3635A14B" w14:textId="77777777" w:rsidR="006476D8" w:rsidRPr="00362A40" w:rsidRDefault="006476D8"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1</w:t>
            </w:r>
          </w:p>
        </w:tc>
        <w:tc>
          <w:tcPr>
            <w:tcW w:w="1507" w:type="pct"/>
            <w:tcBorders>
              <w:top w:val="nil"/>
              <w:left w:val="nil"/>
              <w:bottom w:val="single" w:sz="4" w:space="0" w:color="auto"/>
              <w:right w:val="single" w:sz="4" w:space="0" w:color="auto"/>
            </w:tcBorders>
            <w:shd w:val="clear" w:color="auto" w:fill="auto"/>
            <w:noWrap/>
            <w:hideMark/>
          </w:tcPr>
          <w:p w14:paraId="427983FA" w14:textId="77777777" w:rsidR="006476D8" w:rsidRPr="00362A40" w:rsidRDefault="006476D8" w:rsidP="00E92750">
            <w:pPr>
              <w:spacing w:after="0" w:line="240" w:lineRule="auto"/>
              <w:jc w:val="center"/>
              <w:rPr>
                <w:rFonts w:ascii="Calibri" w:eastAsia="Times New Roman" w:hAnsi="Calibri" w:cs="Times New Roman"/>
                <w:color w:val="000000"/>
                <w:sz w:val="20"/>
                <w:szCs w:val="20"/>
                <w:lang w:eastAsia="hr-HR"/>
              </w:rPr>
            </w:pPr>
            <w:r w:rsidRPr="00362A40">
              <w:rPr>
                <w:rFonts w:ascii="Calibri" w:eastAsia="Times New Roman" w:hAnsi="Calibri" w:cs="Times New Roman"/>
                <w:color w:val="000000"/>
                <w:sz w:val="20"/>
                <w:szCs w:val="20"/>
                <w:lang w:eastAsia="hr-HR"/>
              </w:rPr>
              <w:t>24,70</w:t>
            </w:r>
          </w:p>
        </w:tc>
      </w:tr>
      <w:tr w:rsidR="006476D8" w:rsidRPr="00362A40" w14:paraId="1FBC047D" w14:textId="77777777" w:rsidTr="00945E2A">
        <w:trPr>
          <w:trHeight w:val="255"/>
        </w:trPr>
        <w:tc>
          <w:tcPr>
            <w:tcW w:w="1390" w:type="pct"/>
            <w:tcBorders>
              <w:top w:val="nil"/>
              <w:left w:val="single" w:sz="4" w:space="0" w:color="auto"/>
              <w:bottom w:val="single" w:sz="4" w:space="0" w:color="auto"/>
              <w:right w:val="single" w:sz="4" w:space="0" w:color="auto"/>
            </w:tcBorders>
            <w:shd w:val="clear" w:color="000000" w:fill="D9D9D9"/>
            <w:noWrap/>
            <w:hideMark/>
          </w:tcPr>
          <w:p w14:paraId="16E521A8" w14:textId="77777777" w:rsidR="006476D8" w:rsidRPr="00362A40" w:rsidRDefault="006476D8" w:rsidP="00E92750">
            <w:pPr>
              <w:spacing w:after="0" w:line="240" w:lineRule="auto"/>
              <w:rPr>
                <w:rFonts w:ascii="Calibri" w:eastAsia="Times New Roman" w:hAnsi="Calibri" w:cs="Times New Roman"/>
                <w:b/>
                <w:bCs/>
                <w:color w:val="000000"/>
                <w:sz w:val="20"/>
                <w:szCs w:val="20"/>
                <w:lang w:eastAsia="hr-HR"/>
              </w:rPr>
            </w:pPr>
            <w:r w:rsidRPr="00362A40">
              <w:rPr>
                <w:rFonts w:ascii="Calibri" w:eastAsia="Times New Roman" w:hAnsi="Calibri" w:cs="Times New Roman"/>
                <w:b/>
                <w:bCs/>
                <w:color w:val="000000"/>
                <w:sz w:val="20"/>
                <w:szCs w:val="20"/>
                <w:lang w:eastAsia="hr-HR"/>
              </w:rPr>
              <w:t>UKUPNO</w:t>
            </w:r>
          </w:p>
        </w:tc>
        <w:tc>
          <w:tcPr>
            <w:tcW w:w="2103" w:type="pct"/>
            <w:tcBorders>
              <w:top w:val="nil"/>
              <w:left w:val="nil"/>
              <w:bottom w:val="single" w:sz="4" w:space="0" w:color="auto"/>
              <w:right w:val="single" w:sz="4" w:space="0" w:color="auto"/>
            </w:tcBorders>
            <w:shd w:val="clear" w:color="auto" w:fill="D9D9D9" w:themeFill="background1" w:themeFillShade="D9"/>
            <w:noWrap/>
            <w:hideMark/>
          </w:tcPr>
          <w:p w14:paraId="6F48F46F" w14:textId="77777777" w:rsidR="006476D8" w:rsidRPr="00362A40" w:rsidRDefault="006476D8" w:rsidP="00E92750">
            <w:pPr>
              <w:spacing w:after="0" w:line="240" w:lineRule="auto"/>
              <w:jc w:val="center"/>
              <w:rPr>
                <w:rFonts w:ascii="Calibri" w:eastAsia="Times New Roman" w:hAnsi="Calibri" w:cs="Times New Roman"/>
                <w:b/>
                <w:bCs/>
                <w:color w:val="000000"/>
                <w:sz w:val="20"/>
                <w:szCs w:val="20"/>
                <w:lang w:eastAsia="hr-HR"/>
              </w:rPr>
            </w:pPr>
            <w:r w:rsidRPr="00362A40">
              <w:rPr>
                <w:rFonts w:ascii="Calibri" w:eastAsia="Times New Roman" w:hAnsi="Calibri" w:cs="Times New Roman"/>
                <w:b/>
                <w:bCs/>
                <w:color w:val="000000"/>
                <w:sz w:val="20"/>
                <w:szCs w:val="20"/>
                <w:lang w:eastAsia="hr-HR"/>
              </w:rPr>
              <w:t>251</w:t>
            </w:r>
          </w:p>
        </w:tc>
        <w:tc>
          <w:tcPr>
            <w:tcW w:w="1507" w:type="pct"/>
            <w:tcBorders>
              <w:top w:val="nil"/>
              <w:left w:val="nil"/>
              <w:bottom w:val="single" w:sz="4" w:space="0" w:color="auto"/>
              <w:right w:val="single" w:sz="4" w:space="0" w:color="auto"/>
            </w:tcBorders>
            <w:shd w:val="clear" w:color="auto" w:fill="D9D9D9" w:themeFill="background1" w:themeFillShade="D9"/>
            <w:noWrap/>
            <w:hideMark/>
          </w:tcPr>
          <w:p w14:paraId="5CD62E53" w14:textId="61173FC0" w:rsidR="006476D8" w:rsidRPr="00945E2A" w:rsidRDefault="00E51D3B" w:rsidP="00E92750">
            <w:pPr>
              <w:spacing w:after="0" w:line="240" w:lineRule="auto"/>
              <w:jc w:val="center"/>
              <w:rPr>
                <w:rFonts w:ascii="Calibri" w:eastAsia="Times New Roman" w:hAnsi="Calibri" w:cs="Times New Roman"/>
                <w:b/>
                <w:color w:val="000000"/>
                <w:sz w:val="20"/>
                <w:szCs w:val="20"/>
                <w:lang w:eastAsia="hr-HR"/>
              </w:rPr>
            </w:pPr>
            <w:r w:rsidRPr="00945E2A">
              <w:rPr>
                <w:rFonts w:ascii="Calibri" w:eastAsia="Times New Roman" w:hAnsi="Calibri" w:cs="Times New Roman"/>
                <w:b/>
                <w:color w:val="000000"/>
                <w:sz w:val="20"/>
                <w:szCs w:val="20"/>
                <w:lang w:eastAsia="hr-HR"/>
              </w:rPr>
              <w:t xml:space="preserve">126 </w:t>
            </w:r>
            <w:r w:rsidR="006476D8" w:rsidRPr="00945E2A">
              <w:rPr>
                <w:rFonts w:ascii="Calibri" w:eastAsia="Times New Roman" w:hAnsi="Calibri" w:cs="Times New Roman"/>
                <w:b/>
                <w:color w:val="000000"/>
                <w:sz w:val="20"/>
                <w:szCs w:val="20"/>
                <w:lang w:eastAsia="hr-HR"/>
              </w:rPr>
              <w:t>258,63</w:t>
            </w:r>
          </w:p>
        </w:tc>
      </w:tr>
    </w:tbl>
    <w:p w14:paraId="02363240" w14:textId="77777777" w:rsidR="006476D8" w:rsidRPr="000071FD" w:rsidRDefault="006476D8" w:rsidP="00E92750">
      <w:pPr>
        <w:suppressAutoHyphens/>
        <w:autoSpaceDN w:val="0"/>
        <w:spacing w:after="0" w:line="240" w:lineRule="auto"/>
        <w:jc w:val="both"/>
        <w:textAlignment w:val="baseline"/>
        <w:rPr>
          <w:rFonts w:ascii="Calibri" w:eastAsia="Calibri" w:hAnsi="Calibri" w:cs="Times New Roman"/>
          <w:highlight w:val="yellow"/>
        </w:rPr>
      </w:pPr>
    </w:p>
    <w:p w14:paraId="3593757F" w14:textId="77777777" w:rsidR="006476D8" w:rsidRPr="000071FD" w:rsidRDefault="006476D8" w:rsidP="00E92750">
      <w:pPr>
        <w:suppressAutoHyphens/>
        <w:autoSpaceDN w:val="0"/>
        <w:spacing w:after="0" w:line="240" w:lineRule="auto"/>
        <w:jc w:val="both"/>
        <w:textAlignment w:val="baseline"/>
        <w:rPr>
          <w:rFonts w:ascii="Calibri" w:eastAsia="Calibri" w:hAnsi="Calibri" w:cs="Times New Roman"/>
          <w:highlight w:val="yellow"/>
        </w:rPr>
      </w:pPr>
    </w:p>
    <w:p w14:paraId="750F6B24" w14:textId="77777777" w:rsidR="006476D8" w:rsidRPr="000071FD" w:rsidRDefault="006476D8" w:rsidP="00E92750">
      <w:pPr>
        <w:suppressAutoHyphens/>
        <w:autoSpaceDN w:val="0"/>
        <w:spacing w:after="0" w:line="240" w:lineRule="auto"/>
        <w:jc w:val="both"/>
        <w:textAlignment w:val="baseline"/>
        <w:rPr>
          <w:rFonts w:ascii="Calibri" w:eastAsia="Calibri" w:hAnsi="Calibri" w:cs="Times New Roman"/>
          <w:highlight w:val="yellow"/>
        </w:rPr>
      </w:pPr>
    </w:p>
    <w:p w14:paraId="6B8E3465" w14:textId="77777777" w:rsidR="006476D8" w:rsidRPr="000071FD" w:rsidRDefault="006476D8" w:rsidP="00E92750">
      <w:pPr>
        <w:suppressAutoHyphens/>
        <w:autoSpaceDN w:val="0"/>
        <w:spacing w:after="0" w:line="240" w:lineRule="auto"/>
        <w:jc w:val="both"/>
        <w:textAlignment w:val="baseline"/>
        <w:rPr>
          <w:rFonts w:ascii="Calibri" w:eastAsia="Calibri" w:hAnsi="Calibri" w:cs="Times New Roman"/>
          <w:highlight w:val="yellow"/>
        </w:rPr>
      </w:pPr>
    </w:p>
    <w:p w14:paraId="497CEB52" w14:textId="77777777" w:rsidR="006476D8" w:rsidRPr="000071FD" w:rsidRDefault="006476D8" w:rsidP="00E92750">
      <w:pPr>
        <w:suppressAutoHyphens/>
        <w:autoSpaceDN w:val="0"/>
        <w:spacing w:after="0" w:line="240" w:lineRule="auto"/>
        <w:jc w:val="both"/>
        <w:textAlignment w:val="baseline"/>
        <w:rPr>
          <w:rFonts w:ascii="Calibri" w:eastAsia="Calibri" w:hAnsi="Calibri" w:cs="Times New Roman"/>
          <w:highlight w:val="yellow"/>
        </w:rPr>
      </w:pPr>
    </w:p>
    <w:p w14:paraId="585C8087" w14:textId="77777777" w:rsidR="006476D8" w:rsidRPr="007C7920" w:rsidRDefault="006476D8" w:rsidP="00E92750">
      <w:pPr>
        <w:suppressAutoHyphens/>
        <w:autoSpaceDN w:val="0"/>
        <w:spacing w:after="0" w:line="240" w:lineRule="auto"/>
        <w:jc w:val="both"/>
        <w:textAlignment w:val="baseline"/>
        <w:rPr>
          <w:rFonts w:ascii="Calibri" w:eastAsia="Calibri" w:hAnsi="Calibri" w:cs="Times New Roman"/>
          <w:highlight w:val="yellow"/>
        </w:rPr>
      </w:pPr>
    </w:p>
    <w:p w14:paraId="6FBBAFC7" w14:textId="77777777" w:rsidR="006476D8" w:rsidRPr="007C7920" w:rsidRDefault="006476D8" w:rsidP="00E92750">
      <w:pPr>
        <w:suppressAutoHyphens/>
        <w:autoSpaceDN w:val="0"/>
        <w:spacing w:after="0" w:line="240" w:lineRule="auto"/>
        <w:jc w:val="both"/>
        <w:textAlignment w:val="baseline"/>
        <w:rPr>
          <w:rFonts w:ascii="Calibri" w:eastAsia="Calibri" w:hAnsi="Calibri" w:cs="Times New Roman"/>
          <w:highlight w:val="yellow"/>
        </w:rPr>
      </w:pPr>
    </w:p>
    <w:p w14:paraId="0E536559" w14:textId="77777777" w:rsidR="006476D8" w:rsidRPr="007C7920" w:rsidRDefault="006476D8" w:rsidP="00E92750">
      <w:pPr>
        <w:suppressAutoHyphens/>
        <w:autoSpaceDN w:val="0"/>
        <w:spacing w:after="0" w:line="240" w:lineRule="auto"/>
        <w:jc w:val="both"/>
        <w:textAlignment w:val="baseline"/>
        <w:rPr>
          <w:rFonts w:ascii="Calibri" w:eastAsia="Calibri" w:hAnsi="Calibri" w:cs="Times New Roman"/>
          <w:highlight w:val="yellow"/>
        </w:rPr>
      </w:pPr>
    </w:p>
    <w:p w14:paraId="3063CB25" w14:textId="77777777" w:rsidR="006476D8" w:rsidRPr="007C7920" w:rsidRDefault="006476D8" w:rsidP="00E92750">
      <w:pPr>
        <w:suppressAutoHyphens/>
        <w:autoSpaceDN w:val="0"/>
        <w:spacing w:after="0" w:line="240" w:lineRule="auto"/>
        <w:jc w:val="both"/>
        <w:textAlignment w:val="baseline"/>
        <w:rPr>
          <w:rFonts w:ascii="Calibri" w:eastAsia="Calibri" w:hAnsi="Calibri" w:cs="Times New Roman"/>
          <w:highlight w:val="yellow"/>
        </w:rPr>
      </w:pPr>
    </w:p>
    <w:p w14:paraId="7F750CAD" w14:textId="77777777" w:rsidR="006476D8" w:rsidRPr="007C7920" w:rsidRDefault="006476D8" w:rsidP="00E92750">
      <w:pPr>
        <w:suppressAutoHyphens/>
        <w:autoSpaceDN w:val="0"/>
        <w:spacing w:after="0" w:line="240" w:lineRule="auto"/>
        <w:jc w:val="both"/>
        <w:textAlignment w:val="baseline"/>
        <w:rPr>
          <w:rFonts w:ascii="Calibri" w:eastAsia="Calibri" w:hAnsi="Calibri" w:cs="Times New Roman"/>
          <w:highlight w:val="yellow"/>
        </w:rPr>
      </w:pPr>
    </w:p>
    <w:p w14:paraId="63C4712A" w14:textId="77777777" w:rsidR="006476D8" w:rsidRPr="007C7920" w:rsidRDefault="006476D8" w:rsidP="00E92750">
      <w:pPr>
        <w:suppressAutoHyphens/>
        <w:autoSpaceDN w:val="0"/>
        <w:spacing w:after="0" w:line="240" w:lineRule="auto"/>
        <w:jc w:val="center"/>
        <w:textAlignment w:val="baseline"/>
        <w:rPr>
          <w:noProof/>
          <w:highlight w:val="yellow"/>
          <w:lang w:eastAsia="hr-HR"/>
        </w:rPr>
      </w:pPr>
    </w:p>
    <w:p w14:paraId="63667EC2" w14:textId="45007CD2" w:rsidR="006C6F4B" w:rsidRPr="007C7920" w:rsidRDefault="006C6F4B" w:rsidP="00E92750">
      <w:pPr>
        <w:suppressAutoHyphens/>
        <w:autoSpaceDN w:val="0"/>
        <w:spacing w:after="0" w:line="240" w:lineRule="auto"/>
        <w:jc w:val="center"/>
        <w:textAlignment w:val="baseline"/>
        <w:rPr>
          <w:noProof/>
          <w:highlight w:val="yellow"/>
          <w:lang w:eastAsia="hr-HR"/>
        </w:rPr>
      </w:pPr>
    </w:p>
    <w:p w14:paraId="323C5C4C" w14:textId="526CC707" w:rsidR="006476D8" w:rsidRPr="007C7920" w:rsidRDefault="006476D8" w:rsidP="00E92750">
      <w:pPr>
        <w:suppressAutoHyphens/>
        <w:autoSpaceDN w:val="0"/>
        <w:spacing w:after="0" w:line="240" w:lineRule="auto"/>
        <w:jc w:val="center"/>
        <w:textAlignment w:val="baseline"/>
        <w:rPr>
          <w:noProof/>
          <w:highlight w:val="yellow"/>
          <w:lang w:eastAsia="hr-HR"/>
        </w:rPr>
      </w:pPr>
    </w:p>
    <w:p w14:paraId="321C2BC4" w14:textId="653E02CD" w:rsidR="00E51D3B" w:rsidRPr="00FD3E38" w:rsidRDefault="00E51D3B" w:rsidP="00E92750">
      <w:pPr>
        <w:suppressAutoHyphens/>
        <w:autoSpaceDN w:val="0"/>
        <w:spacing w:after="0" w:line="240" w:lineRule="auto"/>
        <w:jc w:val="center"/>
        <w:textAlignment w:val="baseline"/>
        <w:rPr>
          <w:noProof/>
          <w:lang w:eastAsia="hr-HR"/>
        </w:rPr>
      </w:pPr>
      <w:r w:rsidRPr="00FD3E38">
        <w:rPr>
          <w:noProof/>
          <w:lang w:eastAsia="hr-HR"/>
        </w:rPr>
        <w:lastRenderedPageBreak/>
        <w:drawing>
          <wp:inline distT="0" distB="0" distL="0" distR="0" wp14:anchorId="16FE6EEE" wp14:editId="39F26EFD">
            <wp:extent cx="4953000" cy="2905125"/>
            <wp:effectExtent l="0" t="0" r="0" b="0"/>
            <wp:docPr id="3" name="Chart 3">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19D6CE" w14:textId="080904C1" w:rsidR="006C6F4B" w:rsidRPr="00FD3E38" w:rsidRDefault="006C6F4B" w:rsidP="00E92750">
      <w:pPr>
        <w:suppressAutoHyphens/>
        <w:autoSpaceDN w:val="0"/>
        <w:spacing w:after="240" w:line="240" w:lineRule="auto"/>
        <w:jc w:val="center"/>
        <w:textAlignment w:val="baseline"/>
        <w:rPr>
          <w:rFonts w:ascii="Calibri" w:eastAsia="Calibri" w:hAnsi="Calibri" w:cs="Times New Roman"/>
        </w:rPr>
      </w:pPr>
      <w:bookmarkStart w:id="60" w:name="_Ref461705925"/>
      <w:bookmarkStart w:id="61" w:name="_Toc468277416"/>
      <w:r w:rsidRPr="00FD3E38">
        <w:rPr>
          <w:b/>
        </w:rPr>
        <w:t xml:space="preserve">Slika </w:t>
      </w:r>
      <w:r w:rsidRPr="00FD3E38">
        <w:rPr>
          <w:b/>
        </w:rPr>
        <w:fldChar w:fldCharType="begin"/>
      </w:r>
      <w:r w:rsidRPr="00FD3E38">
        <w:rPr>
          <w:b/>
        </w:rPr>
        <w:instrText xml:space="preserve"> STYLEREF 1 \s </w:instrText>
      </w:r>
      <w:r w:rsidRPr="00FD3E38">
        <w:rPr>
          <w:b/>
        </w:rPr>
        <w:fldChar w:fldCharType="separate"/>
      </w:r>
      <w:r w:rsidR="009C319B">
        <w:rPr>
          <w:b/>
          <w:noProof/>
        </w:rPr>
        <w:t>4</w:t>
      </w:r>
      <w:r w:rsidRPr="00FD3E38">
        <w:rPr>
          <w:b/>
          <w:noProof/>
        </w:rPr>
        <w:fldChar w:fldCharType="end"/>
      </w:r>
      <w:r w:rsidRPr="00FD3E38">
        <w:rPr>
          <w:b/>
        </w:rPr>
        <w:t>.</w:t>
      </w:r>
      <w:r w:rsidRPr="00FD3E38">
        <w:rPr>
          <w:b/>
        </w:rPr>
        <w:fldChar w:fldCharType="begin"/>
      </w:r>
      <w:r w:rsidRPr="00FD3E38">
        <w:rPr>
          <w:b/>
        </w:rPr>
        <w:instrText xml:space="preserve"> SEQ Slika \* ARABIC \s 1 </w:instrText>
      </w:r>
      <w:r w:rsidRPr="00FD3E38">
        <w:rPr>
          <w:b/>
        </w:rPr>
        <w:fldChar w:fldCharType="separate"/>
      </w:r>
      <w:r w:rsidR="009C319B">
        <w:rPr>
          <w:b/>
          <w:noProof/>
        </w:rPr>
        <w:t>12</w:t>
      </w:r>
      <w:r w:rsidRPr="00FD3E38">
        <w:rPr>
          <w:b/>
          <w:noProof/>
        </w:rPr>
        <w:fldChar w:fldCharType="end"/>
      </w:r>
      <w:bookmarkEnd w:id="60"/>
      <w:r w:rsidRPr="00FD3E38">
        <w:rPr>
          <w:rFonts w:ascii="Calibri" w:eastAsia="Calibri" w:hAnsi="Calibri" w:cs="Times New Roman"/>
          <w:b/>
        </w:rPr>
        <w:t xml:space="preserve"> </w:t>
      </w:r>
      <w:r w:rsidR="008300EC" w:rsidRPr="00FD3E38">
        <w:rPr>
          <w:rFonts w:ascii="Calibri" w:eastAsia="Calibri" w:hAnsi="Calibri" w:cs="Times New Roman"/>
        </w:rPr>
        <w:t>Struktura grijane površine prema energentu kategorije zgrada gradske uprave i mjesne samouprave</w:t>
      </w:r>
      <w:r w:rsidRPr="00FD3E38">
        <w:rPr>
          <w:rFonts w:ascii="Calibri" w:eastAsia="Calibri" w:hAnsi="Calibri" w:cs="Times New Roman"/>
        </w:rPr>
        <w:t xml:space="preserve"> Grada Zagreba</w:t>
      </w:r>
      <w:r w:rsidR="00E51D3B" w:rsidRPr="00FD3E38">
        <w:rPr>
          <w:rFonts w:ascii="Calibri" w:eastAsia="Calibri" w:hAnsi="Calibri" w:cs="Times New Roman"/>
        </w:rPr>
        <w:t xml:space="preserve"> u 2015. godini</w:t>
      </w:r>
      <w:bookmarkEnd w:id="61"/>
    </w:p>
    <w:p w14:paraId="0D4B6363" w14:textId="4E47F286" w:rsidR="00D5281D" w:rsidRPr="00E81205" w:rsidRDefault="006C6F4B" w:rsidP="00E92750">
      <w:pPr>
        <w:suppressAutoHyphens/>
        <w:autoSpaceDN w:val="0"/>
        <w:spacing w:after="240" w:line="240" w:lineRule="auto"/>
        <w:jc w:val="both"/>
        <w:textAlignment w:val="baseline"/>
        <w:rPr>
          <w:rFonts w:ascii="Calibri" w:eastAsia="Calibri" w:hAnsi="Calibri" w:cs="Times New Roman"/>
        </w:rPr>
      </w:pPr>
      <w:r w:rsidRPr="00FD3E38">
        <w:rPr>
          <w:rFonts w:ascii="Calibri" w:eastAsia="Calibri" w:hAnsi="Calibri" w:cs="Times New Roman"/>
        </w:rPr>
        <w:t xml:space="preserve">Gledajući </w:t>
      </w:r>
      <w:r w:rsidR="0044312D" w:rsidRPr="00FD3E38">
        <w:rPr>
          <w:rFonts w:ascii="Calibri" w:eastAsia="Calibri" w:hAnsi="Calibri" w:cs="Times New Roman"/>
        </w:rPr>
        <w:t xml:space="preserve">grijanu površinu prema </w:t>
      </w:r>
      <w:r w:rsidR="00E51D3B" w:rsidRPr="00FD3E38">
        <w:rPr>
          <w:rFonts w:ascii="Calibri" w:eastAsia="Calibri" w:hAnsi="Calibri" w:cs="Times New Roman"/>
        </w:rPr>
        <w:t xml:space="preserve">zastupljenom </w:t>
      </w:r>
      <w:r w:rsidR="0044312D" w:rsidRPr="00FD3E38">
        <w:rPr>
          <w:rFonts w:ascii="Calibri" w:eastAsia="Calibri" w:hAnsi="Calibri" w:cs="Times New Roman"/>
        </w:rPr>
        <w:t>energentu omjer je sljedeći, površin</w:t>
      </w:r>
      <w:r w:rsidR="0090618C" w:rsidRPr="00FD3E38">
        <w:rPr>
          <w:rFonts w:ascii="Calibri" w:eastAsia="Calibri" w:hAnsi="Calibri" w:cs="Times New Roman"/>
        </w:rPr>
        <w:t>a grijana na prirodni plin 55,33%, toplana vrelovod 33,99%,</w:t>
      </w:r>
      <w:r w:rsidR="0044312D" w:rsidRPr="00FD3E38">
        <w:rPr>
          <w:rFonts w:ascii="Calibri" w:eastAsia="Calibri" w:hAnsi="Calibri" w:cs="Times New Roman"/>
        </w:rPr>
        <w:t xml:space="preserve"> lož ulje 4,88%, </w:t>
      </w:r>
      <w:r w:rsidR="0090618C" w:rsidRPr="00FD3E38">
        <w:rPr>
          <w:rFonts w:ascii="Calibri" w:eastAsia="Calibri" w:hAnsi="Calibri" w:cs="Times New Roman"/>
        </w:rPr>
        <w:t xml:space="preserve">toplana para 4%, </w:t>
      </w:r>
      <w:r w:rsidR="006C63E2" w:rsidRPr="00FD3E38">
        <w:rPr>
          <w:rFonts w:ascii="Calibri" w:eastAsia="Calibri" w:hAnsi="Calibri" w:cs="Times New Roman"/>
        </w:rPr>
        <w:t>dok 1,80</w:t>
      </w:r>
      <w:r w:rsidR="0044312D" w:rsidRPr="00FD3E38">
        <w:rPr>
          <w:rFonts w:ascii="Calibri" w:eastAsia="Calibri" w:hAnsi="Calibri" w:cs="Times New Roman"/>
        </w:rPr>
        <w:t>% s</w:t>
      </w:r>
      <w:r w:rsidR="006C63E2" w:rsidRPr="00FD3E38">
        <w:rPr>
          <w:rFonts w:ascii="Calibri" w:eastAsia="Calibri" w:hAnsi="Calibri" w:cs="Times New Roman"/>
        </w:rPr>
        <w:t>e odnosi na električnu energiju i</w:t>
      </w:r>
      <w:r w:rsidR="0044312D" w:rsidRPr="00FD3E38">
        <w:rPr>
          <w:rFonts w:ascii="Calibri" w:eastAsia="Calibri" w:hAnsi="Calibri" w:cs="Times New Roman"/>
        </w:rPr>
        <w:t xml:space="preserve"> biomasu – drvo.</w:t>
      </w:r>
      <w:r w:rsidR="00D5281D" w:rsidRPr="00E81205">
        <w:rPr>
          <w:rFonts w:ascii="Calibri" w:eastAsia="Calibri" w:hAnsi="Calibri" w:cs="Times New Roman"/>
        </w:rPr>
        <w:br w:type="page"/>
      </w:r>
    </w:p>
    <w:p w14:paraId="01F5671F" w14:textId="221AD3A1" w:rsidR="0044312D" w:rsidRPr="006A1393" w:rsidRDefault="00B511C7" w:rsidP="00E92750">
      <w:pPr>
        <w:pStyle w:val="Heading3"/>
        <w:spacing w:after="240" w:line="240" w:lineRule="auto"/>
        <w:jc w:val="both"/>
        <w:rPr>
          <w:rFonts w:eastAsia="Calibri"/>
        </w:rPr>
      </w:pPr>
      <w:bookmarkStart w:id="62" w:name="_Toc468345351"/>
      <w:r w:rsidRPr="006A1393">
        <w:rPr>
          <w:rFonts w:eastAsia="Calibri"/>
        </w:rPr>
        <w:lastRenderedPageBreak/>
        <w:t>Sportski objekti</w:t>
      </w:r>
      <w:bookmarkEnd w:id="62"/>
    </w:p>
    <w:p w14:paraId="6A844926" w14:textId="40975529" w:rsidR="00FD0FAD" w:rsidRPr="00F83574" w:rsidRDefault="00581688" w:rsidP="00F83574">
      <w:pPr>
        <w:spacing w:line="240" w:lineRule="auto"/>
        <w:jc w:val="both"/>
      </w:pPr>
      <w:r w:rsidRPr="006A1393">
        <w:t xml:space="preserve">Ustanova Upravljanje sportskim objektima obavlja sportsku i rekreativnu djelatnost, a formirana je </w:t>
      </w:r>
      <w:r w:rsidR="00602322" w:rsidRPr="006A1393">
        <w:t>krajem</w:t>
      </w:r>
      <w:r w:rsidRPr="006A1393">
        <w:t xml:space="preserve"> 2013. godine iz ranije Podružnice Upravljanje sportskim objektima koja</w:t>
      </w:r>
      <w:r w:rsidR="00602322" w:rsidRPr="006A1393">
        <w:t xml:space="preserve"> je bila u sastavu </w:t>
      </w:r>
      <w:r w:rsidR="00602322" w:rsidRPr="00F175E5">
        <w:t>H</w:t>
      </w:r>
      <w:r w:rsidR="00F83574">
        <w:t xml:space="preserve">oldinga. </w:t>
      </w:r>
      <w:r w:rsidR="00FD0FAD" w:rsidRPr="003828CF">
        <w:rPr>
          <w:rFonts w:ascii="Calibri" w:eastAsia="Calibri" w:hAnsi="Calibri" w:cs="Times New Roman"/>
        </w:rPr>
        <w:t>Ukupan broj obje</w:t>
      </w:r>
      <w:r w:rsidR="00E27DF0" w:rsidRPr="003828CF">
        <w:rPr>
          <w:rFonts w:ascii="Calibri" w:eastAsia="Calibri" w:hAnsi="Calibri" w:cs="Times New Roman"/>
        </w:rPr>
        <w:t>kata ove</w:t>
      </w:r>
      <w:r w:rsidR="00FD0FAD" w:rsidRPr="003828CF">
        <w:rPr>
          <w:rFonts w:ascii="Calibri" w:eastAsia="Calibri" w:hAnsi="Calibri" w:cs="Times New Roman"/>
        </w:rPr>
        <w:t xml:space="preserve"> kategorije</w:t>
      </w:r>
      <w:r w:rsidR="00E27DF0" w:rsidRPr="003828CF">
        <w:rPr>
          <w:rFonts w:ascii="Calibri" w:eastAsia="Calibri" w:hAnsi="Calibri" w:cs="Times New Roman"/>
        </w:rPr>
        <w:t xml:space="preserve"> za koju Grad prati potrošnju</w:t>
      </w:r>
      <w:r w:rsidR="00FD0FAD" w:rsidRPr="003828CF">
        <w:rPr>
          <w:rFonts w:ascii="Calibri" w:eastAsia="Calibri" w:hAnsi="Calibri" w:cs="Times New Roman"/>
        </w:rPr>
        <w:t xml:space="preserve"> </w:t>
      </w:r>
      <w:r w:rsidR="00645C7D" w:rsidRPr="003828CF">
        <w:rPr>
          <w:rFonts w:ascii="Calibri" w:eastAsia="Calibri" w:hAnsi="Calibri" w:cs="Times New Roman"/>
        </w:rPr>
        <w:t xml:space="preserve">je </w:t>
      </w:r>
      <w:r w:rsidR="00D025A9" w:rsidRPr="003828CF">
        <w:rPr>
          <w:rFonts w:ascii="Calibri" w:eastAsia="Calibri" w:hAnsi="Calibri" w:cs="Times New Roman"/>
        </w:rPr>
        <w:t>deset</w:t>
      </w:r>
      <w:r w:rsidR="00FD0FAD" w:rsidRPr="003828CF">
        <w:rPr>
          <w:rFonts w:ascii="Calibri" w:eastAsia="Calibri" w:hAnsi="Calibri" w:cs="Times New Roman"/>
        </w:rPr>
        <w:t>, ukupne površine</w:t>
      </w:r>
      <w:r w:rsidR="003828CF" w:rsidRPr="003828CF">
        <w:rPr>
          <w:rFonts w:ascii="Calibri" w:hAnsi="Calibri" w:cs="Calibri"/>
        </w:rPr>
        <w:t xml:space="preserve"> </w:t>
      </w:r>
      <w:r w:rsidR="003828CF" w:rsidRPr="003828CF">
        <w:rPr>
          <w:rFonts w:ascii="Calibri" w:eastAsia="Times New Roman" w:hAnsi="Calibri" w:cs="Calibri"/>
          <w:lang w:eastAsia="hr-HR"/>
        </w:rPr>
        <w:t>84 266,09</w:t>
      </w:r>
      <w:r w:rsidR="00FD0FAD" w:rsidRPr="003828CF">
        <w:rPr>
          <w:rFonts w:ascii="Calibri" w:eastAsia="Calibri" w:hAnsi="Calibri" w:cs="Times New Roman"/>
        </w:rPr>
        <w:t xml:space="preserve"> m</w:t>
      </w:r>
      <w:r w:rsidR="00FD0FAD" w:rsidRPr="003828CF">
        <w:rPr>
          <w:rFonts w:ascii="Calibri" w:eastAsia="Calibri" w:hAnsi="Calibri" w:cs="Times New Roman"/>
          <w:vertAlign w:val="superscript"/>
        </w:rPr>
        <w:t>2</w:t>
      </w:r>
      <w:r w:rsidR="003828CF" w:rsidRPr="003828CF">
        <w:rPr>
          <w:rFonts w:ascii="Calibri" w:eastAsia="Calibri" w:hAnsi="Calibri" w:cs="Times New Roman"/>
        </w:rPr>
        <w:t>.</w:t>
      </w:r>
    </w:p>
    <w:p w14:paraId="6FF73907" w14:textId="09423397" w:rsidR="00FD0FAD" w:rsidRPr="00F175E5" w:rsidRDefault="00FD0FAD" w:rsidP="00E92750">
      <w:pPr>
        <w:suppressAutoHyphens/>
        <w:autoSpaceDN w:val="0"/>
        <w:spacing w:after="240" w:line="240" w:lineRule="auto"/>
        <w:jc w:val="both"/>
        <w:textAlignment w:val="baseline"/>
        <w:rPr>
          <w:rFonts w:ascii="Calibri" w:eastAsia="Calibri" w:hAnsi="Calibri" w:cs="Times New Roman"/>
        </w:rPr>
      </w:pPr>
      <w:r w:rsidRPr="00F175E5">
        <w:rPr>
          <w:rFonts w:ascii="Calibri" w:eastAsia="Calibri" w:hAnsi="Calibri" w:cs="Times New Roman"/>
        </w:rPr>
        <w:t xml:space="preserve">U kategoriji </w:t>
      </w:r>
      <w:r w:rsidR="001522D1" w:rsidRPr="00F175E5">
        <w:rPr>
          <w:rFonts w:ascii="Calibri" w:eastAsia="Calibri" w:hAnsi="Calibri" w:cs="Times New Roman"/>
        </w:rPr>
        <w:t>sportski objekti</w:t>
      </w:r>
      <w:r w:rsidRPr="00F175E5">
        <w:rPr>
          <w:rFonts w:ascii="Calibri" w:eastAsia="Calibri" w:hAnsi="Calibri" w:cs="Times New Roman"/>
        </w:rPr>
        <w:t xml:space="preserve"> u 2015. godini</w:t>
      </w:r>
      <w:r w:rsidR="001522D1" w:rsidRPr="00F175E5">
        <w:rPr>
          <w:rFonts w:ascii="Calibri" w:eastAsia="Calibri" w:hAnsi="Calibri" w:cs="Times New Roman"/>
        </w:rPr>
        <w:t xml:space="preserve"> ukupno je potrošeno </w:t>
      </w:r>
      <w:r w:rsidR="0047649E">
        <w:rPr>
          <w:rFonts w:ascii="Calibri" w:eastAsia="Calibri" w:hAnsi="Calibri" w:cs="Times New Roman"/>
        </w:rPr>
        <w:t xml:space="preserve">7 650 842 </w:t>
      </w:r>
      <w:r w:rsidRPr="00F175E5">
        <w:rPr>
          <w:rFonts w:ascii="Calibri" w:eastAsia="Calibri" w:hAnsi="Calibri" w:cs="Times New Roman"/>
        </w:rPr>
        <w:t>kWh električne energije za ne-toplinske namjene, što</w:t>
      </w:r>
      <w:r w:rsidR="001522D1" w:rsidRPr="00F175E5">
        <w:rPr>
          <w:rFonts w:ascii="Calibri" w:eastAsia="Calibri" w:hAnsi="Calibri" w:cs="Times New Roman"/>
        </w:rPr>
        <w:t xml:space="preserve"> </w:t>
      </w:r>
      <w:r w:rsidR="0047649E">
        <w:rPr>
          <w:rFonts w:ascii="Calibri" w:eastAsia="Calibri" w:hAnsi="Calibri" w:cs="Times New Roman"/>
        </w:rPr>
        <w:t>daje specifičnu potrošnju od 90,79</w:t>
      </w:r>
      <w:r w:rsidRPr="00F175E5">
        <w:rPr>
          <w:rFonts w:ascii="Calibri" w:eastAsia="Calibri" w:hAnsi="Calibri" w:cs="Times New Roman"/>
        </w:rPr>
        <w:t xml:space="preserve"> kWh/m</w:t>
      </w:r>
      <w:r w:rsidRPr="00F175E5">
        <w:rPr>
          <w:rFonts w:ascii="Calibri" w:eastAsia="Calibri" w:hAnsi="Calibri" w:cs="Times New Roman"/>
          <w:vertAlign w:val="superscript"/>
        </w:rPr>
        <w:t>2</w:t>
      </w:r>
      <w:r w:rsidRPr="00F175E5">
        <w:rPr>
          <w:rFonts w:ascii="Calibri" w:eastAsia="Calibri" w:hAnsi="Calibri" w:cs="Times New Roman"/>
        </w:rPr>
        <w:t>.</w:t>
      </w:r>
    </w:p>
    <w:p w14:paraId="15060F5A" w14:textId="2A07880A" w:rsidR="00581688" w:rsidRPr="00E10FF1" w:rsidRDefault="00581688" w:rsidP="00E92750">
      <w:pPr>
        <w:suppressAutoHyphens/>
        <w:autoSpaceDN w:val="0"/>
        <w:spacing w:after="240" w:line="240" w:lineRule="auto"/>
        <w:jc w:val="both"/>
        <w:textAlignment w:val="baseline"/>
        <w:rPr>
          <w:rFonts w:ascii="Calibri" w:eastAsia="Calibri" w:hAnsi="Calibri" w:cs="Times New Roman"/>
        </w:rPr>
      </w:pPr>
      <w:r w:rsidRPr="00E10FF1">
        <w:rPr>
          <w:rFonts w:ascii="Calibri" w:eastAsia="Calibri" w:hAnsi="Calibri" w:cs="Times New Roman"/>
        </w:rPr>
        <w:t xml:space="preserve">U kategoriji </w:t>
      </w:r>
      <w:r w:rsidR="001522D1" w:rsidRPr="00E10FF1">
        <w:rPr>
          <w:rFonts w:ascii="Calibri" w:eastAsia="Calibri" w:hAnsi="Calibri" w:cs="Times New Roman"/>
        </w:rPr>
        <w:t>sportski objekti</w:t>
      </w:r>
      <w:r w:rsidRPr="00E10FF1">
        <w:rPr>
          <w:rFonts w:ascii="Calibri" w:eastAsia="Calibri" w:hAnsi="Calibri" w:cs="Times New Roman"/>
        </w:rPr>
        <w:t xml:space="preserve"> u 2015. godini ukupna potrošnja top</w:t>
      </w:r>
      <w:r w:rsidR="00774FB8">
        <w:rPr>
          <w:rFonts w:ascii="Calibri" w:eastAsia="Calibri" w:hAnsi="Calibri" w:cs="Times New Roman"/>
        </w:rPr>
        <w:t>linske energije iznosi 19 519</w:t>
      </w:r>
      <w:r w:rsidR="00F175E5" w:rsidRPr="00E10FF1">
        <w:rPr>
          <w:rFonts w:ascii="Calibri" w:eastAsia="Calibri" w:hAnsi="Calibri" w:cs="Times New Roman"/>
        </w:rPr>
        <w:t xml:space="preserve"> </w:t>
      </w:r>
      <w:r w:rsidR="0051250C" w:rsidRPr="00E10FF1">
        <w:rPr>
          <w:rFonts w:ascii="Calibri" w:eastAsia="Calibri" w:hAnsi="Calibri" w:cs="Times New Roman"/>
        </w:rPr>
        <w:t>MWh, što daje specifičnu potrošnju</w:t>
      </w:r>
      <w:r w:rsidR="00B24182" w:rsidRPr="00E10FF1">
        <w:rPr>
          <w:rFonts w:ascii="Calibri" w:eastAsia="Calibri" w:hAnsi="Calibri" w:cs="Times New Roman"/>
        </w:rPr>
        <w:t xml:space="preserve"> korisne energije za grijanje</w:t>
      </w:r>
      <w:r w:rsidR="00774FB8">
        <w:rPr>
          <w:rFonts w:ascii="Calibri" w:eastAsia="Calibri" w:hAnsi="Calibri" w:cs="Times New Roman"/>
        </w:rPr>
        <w:t xml:space="preserve"> od 231,64</w:t>
      </w:r>
      <w:r w:rsidR="0051250C" w:rsidRPr="00E10FF1">
        <w:rPr>
          <w:rFonts w:ascii="Calibri" w:eastAsia="Calibri" w:hAnsi="Calibri" w:cs="Times New Roman"/>
        </w:rPr>
        <w:t xml:space="preserve"> kWh/m</w:t>
      </w:r>
      <w:r w:rsidR="0051250C" w:rsidRPr="00E10FF1">
        <w:rPr>
          <w:rFonts w:ascii="Calibri" w:eastAsia="Calibri" w:hAnsi="Calibri" w:cs="Times New Roman"/>
          <w:vertAlign w:val="superscript"/>
        </w:rPr>
        <w:t>2</w:t>
      </w:r>
      <w:r w:rsidR="0051250C" w:rsidRPr="00E10FF1">
        <w:rPr>
          <w:rFonts w:ascii="Calibri" w:eastAsia="Calibri" w:hAnsi="Calibri" w:cs="Times New Roman"/>
        </w:rPr>
        <w:t>.</w:t>
      </w:r>
      <w:r w:rsidRPr="00E10FF1">
        <w:rPr>
          <w:rFonts w:ascii="Calibri" w:eastAsia="Calibri" w:hAnsi="Calibri" w:cs="Times New Roman"/>
        </w:rPr>
        <w:t xml:space="preserve"> </w:t>
      </w:r>
      <w:r w:rsidR="009F3092" w:rsidRPr="00E10FF1">
        <w:rPr>
          <w:rFonts w:ascii="Calibri" w:eastAsia="Calibri" w:hAnsi="Calibri" w:cs="Times New Roman"/>
        </w:rPr>
        <w:t xml:space="preserve">Prikaz </w:t>
      </w:r>
      <w:r w:rsidR="00774FB8">
        <w:rPr>
          <w:rFonts w:ascii="Calibri" w:eastAsia="Calibri" w:hAnsi="Calibri" w:cs="Times New Roman"/>
        </w:rPr>
        <w:t>parametara potrošnje toplinske energije</w:t>
      </w:r>
      <w:r w:rsidR="009F3092" w:rsidRPr="00E10FF1">
        <w:rPr>
          <w:rFonts w:ascii="Calibri" w:eastAsia="Calibri" w:hAnsi="Calibri" w:cs="Times New Roman"/>
        </w:rPr>
        <w:t xml:space="preserve"> dan </w:t>
      </w:r>
      <w:r w:rsidR="00B1112B" w:rsidRPr="00E10FF1">
        <w:rPr>
          <w:rFonts w:ascii="Calibri" w:eastAsia="Calibri" w:hAnsi="Calibri" w:cs="Times New Roman"/>
        </w:rPr>
        <w:t xml:space="preserve">je u </w:t>
      </w:r>
      <w:r w:rsidR="00211380" w:rsidRPr="00E10FF1">
        <w:rPr>
          <w:rFonts w:ascii="Calibri" w:eastAsia="Calibri" w:hAnsi="Calibri" w:cs="Times New Roman"/>
        </w:rPr>
        <w:fldChar w:fldCharType="begin"/>
      </w:r>
      <w:r w:rsidR="00211380" w:rsidRPr="00E10FF1">
        <w:rPr>
          <w:rFonts w:ascii="Calibri" w:eastAsia="Calibri" w:hAnsi="Calibri" w:cs="Times New Roman"/>
        </w:rPr>
        <w:instrText xml:space="preserve"> REF _Ref462213528 \h </w:instrText>
      </w:r>
      <w:r w:rsidR="005E0ADE" w:rsidRPr="00E10FF1">
        <w:rPr>
          <w:rFonts w:ascii="Calibri" w:eastAsia="Calibri" w:hAnsi="Calibri" w:cs="Times New Roman"/>
        </w:rPr>
        <w:instrText xml:space="preserve"> \* MERGEFORMAT </w:instrText>
      </w:r>
      <w:r w:rsidR="00211380" w:rsidRPr="00E10FF1">
        <w:rPr>
          <w:rFonts w:ascii="Calibri" w:eastAsia="Calibri" w:hAnsi="Calibri" w:cs="Times New Roman"/>
        </w:rPr>
      </w:r>
      <w:r w:rsidR="00211380" w:rsidRPr="00E10FF1">
        <w:rPr>
          <w:rFonts w:ascii="Calibri" w:eastAsia="Calibri" w:hAnsi="Calibri" w:cs="Times New Roman"/>
        </w:rPr>
        <w:fldChar w:fldCharType="separate"/>
      </w:r>
      <w:r w:rsidR="00A50BA5">
        <w:rPr>
          <w:rFonts w:eastAsia="Calibri" w:cs="Times New Roman"/>
          <w:b/>
          <w:bCs/>
        </w:rPr>
        <w:t>Tablici</w:t>
      </w:r>
      <w:r w:rsidR="009C319B" w:rsidRPr="00E10FF1">
        <w:rPr>
          <w:rFonts w:eastAsia="Calibri" w:cs="Times New Roman"/>
          <w:b/>
          <w:bCs/>
        </w:rPr>
        <w:t xml:space="preserve"> </w:t>
      </w:r>
      <w:r w:rsidR="009C319B">
        <w:rPr>
          <w:rFonts w:eastAsia="Calibri" w:cs="Times New Roman"/>
          <w:b/>
          <w:bCs/>
          <w:noProof/>
        </w:rPr>
        <w:t>4</w:t>
      </w:r>
      <w:r w:rsidR="009C319B" w:rsidRPr="00E10FF1">
        <w:rPr>
          <w:rFonts w:eastAsia="Calibri" w:cs="Times New Roman"/>
          <w:b/>
          <w:bCs/>
          <w:noProof/>
        </w:rPr>
        <w:t>.</w:t>
      </w:r>
      <w:r w:rsidR="009C319B">
        <w:rPr>
          <w:rFonts w:eastAsia="Calibri" w:cs="Times New Roman"/>
          <w:b/>
          <w:bCs/>
          <w:noProof/>
        </w:rPr>
        <w:t>5</w:t>
      </w:r>
      <w:r w:rsidR="00211380" w:rsidRPr="00E10FF1">
        <w:rPr>
          <w:rFonts w:ascii="Calibri" w:eastAsia="Calibri" w:hAnsi="Calibri" w:cs="Times New Roman"/>
        </w:rPr>
        <w:fldChar w:fldCharType="end"/>
      </w:r>
      <w:r w:rsidR="00B24182" w:rsidRPr="00E10FF1">
        <w:rPr>
          <w:rFonts w:ascii="Calibri" w:eastAsia="Calibri" w:hAnsi="Calibri" w:cs="Times New Roman"/>
        </w:rPr>
        <w:t xml:space="preserve"> i na</w:t>
      </w:r>
      <w:r w:rsidR="003F0BB7" w:rsidRPr="00E10FF1">
        <w:rPr>
          <w:rFonts w:ascii="Calibri" w:eastAsia="Calibri" w:hAnsi="Calibri" w:cs="Times New Roman"/>
        </w:rPr>
        <w:t xml:space="preserve"> </w:t>
      </w:r>
      <w:r w:rsidR="00211380" w:rsidRPr="00E10FF1">
        <w:rPr>
          <w:rFonts w:ascii="Calibri" w:eastAsia="Calibri" w:hAnsi="Calibri" w:cs="Times New Roman"/>
        </w:rPr>
        <w:fldChar w:fldCharType="begin"/>
      </w:r>
      <w:r w:rsidR="00211380" w:rsidRPr="00E10FF1">
        <w:rPr>
          <w:rFonts w:ascii="Calibri" w:eastAsia="Calibri" w:hAnsi="Calibri" w:cs="Times New Roman"/>
        </w:rPr>
        <w:instrText xml:space="preserve"> REF _Ref462213544 \h </w:instrText>
      </w:r>
      <w:r w:rsidR="005E0ADE" w:rsidRPr="00E10FF1">
        <w:rPr>
          <w:rFonts w:ascii="Calibri" w:eastAsia="Calibri" w:hAnsi="Calibri" w:cs="Times New Roman"/>
        </w:rPr>
        <w:instrText xml:space="preserve"> \* MERGEFORMAT </w:instrText>
      </w:r>
      <w:r w:rsidR="00211380" w:rsidRPr="00E10FF1">
        <w:rPr>
          <w:rFonts w:ascii="Calibri" w:eastAsia="Calibri" w:hAnsi="Calibri" w:cs="Times New Roman"/>
        </w:rPr>
      </w:r>
      <w:r w:rsidR="00211380" w:rsidRPr="00E10FF1">
        <w:rPr>
          <w:rFonts w:ascii="Calibri" w:eastAsia="Calibri" w:hAnsi="Calibri" w:cs="Times New Roman"/>
        </w:rPr>
        <w:fldChar w:fldCharType="separate"/>
      </w:r>
      <w:r w:rsidR="00A50BA5">
        <w:rPr>
          <w:b/>
        </w:rPr>
        <w:t>Slici</w:t>
      </w:r>
      <w:r w:rsidR="009C319B" w:rsidRPr="00E10FF1">
        <w:rPr>
          <w:b/>
        </w:rPr>
        <w:t xml:space="preserve"> </w:t>
      </w:r>
      <w:r w:rsidR="009C319B">
        <w:rPr>
          <w:b/>
          <w:noProof/>
        </w:rPr>
        <w:t>4</w:t>
      </w:r>
      <w:r w:rsidR="009C319B" w:rsidRPr="00E10FF1">
        <w:rPr>
          <w:b/>
          <w:noProof/>
        </w:rPr>
        <w:t>.</w:t>
      </w:r>
      <w:r w:rsidR="009C319B">
        <w:rPr>
          <w:b/>
          <w:noProof/>
        </w:rPr>
        <w:t>13</w:t>
      </w:r>
      <w:r w:rsidR="00211380" w:rsidRPr="00E10FF1">
        <w:rPr>
          <w:rFonts w:ascii="Calibri" w:eastAsia="Calibri" w:hAnsi="Calibri" w:cs="Times New Roman"/>
        </w:rPr>
        <w:fldChar w:fldCharType="end"/>
      </w:r>
      <w:r w:rsidRPr="00E10FF1">
        <w:rPr>
          <w:rFonts w:ascii="Calibri" w:eastAsia="Calibri" w:hAnsi="Calibri" w:cs="Times New Roman"/>
        </w:rPr>
        <w:t>.</w:t>
      </w:r>
    </w:p>
    <w:p w14:paraId="21B9202F" w14:textId="6C2201AE" w:rsidR="00F027CB" w:rsidRDefault="00581688" w:rsidP="00E92750">
      <w:pPr>
        <w:suppressAutoHyphens/>
        <w:autoSpaceDN w:val="0"/>
        <w:spacing w:after="0" w:line="240" w:lineRule="auto"/>
        <w:jc w:val="both"/>
        <w:textAlignment w:val="baseline"/>
        <w:rPr>
          <w:rFonts w:ascii="Calibri" w:eastAsia="Calibri" w:hAnsi="Calibri" w:cs="Times New Roman"/>
        </w:rPr>
      </w:pPr>
      <w:bookmarkStart w:id="63" w:name="_Ref462213528"/>
      <w:bookmarkStart w:id="64" w:name="_Toc468277497"/>
      <w:r w:rsidRPr="00E10FF1">
        <w:rPr>
          <w:rFonts w:eastAsia="Calibri" w:cs="Times New Roman"/>
          <w:b/>
          <w:bCs/>
        </w:rPr>
        <w:t xml:space="preserve">Tablica </w:t>
      </w:r>
      <w:r w:rsidR="000B3499" w:rsidRPr="00E10FF1">
        <w:rPr>
          <w:rFonts w:eastAsia="Calibri" w:cs="Times New Roman"/>
          <w:b/>
          <w:bCs/>
        </w:rPr>
        <w:fldChar w:fldCharType="begin"/>
      </w:r>
      <w:r w:rsidR="000B3499" w:rsidRPr="00E10FF1">
        <w:rPr>
          <w:rFonts w:eastAsia="Calibri" w:cs="Times New Roman"/>
          <w:b/>
          <w:bCs/>
        </w:rPr>
        <w:instrText xml:space="preserve"> STYLEREF 1 \s </w:instrText>
      </w:r>
      <w:r w:rsidR="000B3499" w:rsidRPr="00E10FF1">
        <w:rPr>
          <w:rFonts w:eastAsia="Calibri" w:cs="Times New Roman"/>
          <w:b/>
          <w:bCs/>
        </w:rPr>
        <w:fldChar w:fldCharType="separate"/>
      </w:r>
      <w:r w:rsidR="009C319B">
        <w:rPr>
          <w:rFonts w:eastAsia="Calibri" w:cs="Times New Roman"/>
          <w:b/>
          <w:bCs/>
          <w:noProof/>
        </w:rPr>
        <w:t>4</w:t>
      </w:r>
      <w:r w:rsidR="000B3499" w:rsidRPr="00E10FF1">
        <w:rPr>
          <w:rFonts w:eastAsia="Calibri" w:cs="Times New Roman"/>
          <w:b/>
          <w:bCs/>
        </w:rPr>
        <w:fldChar w:fldCharType="end"/>
      </w:r>
      <w:r w:rsidR="000B3499" w:rsidRPr="00E10FF1">
        <w:rPr>
          <w:rFonts w:eastAsia="Calibri" w:cs="Times New Roman"/>
          <w:b/>
          <w:bCs/>
        </w:rPr>
        <w:t>.</w:t>
      </w:r>
      <w:r w:rsidR="000B3499" w:rsidRPr="00E10FF1">
        <w:rPr>
          <w:rFonts w:eastAsia="Calibri" w:cs="Times New Roman"/>
          <w:b/>
          <w:bCs/>
        </w:rPr>
        <w:fldChar w:fldCharType="begin"/>
      </w:r>
      <w:r w:rsidR="000B3499" w:rsidRPr="00E10FF1">
        <w:rPr>
          <w:rFonts w:eastAsia="Calibri" w:cs="Times New Roman"/>
          <w:b/>
          <w:bCs/>
        </w:rPr>
        <w:instrText xml:space="preserve"> SEQ Tablica \* ARABIC \s 1 </w:instrText>
      </w:r>
      <w:r w:rsidR="000B3499" w:rsidRPr="00E10FF1">
        <w:rPr>
          <w:rFonts w:eastAsia="Calibri" w:cs="Times New Roman"/>
          <w:b/>
          <w:bCs/>
        </w:rPr>
        <w:fldChar w:fldCharType="separate"/>
      </w:r>
      <w:r w:rsidR="009C319B">
        <w:rPr>
          <w:rFonts w:eastAsia="Calibri" w:cs="Times New Roman"/>
          <w:b/>
          <w:bCs/>
          <w:noProof/>
        </w:rPr>
        <w:t>5</w:t>
      </w:r>
      <w:r w:rsidR="000B3499" w:rsidRPr="00E10FF1">
        <w:rPr>
          <w:rFonts w:eastAsia="Calibri" w:cs="Times New Roman"/>
          <w:b/>
          <w:bCs/>
        </w:rPr>
        <w:fldChar w:fldCharType="end"/>
      </w:r>
      <w:bookmarkEnd w:id="63"/>
      <w:r w:rsidRPr="00E10FF1">
        <w:rPr>
          <w:rFonts w:eastAsia="Calibri" w:cs="Times New Roman"/>
          <w:b/>
          <w:bCs/>
        </w:rPr>
        <w:t xml:space="preserve"> </w:t>
      </w:r>
      <w:r w:rsidR="00F027CB" w:rsidRPr="00AE695B">
        <w:rPr>
          <w:rFonts w:ascii="Calibri" w:eastAsia="Calibri" w:hAnsi="Calibri" w:cs="Times New Roman"/>
        </w:rPr>
        <w:t xml:space="preserve">Parametri potrošnje toplinske energije kategorije </w:t>
      </w:r>
      <w:r w:rsidR="00F027CB">
        <w:rPr>
          <w:rFonts w:ascii="Calibri" w:eastAsia="Calibri" w:hAnsi="Calibri" w:cs="Times New Roman"/>
        </w:rPr>
        <w:t>sportski objekti</w:t>
      </w:r>
      <w:r w:rsidR="00F027CB" w:rsidRPr="00AE695B">
        <w:rPr>
          <w:rFonts w:ascii="Calibri" w:eastAsia="Calibri" w:hAnsi="Calibri" w:cs="Times New Roman"/>
        </w:rPr>
        <w:t xml:space="preserve"> Grada Zagreba u 2015. </w:t>
      </w:r>
      <w:r w:rsidR="00F027CB">
        <w:rPr>
          <w:rFonts w:ascii="Calibri" w:eastAsia="Calibri" w:hAnsi="Calibri" w:cs="Times New Roman"/>
        </w:rPr>
        <w:t>g</w:t>
      </w:r>
      <w:r w:rsidR="00F027CB" w:rsidRPr="00AE695B">
        <w:rPr>
          <w:rFonts w:ascii="Calibri" w:eastAsia="Calibri" w:hAnsi="Calibri" w:cs="Times New Roman"/>
        </w:rPr>
        <w:t>odini</w:t>
      </w:r>
      <w:bookmarkEnd w:id="64"/>
    </w:p>
    <w:tbl>
      <w:tblPr>
        <w:tblW w:w="4884" w:type="pct"/>
        <w:tblInd w:w="108" w:type="dxa"/>
        <w:tblLook w:val="04A0" w:firstRow="1" w:lastRow="0" w:firstColumn="1" w:lastColumn="0" w:noHBand="0" w:noVBand="1"/>
      </w:tblPr>
      <w:tblGrid>
        <w:gridCol w:w="1728"/>
        <w:gridCol w:w="2311"/>
        <w:gridCol w:w="2197"/>
        <w:gridCol w:w="2616"/>
      </w:tblGrid>
      <w:tr w:rsidR="00774FB8" w:rsidRPr="00774FB8" w14:paraId="09F5BF93" w14:textId="77777777" w:rsidTr="00656873">
        <w:trPr>
          <w:trHeight w:val="555"/>
        </w:trPr>
        <w:tc>
          <w:tcPr>
            <w:tcW w:w="95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E6C669B" w14:textId="77777777" w:rsidR="00774FB8" w:rsidRPr="00774FB8" w:rsidRDefault="00774FB8" w:rsidP="00774FB8">
            <w:pPr>
              <w:spacing w:after="0" w:line="240" w:lineRule="auto"/>
              <w:rPr>
                <w:rFonts w:ascii="Calibri" w:eastAsia="Times New Roman" w:hAnsi="Calibri" w:cs="Calibri"/>
                <w:b/>
                <w:bCs/>
                <w:color w:val="000000"/>
                <w:sz w:val="20"/>
                <w:szCs w:val="20"/>
                <w:lang w:eastAsia="hr-HR"/>
              </w:rPr>
            </w:pPr>
            <w:r w:rsidRPr="00774FB8">
              <w:rPr>
                <w:rFonts w:ascii="Calibri" w:eastAsia="Times New Roman" w:hAnsi="Calibri" w:cs="Calibri"/>
                <w:b/>
                <w:bCs/>
                <w:color w:val="000000"/>
                <w:sz w:val="20"/>
                <w:szCs w:val="20"/>
                <w:lang w:eastAsia="hr-HR"/>
              </w:rPr>
              <w:t>Energent</w:t>
            </w:r>
          </w:p>
        </w:tc>
        <w:tc>
          <w:tcPr>
            <w:tcW w:w="1313" w:type="pct"/>
            <w:tcBorders>
              <w:top w:val="single" w:sz="4" w:space="0" w:color="auto"/>
              <w:left w:val="nil"/>
              <w:bottom w:val="single" w:sz="4" w:space="0" w:color="auto"/>
              <w:right w:val="single" w:sz="4" w:space="0" w:color="auto"/>
            </w:tcBorders>
            <w:shd w:val="clear" w:color="000000" w:fill="D9D9D9"/>
            <w:vAlign w:val="center"/>
            <w:hideMark/>
          </w:tcPr>
          <w:p w14:paraId="1FA95134" w14:textId="77777777" w:rsidR="00774FB8" w:rsidRPr="00774FB8" w:rsidRDefault="00774FB8" w:rsidP="00774FB8">
            <w:pPr>
              <w:spacing w:after="0" w:line="240" w:lineRule="auto"/>
              <w:jc w:val="center"/>
              <w:rPr>
                <w:rFonts w:ascii="Calibri" w:eastAsia="Times New Roman" w:hAnsi="Calibri" w:cs="Calibri"/>
                <w:b/>
                <w:bCs/>
                <w:color w:val="000000"/>
                <w:sz w:val="20"/>
                <w:szCs w:val="20"/>
                <w:lang w:eastAsia="hr-HR"/>
              </w:rPr>
            </w:pPr>
            <w:r w:rsidRPr="00774FB8">
              <w:rPr>
                <w:rFonts w:ascii="Calibri" w:eastAsia="Times New Roman" w:hAnsi="Calibri" w:cs="Calibri"/>
                <w:b/>
                <w:bCs/>
                <w:color w:val="000000"/>
                <w:sz w:val="20"/>
                <w:szCs w:val="20"/>
                <w:lang w:eastAsia="hr-HR"/>
              </w:rPr>
              <w:t>Ukupna grijana površina (m</w:t>
            </w:r>
            <w:r w:rsidRPr="00774FB8">
              <w:rPr>
                <w:rFonts w:ascii="Calibri" w:eastAsia="Times New Roman" w:hAnsi="Calibri" w:cs="Calibri"/>
                <w:b/>
                <w:bCs/>
                <w:color w:val="000000"/>
                <w:sz w:val="20"/>
                <w:szCs w:val="20"/>
                <w:vertAlign w:val="superscript"/>
                <w:lang w:eastAsia="hr-HR"/>
              </w:rPr>
              <w:t>2</w:t>
            </w:r>
            <w:r w:rsidRPr="00774FB8">
              <w:rPr>
                <w:rFonts w:ascii="Calibri" w:eastAsia="Times New Roman" w:hAnsi="Calibri" w:cs="Calibri"/>
                <w:b/>
                <w:bCs/>
                <w:color w:val="000000"/>
                <w:sz w:val="20"/>
                <w:szCs w:val="20"/>
                <w:lang w:eastAsia="hr-HR"/>
              </w:rPr>
              <w:t>)</w:t>
            </w:r>
          </w:p>
        </w:tc>
        <w:tc>
          <w:tcPr>
            <w:tcW w:w="1249" w:type="pct"/>
            <w:tcBorders>
              <w:top w:val="single" w:sz="4" w:space="0" w:color="auto"/>
              <w:left w:val="nil"/>
              <w:bottom w:val="single" w:sz="4" w:space="0" w:color="auto"/>
              <w:right w:val="single" w:sz="4" w:space="0" w:color="auto"/>
            </w:tcBorders>
            <w:shd w:val="clear" w:color="000000" w:fill="D9D9D9"/>
            <w:vAlign w:val="center"/>
            <w:hideMark/>
          </w:tcPr>
          <w:p w14:paraId="3D9D0C56" w14:textId="77777777" w:rsidR="00774FB8" w:rsidRPr="00774FB8" w:rsidRDefault="00774FB8" w:rsidP="00774FB8">
            <w:pPr>
              <w:spacing w:after="0" w:line="240" w:lineRule="auto"/>
              <w:jc w:val="center"/>
              <w:rPr>
                <w:rFonts w:ascii="Calibri" w:eastAsia="Times New Roman" w:hAnsi="Calibri" w:cs="Calibri"/>
                <w:b/>
                <w:bCs/>
                <w:color w:val="000000"/>
                <w:sz w:val="20"/>
                <w:szCs w:val="20"/>
                <w:lang w:eastAsia="hr-HR"/>
              </w:rPr>
            </w:pPr>
            <w:r w:rsidRPr="00774FB8">
              <w:rPr>
                <w:rFonts w:ascii="Calibri" w:eastAsia="Times New Roman" w:hAnsi="Calibri" w:cs="Calibri"/>
                <w:b/>
                <w:bCs/>
                <w:color w:val="000000"/>
                <w:sz w:val="20"/>
                <w:szCs w:val="20"/>
                <w:lang w:eastAsia="hr-HR"/>
              </w:rPr>
              <w:t>Potrošnja toplinske energije (MWh)</w:t>
            </w:r>
          </w:p>
        </w:tc>
        <w:tc>
          <w:tcPr>
            <w:tcW w:w="1485" w:type="pct"/>
            <w:tcBorders>
              <w:top w:val="single" w:sz="4" w:space="0" w:color="auto"/>
              <w:left w:val="nil"/>
              <w:bottom w:val="single" w:sz="4" w:space="0" w:color="auto"/>
              <w:right w:val="single" w:sz="4" w:space="0" w:color="auto"/>
            </w:tcBorders>
            <w:shd w:val="clear" w:color="000000" w:fill="D9D9D9"/>
            <w:vAlign w:val="center"/>
            <w:hideMark/>
          </w:tcPr>
          <w:p w14:paraId="4CEF0DEB" w14:textId="77777777" w:rsidR="00774FB8" w:rsidRPr="00774FB8" w:rsidRDefault="00774FB8" w:rsidP="00774FB8">
            <w:pPr>
              <w:spacing w:after="0" w:line="240" w:lineRule="auto"/>
              <w:jc w:val="center"/>
              <w:rPr>
                <w:rFonts w:ascii="Calibri" w:eastAsia="Times New Roman" w:hAnsi="Calibri" w:cs="Calibri"/>
                <w:b/>
                <w:bCs/>
                <w:color w:val="000000"/>
                <w:sz w:val="20"/>
                <w:szCs w:val="20"/>
                <w:lang w:eastAsia="hr-HR"/>
              </w:rPr>
            </w:pPr>
            <w:r w:rsidRPr="00774FB8">
              <w:rPr>
                <w:rFonts w:ascii="Calibri" w:eastAsia="Times New Roman" w:hAnsi="Calibri" w:cs="Calibri"/>
                <w:b/>
                <w:bCs/>
                <w:color w:val="000000"/>
                <w:sz w:val="20"/>
                <w:szCs w:val="20"/>
                <w:lang w:eastAsia="hr-HR"/>
              </w:rPr>
              <w:t>Specifična korisna energija za grijanje (kWh/m</w:t>
            </w:r>
            <w:r w:rsidRPr="00774FB8">
              <w:rPr>
                <w:rFonts w:ascii="Calibri" w:eastAsia="Times New Roman" w:hAnsi="Calibri" w:cs="Calibri"/>
                <w:b/>
                <w:bCs/>
                <w:color w:val="000000"/>
                <w:sz w:val="20"/>
                <w:szCs w:val="20"/>
                <w:vertAlign w:val="superscript"/>
                <w:lang w:eastAsia="hr-HR"/>
              </w:rPr>
              <w:t>2</w:t>
            </w:r>
            <w:r w:rsidRPr="00774FB8">
              <w:rPr>
                <w:rFonts w:ascii="Calibri" w:eastAsia="Times New Roman" w:hAnsi="Calibri" w:cs="Calibri"/>
                <w:b/>
                <w:bCs/>
                <w:color w:val="000000"/>
                <w:sz w:val="20"/>
                <w:szCs w:val="20"/>
                <w:lang w:eastAsia="hr-HR"/>
              </w:rPr>
              <w:t>)</w:t>
            </w:r>
          </w:p>
        </w:tc>
      </w:tr>
      <w:tr w:rsidR="00774FB8" w:rsidRPr="00774FB8" w14:paraId="1462B45C" w14:textId="77777777" w:rsidTr="00656873">
        <w:trPr>
          <w:trHeight w:val="255"/>
        </w:trPr>
        <w:tc>
          <w:tcPr>
            <w:tcW w:w="953" w:type="pct"/>
            <w:tcBorders>
              <w:top w:val="nil"/>
              <w:left w:val="single" w:sz="4" w:space="0" w:color="auto"/>
              <w:bottom w:val="single" w:sz="4" w:space="0" w:color="auto"/>
              <w:right w:val="single" w:sz="4" w:space="0" w:color="auto"/>
            </w:tcBorders>
            <w:shd w:val="clear" w:color="000000" w:fill="D9D9D9"/>
            <w:vAlign w:val="center"/>
            <w:hideMark/>
          </w:tcPr>
          <w:p w14:paraId="33C31DA8" w14:textId="77777777" w:rsidR="00774FB8" w:rsidRPr="00774FB8" w:rsidRDefault="00774FB8" w:rsidP="00774FB8">
            <w:pPr>
              <w:spacing w:after="0" w:line="240" w:lineRule="auto"/>
              <w:rPr>
                <w:rFonts w:ascii="Calibri" w:eastAsia="Times New Roman" w:hAnsi="Calibri" w:cs="Calibri"/>
                <w:color w:val="000000"/>
                <w:sz w:val="20"/>
                <w:szCs w:val="20"/>
                <w:lang w:eastAsia="hr-HR"/>
              </w:rPr>
            </w:pPr>
            <w:r w:rsidRPr="00774FB8">
              <w:rPr>
                <w:rFonts w:ascii="Calibri" w:eastAsia="Times New Roman" w:hAnsi="Calibri" w:cs="Calibri"/>
                <w:color w:val="000000"/>
                <w:sz w:val="20"/>
                <w:szCs w:val="20"/>
                <w:lang w:eastAsia="hr-HR"/>
              </w:rPr>
              <w:t>Toplana vrelovod</w:t>
            </w:r>
          </w:p>
        </w:tc>
        <w:tc>
          <w:tcPr>
            <w:tcW w:w="1313" w:type="pct"/>
            <w:tcBorders>
              <w:top w:val="nil"/>
              <w:left w:val="nil"/>
              <w:bottom w:val="single" w:sz="4" w:space="0" w:color="auto"/>
              <w:right w:val="single" w:sz="4" w:space="0" w:color="auto"/>
            </w:tcBorders>
            <w:shd w:val="clear" w:color="auto" w:fill="auto"/>
            <w:noWrap/>
            <w:vAlign w:val="center"/>
            <w:hideMark/>
          </w:tcPr>
          <w:p w14:paraId="5F5572CC" w14:textId="43BC4E4E" w:rsidR="00774FB8" w:rsidRPr="00774FB8" w:rsidRDefault="00880C98" w:rsidP="00774FB8">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41 </w:t>
            </w:r>
            <w:r w:rsidR="00774FB8" w:rsidRPr="00774FB8">
              <w:rPr>
                <w:rFonts w:ascii="Calibri" w:eastAsia="Times New Roman" w:hAnsi="Calibri" w:cs="Calibri"/>
                <w:color w:val="000000"/>
                <w:sz w:val="20"/>
                <w:szCs w:val="20"/>
                <w:lang w:eastAsia="hr-HR"/>
              </w:rPr>
              <w:t>490,28</w:t>
            </w:r>
          </w:p>
        </w:tc>
        <w:tc>
          <w:tcPr>
            <w:tcW w:w="1249" w:type="pct"/>
            <w:tcBorders>
              <w:top w:val="nil"/>
              <w:left w:val="nil"/>
              <w:bottom w:val="single" w:sz="4" w:space="0" w:color="auto"/>
              <w:right w:val="single" w:sz="4" w:space="0" w:color="auto"/>
            </w:tcBorders>
            <w:shd w:val="clear" w:color="auto" w:fill="auto"/>
            <w:noWrap/>
            <w:vAlign w:val="center"/>
            <w:hideMark/>
          </w:tcPr>
          <w:p w14:paraId="6C21E1DC" w14:textId="29535601" w:rsidR="00774FB8" w:rsidRPr="00774FB8" w:rsidRDefault="00880C98" w:rsidP="00774FB8">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8 </w:t>
            </w:r>
            <w:r w:rsidR="00774FB8" w:rsidRPr="00774FB8">
              <w:rPr>
                <w:rFonts w:ascii="Calibri" w:eastAsia="Times New Roman" w:hAnsi="Calibri" w:cs="Calibri"/>
                <w:color w:val="000000"/>
                <w:sz w:val="20"/>
                <w:szCs w:val="20"/>
                <w:lang w:eastAsia="hr-HR"/>
              </w:rPr>
              <w:t>175,00</w:t>
            </w:r>
          </w:p>
        </w:tc>
        <w:tc>
          <w:tcPr>
            <w:tcW w:w="1485" w:type="pct"/>
            <w:tcBorders>
              <w:top w:val="nil"/>
              <w:left w:val="nil"/>
              <w:bottom w:val="single" w:sz="4" w:space="0" w:color="auto"/>
              <w:right w:val="single" w:sz="4" w:space="0" w:color="auto"/>
            </w:tcBorders>
            <w:shd w:val="clear" w:color="auto" w:fill="auto"/>
            <w:noWrap/>
            <w:vAlign w:val="center"/>
            <w:hideMark/>
          </w:tcPr>
          <w:p w14:paraId="6AE2A862" w14:textId="77777777" w:rsidR="00774FB8" w:rsidRPr="00774FB8" w:rsidRDefault="00774FB8" w:rsidP="00774FB8">
            <w:pPr>
              <w:spacing w:after="0" w:line="240" w:lineRule="auto"/>
              <w:jc w:val="center"/>
              <w:rPr>
                <w:rFonts w:ascii="Calibri" w:eastAsia="Times New Roman" w:hAnsi="Calibri" w:cs="Calibri"/>
                <w:color w:val="000000"/>
                <w:sz w:val="20"/>
                <w:szCs w:val="20"/>
                <w:lang w:eastAsia="hr-HR"/>
              </w:rPr>
            </w:pPr>
            <w:r w:rsidRPr="00774FB8">
              <w:rPr>
                <w:rFonts w:ascii="Calibri" w:eastAsia="Times New Roman" w:hAnsi="Calibri" w:cs="Calibri"/>
                <w:color w:val="000000"/>
                <w:sz w:val="20"/>
                <w:szCs w:val="20"/>
                <w:lang w:eastAsia="hr-HR"/>
              </w:rPr>
              <w:t>197,03</w:t>
            </w:r>
          </w:p>
        </w:tc>
      </w:tr>
      <w:tr w:rsidR="00774FB8" w:rsidRPr="00774FB8" w14:paraId="7C003863" w14:textId="77777777" w:rsidTr="00656873">
        <w:trPr>
          <w:trHeight w:val="255"/>
        </w:trPr>
        <w:tc>
          <w:tcPr>
            <w:tcW w:w="953" w:type="pct"/>
            <w:tcBorders>
              <w:top w:val="nil"/>
              <w:left w:val="single" w:sz="4" w:space="0" w:color="auto"/>
              <w:bottom w:val="single" w:sz="4" w:space="0" w:color="auto"/>
              <w:right w:val="single" w:sz="4" w:space="0" w:color="auto"/>
            </w:tcBorders>
            <w:shd w:val="clear" w:color="000000" w:fill="D9D9D9"/>
            <w:noWrap/>
            <w:vAlign w:val="center"/>
            <w:hideMark/>
          </w:tcPr>
          <w:p w14:paraId="29ADF189" w14:textId="77777777" w:rsidR="00774FB8" w:rsidRPr="00774FB8" w:rsidRDefault="00774FB8" w:rsidP="00774FB8">
            <w:pPr>
              <w:spacing w:after="0" w:line="240" w:lineRule="auto"/>
              <w:rPr>
                <w:rFonts w:ascii="Calibri" w:eastAsia="Times New Roman" w:hAnsi="Calibri" w:cs="Calibri"/>
                <w:color w:val="000000"/>
                <w:sz w:val="20"/>
                <w:szCs w:val="20"/>
                <w:lang w:eastAsia="hr-HR"/>
              </w:rPr>
            </w:pPr>
            <w:r w:rsidRPr="00774FB8">
              <w:rPr>
                <w:rFonts w:ascii="Calibri" w:eastAsia="Times New Roman" w:hAnsi="Calibri" w:cs="Calibri"/>
                <w:color w:val="000000"/>
                <w:sz w:val="20"/>
                <w:szCs w:val="20"/>
                <w:lang w:eastAsia="hr-HR"/>
              </w:rPr>
              <w:t>Prirodni plin</w:t>
            </w:r>
          </w:p>
        </w:tc>
        <w:tc>
          <w:tcPr>
            <w:tcW w:w="1313" w:type="pct"/>
            <w:tcBorders>
              <w:top w:val="nil"/>
              <w:left w:val="nil"/>
              <w:bottom w:val="single" w:sz="4" w:space="0" w:color="auto"/>
              <w:right w:val="single" w:sz="4" w:space="0" w:color="auto"/>
            </w:tcBorders>
            <w:shd w:val="clear" w:color="auto" w:fill="auto"/>
            <w:noWrap/>
            <w:vAlign w:val="center"/>
            <w:hideMark/>
          </w:tcPr>
          <w:p w14:paraId="1117CC85" w14:textId="19B35A22" w:rsidR="00774FB8" w:rsidRPr="00774FB8" w:rsidRDefault="00880C98" w:rsidP="00774FB8">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4 </w:t>
            </w:r>
            <w:r w:rsidR="00774FB8" w:rsidRPr="00774FB8">
              <w:rPr>
                <w:rFonts w:ascii="Calibri" w:eastAsia="Times New Roman" w:hAnsi="Calibri" w:cs="Calibri"/>
                <w:color w:val="000000"/>
                <w:sz w:val="20"/>
                <w:szCs w:val="20"/>
                <w:lang w:eastAsia="hr-HR"/>
              </w:rPr>
              <w:t>542,81</w:t>
            </w:r>
          </w:p>
        </w:tc>
        <w:tc>
          <w:tcPr>
            <w:tcW w:w="1249" w:type="pct"/>
            <w:tcBorders>
              <w:top w:val="nil"/>
              <w:left w:val="nil"/>
              <w:bottom w:val="single" w:sz="4" w:space="0" w:color="auto"/>
              <w:right w:val="single" w:sz="4" w:space="0" w:color="auto"/>
            </w:tcBorders>
            <w:shd w:val="clear" w:color="auto" w:fill="auto"/>
            <w:noWrap/>
            <w:vAlign w:val="center"/>
            <w:hideMark/>
          </w:tcPr>
          <w:p w14:paraId="590DC330" w14:textId="0F4B6ACA" w:rsidR="00774FB8" w:rsidRPr="00774FB8" w:rsidRDefault="00880C98" w:rsidP="00774FB8">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 </w:t>
            </w:r>
            <w:r w:rsidR="00774FB8" w:rsidRPr="00774FB8">
              <w:rPr>
                <w:rFonts w:ascii="Calibri" w:eastAsia="Times New Roman" w:hAnsi="Calibri" w:cs="Calibri"/>
                <w:color w:val="000000"/>
                <w:sz w:val="20"/>
                <w:szCs w:val="20"/>
                <w:lang w:eastAsia="hr-HR"/>
              </w:rPr>
              <w:t>557,00</w:t>
            </w:r>
          </w:p>
        </w:tc>
        <w:tc>
          <w:tcPr>
            <w:tcW w:w="1485" w:type="pct"/>
            <w:tcBorders>
              <w:top w:val="nil"/>
              <w:left w:val="nil"/>
              <w:bottom w:val="single" w:sz="4" w:space="0" w:color="auto"/>
              <w:right w:val="single" w:sz="4" w:space="0" w:color="auto"/>
            </w:tcBorders>
            <w:shd w:val="clear" w:color="auto" w:fill="auto"/>
            <w:noWrap/>
            <w:vAlign w:val="center"/>
            <w:hideMark/>
          </w:tcPr>
          <w:p w14:paraId="0005DD1C" w14:textId="77777777" w:rsidR="00774FB8" w:rsidRPr="00774FB8" w:rsidRDefault="00774FB8" w:rsidP="00774FB8">
            <w:pPr>
              <w:spacing w:after="0" w:line="240" w:lineRule="auto"/>
              <w:jc w:val="center"/>
              <w:rPr>
                <w:rFonts w:ascii="Calibri" w:eastAsia="Times New Roman" w:hAnsi="Calibri" w:cs="Calibri"/>
                <w:color w:val="000000"/>
                <w:sz w:val="20"/>
                <w:szCs w:val="20"/>
                <w:lang w:eastAsia="hr-HR"/>
              </w:rPr>
            </w:pPr>
            <w:r w:rsidRPr="00774FB8">
              <w:rPr>
                <w:rFonts w:ascii="Calibri" w:eastAsia="Times New Roman" w:hAnsi="Calibri" w:cs="Calibri"/>
                <w:color w:val="000000"/>
                <w:sz w:val="20"/>
                <w:szCs w:val="20"/>
                <w:lang w:eastAsia="hr-HR"/>
              </w:rPr>
              <w:t>342,74</w:t>
            </w:r>
          </w:p>
        </w:tc>
      </w:tr>
      <w:tr w:rsidR="00774FB8" w:rsidRPr="00774FB8" w14:paraId="4FFD4C3C" w14:textId="77777777" w:rsidTr="00656873">
        <w:trPr>
          <w:trHeight w:val="255"/>
        </w:trPr>
        <w:tc>
          <w:tcPr>
            <w:tcW w:w="953" w:type="pct"/>
            <w:tcBorders>
              <w:top w:val="nil"/>
              <w:left w:val="single" w:sz="4" w:space="0" w:color="auto"/>
              <w:bottom w:val="single" w:sz="4" w:space="0" w:color="auto"/>
              <w:right w:val="single" w:sz="4" w:space="0" w:color="auto"/>
            </w:tcBorders>
            <w:shd w:val="clear" w:color="000000" w:fill="D9D9D9"/>
            <w:noWrap/>
            <w:vAlign w:val="center"/>
            <w:hideMark/>
          </w:tcPr>
          <w:p w14:paraId="2F80172B" w14:textId="77777777" w:rsidR="00774FB8" w:rsidRPr="00774FB8" w:rsidRDefault="00774FB8" w:rsidP="00774FB8">
            <w:pPr>
              <w:spacing w:after="0" w:line="240" w:lineRule="auto"/>
              <w:rPr>
                <w:rFonts w:ascii="Calibri" w:eastAsia="Times New Roman" w:hAnsi="Calibri" w:cs="Calibri"/>
                <w:color w:val="000000"/>
                <w:sz w:val="20"/>
                <w:szCs w:val="20"/>
                <w:lang w:eastAsia="hr-HR"/>
              </w:rPr>
            </w:pPr>
            <w:r w:rsidRPr="00774FB8">
              <w:rPr>
                <w:rFonts w:ascii="Calibri" w:eastAsia="Times New Roman" w:hAnsi="Calibri" w:cs="Calibri"/>
                <w:color w:val="000000"/>
                <w:sz w:val="20"/>
                <w:szCs w:val="20"/>
                <w:lang w:eastAsia="hr-HR"/>
              </w:rPr>
              <w:t>Električna energija</w:t>
            </w:r>
          </w:p>
        </w:tc>
        <w:tc>
          <w:tcPr>
            <w:tcW w:w="1313" w:type="pct"/>
            <w:tcBorders>
              <w:top w:val="nil"/>
              <w:left w:val="nil"/>
              <w:bottom w:val="single" w:sz="4" w:space="0" w:color="auto"/>
              <w:right w:val="single" w:sz="4" w:space="0" w:color="auto"/>
            </w:tcBorders>
            <w:shd w:val="clear" w:color="auto" w:fill="auto"/>
            <w:noWrap/>
            <w:vAlign w:val="center"/>
            <w:hideMark/>
          </w:tcPr>
          <w:p w14:paraId="60058EEE" w14:textId="712595EA" w:rsidR="00774FB8" w:rsidRPr="00774FB8" w:rsidRDefault="00880C98" w:rsidP="00774FB8">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6 </w:t>
            </w:r>
            <w:r w:rsidR="00774FB8" w:rsidRPr="00774FB8">
              <w:rPr>
                <w:rFonts w:ascii="Calibri" w:eastAsia="Times New Roman" w:hAnsi="Calibri" w:cs="Calibri"/>
                <w:color w:val="000000"/>
                <w:sz w:val="20"/>
                <w:szCs w:val="20"/>
                <w:lang w:eastAsia="hr-HR"/>
              </w:rPr>
              <w:t>173,96</w:t>
            </w:r>
          </w:p>
        </w:tc>
        <w:tc>
          <w:tcPr>
            <w:tcW w:w="1249" w:type="pct"/>
            <w:tcBorders>
              <w:top w:val="nil"/>
              <w:left w:val="nil"/>
              <w:bottom w:val="single" w:sz="4" w:space="0" w:color="auto"/>
              <w:right w:val="single" w:sz="4" w:space="0" w:color="auto"/>
            </w:tcBorders>
            <w:shd w:val="clear" w:color="auto" w:fill="auto"/>
            <w:noWrap/>
            <w:vAlign w:val="center"/>
            <w:hideMark/>
          </w:tcPr>
          <w:p w14:paraId="50493726" w14:textId="77777777" w:rsidR="00774FB8" w:rsidRPr="00774FB8" w:rsidRDefault="00774FB8" w:rsidP="00774FB8">
            <w:pPr>
              <w:spacing w:after="0" w:line="240" w:lineRule="auto"/>
              <w:jc w:val="center"/>
              <w:rPr>
                <w:rFonts w:ascii="Calibri" w:eastAsia="Times New Roman" w:hAnsi="Calibri" w:cs="Calibri"/>
                <w:color w:val="000000"/>
                <w:sz w:val="20"/>
                <w:szCs w:val="20"/>
                <w:lang w:eastAsia="hr-HR"/>
              </w:rPr>
            </w:pPr>
            <w:r w:rsidRPr="00774FB8">
              <w:rPr>
                <w:rFonts w:ascii="Calibri" w:eastAsia="Times New Roman" w:hAnsi="Calibri" w:cs="Calibri"/>
                <w:color w:val="000000"/>
                <w:sz w:val="20"/>
                <w:szCs w:val="20"/>
                <w:lang w:eastAsia="hr-HR"/>
              </w:rPr>
              <w:t>617,22</w:t>
            </w:r>
          </w:p>
        </w:tc>
        <w:tc>
          <w:tcPr>
            <w:tcW w:w="1485" w:type="pct"/>
            <w:tcBorders>
              <w:top w:val="nil"/>
              <w:left w:val="nil"/>
              <w:bottom w:val="single" w:sz="4" w:space="0" w:color="auto"/>
              <w:right w:val="single" w:sz="4" w:space="0" w:color="auto"/>
            </w:tcBorders>
            <w:shd w:val="clear" w:color="auto" w:fill="auto"/>
            <w:noWrap/>
            <w:vAlign w:val="center"/>
            <w:hideMark/>
          </w:tcPr>
          <w:p w14:paraId="23D57BDB" w14:textId="77777777" w:rsidR="00774FB8" w:rsidRPr="00774FB8" w:rsidRDefault="00774FB8" w:rsidP="00774FB8">
            <w:pPr>
              <w:spacing w:after="0" w:line="240" w:lineRule="auto"/>
              <w:jc w:val="center"/>
              <w:rPr>
                <w:rFonts w:ascii="Calibri" w:eastAsia="Times New Roman" w:hAnsi="Calibri" w:cs="Calibri"/>
                <w:color w:val="000000"/>
                <w:sz w:val="20"/>
                <w:szCs w:val="20"/>
                <w:lang w:eastAsia="hr-HR"/>
              </w:rPr>
            </w:pPr>
            <w:r w:rsidRPr="00774FB8">
              <w:rPr>
                <w:rFonts w:ascii="Calibri" w:eastAsia="Times New Roman" w:hAnsi="Calibri" w:cs="Calibri"/>
                <w:color w:val="000000"/>
                <w:sz w:val="20"/>
                <w:szCs w:val="20"/>
                <w:lang w:eastAsia="hr-HR"/>
              </w:rPr>
              <w:t>99,97</w:t>
            </w:r>
          </w:p>
        </w:tc>
      </w:tr>
      <w:tr w:rsidR="00774FB8" w:rsidRPr="00774FB8" w14:paraId="5D20281E" w14:textId="77777777" w:rsidTr="00656873">
        <w:trPr>
          <w:trHeight w:val="255"/>
        </w:trPr>
        <w:tc>
          <w:tcPr>
            <w:tcW w:w="953" w:type="pct"/>
            <w:tcBorders>
              <w:top w:val="nil"/>
              <w:left w:val="single" w:sz="4" w:space="0" w:color="auto"/>
              <w:bottom w:val="single" w:sz="4" w:space="0" w:color="auto"/>
              <w:right w:val="single" w:sz="4" w:space="0" w:color="auto"/>
            </w:tcBorders>
            <w:shd w:val="clear" w:color="000000" w:fill="D9D9D9"/>
            <w:noWrap/>
            <w:vAlign w:val="center"/>
            <w:hideMark/>
          </w:tcPr>
          <w:p w14:paraId="4362852B" w14:textId="77777777" w:rsidR="00774FB8" w:rsidRPr="00774FB8" w:rsidRDefault="00774FB8" w:rsidP="00774FB8">
            <w:pPr>
              <w:spacing w:after="0" w:line="240" w:lineRule="auto"/>
              <w:rPr>
                <w:rFonts w:ascii="Calibri" w:eastAsia="Times New Roman" w:hAnsi="Calibri" w:cs="Calibri"/>
                <w:color w:val="000000"/>
                <w:sz w:val="20"/>
                <w:szCs w:val="20"/>
                <w:lang w:eastAsia="hr-HR"/>
              </w:rPr>
            </w:pPr>
            <w:r w:rsidRPr="00774FB8">
              <w:rPr>
                <w:rFonts w:ascii="Calibri" w:eastAsia="Times New Roman" w:hAnsi="Calibri" w:cs="Calibri"/>
                <w:color w:val="000000"/>
                <w:sz w:val="20"/>
                <w:szCs w:val="20"/>
                <w:lang w:eastAsia="hr-HR"/>
              </w:rPr>
              <w:t>Geotermalna voda</w:t>
            </w:r>
          </w:p>
        </w:tc>
        <w:tc>
          <w:tcPr>
            <w:tcW w:w="1313" w:type="pct"/>
            <w:tcBorders>
              <w:top w:val="nil"/>
              <w:left w:val="nil"/>
              <w:bottom w:val="single" w:sz="4" w:space="0" w:color="auto"/>
              <w:right w:val="single" w:sz="4" w:space="0" w:color="auto"/>
            </w:tcBorders>
            <w:shd w:val="clear" w:color="auto" w:fill="auto"/>
            <w:noWrap/>
            <w:vAlign w:val="center"/>
            <w:hideMark/>
          </w:tcPr>
          <w:p w14:paraId="359BA7A0" w14:textId="5BE0413D" w:rsidR="00774FB8" w:rsidRPr="00774FB8" w:rsidRDefault="00880C98" w:rsidP="00774FB8">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32 </w:t>
            </w:r>
            <w:r w:rsidR="00774FB8" w:rsidRPr="00774FB8">
              <w:rPr>
                <w:rFonts w:ascii="Calibri" w:eastAsia="Times New Roman" w:hAnsi="Calibri" w:cs="Calibri"/>
                <w:color w:val="000000"/>
                <w:sz w:val="20"/>
                <w:szCs w:val="20"/>
                <w:lang w:eastAsia="hr-HR"/>
              </w:rPr>
              <w:t>059,04</w:t>
            </w:r>
          </w:p>
        </w:tc>
        <w:tc>
          <w:tcPr>
            <w:tcW w:w="1249" w:type="pct"/>
            <w:tcBorders>
              <w:top w:val="nil"/>
              <w:left w:val="nil"/>
              <w:bottom w:val="single" w:sz="4" w:space="0" w:color="auto"/>
              <w:right w:val="single" w:sz="4" w:space="0" w:color="auto"/>
            </w:tcBorders>
            <w:shd w:val="clear" w:color="auto" w:fill="auto"/>
            <w:noWrap/>
            <w:vAlign w:val="center"/>
            <w:hideMark/>
          </w:tcPr>
          <w:p w14:paraId="2F7A7945" w14:textId="65D3A2CC" w:rsidR="00774FB8" w:rsidRPr="00774FB8" w:rsidRDefault="00880C98" w:rsidP="00774FB8">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9 </w:t>
            </w:r>
            <w:r w:rsidR="00774FB8" w:rsidRPr="00774FB8">
              <w:rPr>
                <w:rFonts w:ascii="Calibri" w:eastAsia="Times New Roman" w:hAnsi="Calibri" w:cs="Calibri"/>
                <w:color w:val="000000"/>
                <w:sz w:val="20"/>
                <w:szCs w:val="20"/>
                <w:lang w:eastAsia="hr-HR"/>
              </w:rPr>
              <w:t>169,96</w:t>
            </w:r>
          </w:p>
        </w:tc>
        <w:tc>
          <w:tcPr>
            <w:tcW w:w="1485" w:type="pct"/>
            <w:tcBorders>
              <w:top w:val="nil"/>
              <w:left w:val="nil"/>
              <w:bottom w:val="single" w:sz="4" w:space="0" w:color="auto"/>
              <w:right w:val="single" w:sz="4" w:space="0" w:color="auto"/>
            </w:tcBorders>
            <w:shd w:val="clear" w:color="auto" w:fill="auto"/>
            <w:noWrap/>
            <w:vAlign w:val="center"/>
            <w:hideMark/>
          </w:tcPr>
          <w:p w14:paraId="088B253C" w14:textId="77777777" w:rsidR="00774FB8" w:rsidRPr="00774FB8" w:rsidRDefault="00774FB8" w:rsidP="00774FB8">
            <w:pPr>
              <w:spacing w:after="0" w:line="240" w:lineRule="auto"/>
              <w:jc w:val="center"/>
              <w:rPr>
                <w:rFonts w:ascii="Calibri" w:eastAsia="Times New Roman" w:hAnsi="Calibri" w:cs="Calibri"/>
                <w:color w:val="000000"/>
                <w:sz w:val="20"/>
                <w:szCs w:val="20"/>
                <w:lang w:eastAsia="hr-HR"/>
              </w:rPr>
            </w:pPr>
            <w:r w:rsidRPr="00774FB8">
              <w:rPr>
                <w:rFonts w:ascii="Calibri" w:eastAsia="Times New Roman" w:hAnsi="Calibri" w:cs="Calibri"/>
                <w:color w:val="000000"/>
                <w:sz w:val="20"/>
                <w:szCs w:val="20"/>
                <w:lang w:eastAsia="hr-HR"/>
              </w:rPr>
              <w:t>286,03</w:t>
            </w:r>
          </w:p>
        </w:tc>
      </w:tr>
      <w:tr w:rsidR="00774FB8" w:rsidRPr="00774FB8" w14:paraId="4E037A83" w14:textId="77777777" w:rsidTr="00811078">
        <w:trPr>
          <w:trHeight w:val="255"/>
        </w:trPr>
        <w:tc>
          <w:tcPr>
            <w:tcW w:w="953" w:type="pct"/>
            <w:tcBorders>
              <w:top w:val="nil"/>
              <w:left w:val="single" w:sz="4" w:space="0" w:color="auto"/>
              <w:bottom w:val="single" w:sz="4" w:space="0" w:color="auto"/>
              <w:right w:val="single" w:sz="4" w:space="0" w:color="auto"/>
            </w:tcBorders>
            <w:shd w:val="clear" w:color="000000" w:fill="D9D9D9"/>
            <w:noWrap/>
            <w:vAlign w:val="center"/>
            <w:hideMark/>
          </w:tcPr>
          <w:p w14:paraId="35AFDF04" w14:textId="77777777" w:rsidR="00774FB8" w:rsidRPr="00774FB8" w:rsidRDefault="00774FB8" w:rsidP="00774FB8">
            <w:pPr>
              <w:spacing w:after="0" w:line="240" w:lineRule="auto"/>
              <w:rPr>
                <w:rFonts w:ascii="Calibri" w:eastAsia="Times New Roman" w:hAnsi="Calibri" w:cs="Calibri"/>
                <w:b/>
                <w:bCs/>
                <w:color w:val="000000"/>
                <w:sz w:val="20"/>
                <w:szCs w:val="20"/>
                <w:lang w:eastAsia="hr-HR"/>
              </w:rPr>
            </w:pPr>
            <w:r w:rsidRPr="00774FB8">
              <w:rPr>
                <w:rFonts w:ascii="Calibri" w:eastAsia="Times New Roman" w:hAnsi="Calibri" w:cs="Calibri"/>
                <w:b/>
                <w:bCs/>
                <w:color w:val="000000"/>
                <w:sz w:val="20"/>
                <w:szCs w:val="20"/>
                <w:lang w:eastAsia="hr-HR"/>
              </w:rPr>
              <w:t>UKUPNO</w:t>
            </w:r>
          </w:p>
        </w:tc>
        <w:tc>
          <w:tcPr>
            <w:tcW w:w="1313" w:type="pct"/>
            <w:tcBorders>
              <w:top w:val="nil"/>
              <w:left w:val="nil"/>
              <w:bottom w:val="single" w:sz="4" w:space="0" w:color="auto"/>
              <w:right w:val="single" w:sz="4" w:space="0" w:color="auto"/>
            </w:tcBorders>
            <w:shd w:val="clear" w:color="auto" w:fill="D9D9D9" w:themeFill="background1" w:themeFillShade="D9"/>
            <w:noWrap/>
            <w:vAlign w:val="center"/>
            <w:hideMark/>
          </w:tcPr>
          <w:p w14:paraId="370B674F" w14:textId="68E08739" w:rsidR="00774FB8" w:rsidRPr="00774FB8" w:rsidRDefault="00880C98" w:rsidP="00774FB8">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84 </w:t>
            </w:r>
            <w:r w:rsidR="00774FB8" w:rsidRPr="00774FB8">
              <w:rPr>
                <w:rFonts w:ascii="Calibri" w:eastAsia="Times New Roman" w:hAnsi="Calibri" w:cs="Calibri"/>
                <w:b/>
                <w:bCs/>
                <w:color w:val="000000"/>
                <w:sz w:val="20"/>
                <w:szCs w:val="20"/>
                <w:lang w:eastAsia="hr-HR"/>
              </w:rPr>
              <w:t>266,09</w:t>
            </w:r>
          </w:p>
        </w:tc>
        <w:tc>
          <w:tcPr>
            <w:tcW w:w="1249" w:type="pct"/>
            <w:tcBorders>
              <w:top w:val="nil"/>
              <w:left w:val="nil"/>
              <w:bottom w:val="single" w:sz="4" w:space="0" w:color="auto"/>
              <w:right w:val="single" w:sz="4" w:space="0" w:color="auto"/>
            </w:tcBorders>
            <w:shd w:val="clear" w:color="auto" w:fill="D9D9D9" w:themeFill="background1" w:themeFillShade="D9"/>
            <w:noWrap/>
            <w:vAlign w:val="center"/>
            <w:hideMark/>
          </w:tcPr>
          <w:p w14:paraId="4B8706C8" w14:textId="5C7EC290" w:rsidR="00774FB8" w:rsidRPr="00774FB8" w:rsidRDefault="00880C98" w:rsidP="00774FB8">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19 </w:t>
            </w:r>
            <w:r w:rsidR="00774FB8" w:rsidRPr="00774FB8">
              <w:rPr>
                <w:rFonts w:ascii="Calibri" w:eastAsia="Times New Roman" w:hAnsi="Calibri" w:cs="Calibri"/>
                <w:b/>
                <w:bCs/>
                <w:color w:val="000000"/>
                <w:sz w:val="20"/>
                <w:szCs w:val="20"/>
                <w:lang w:eastAsia="hr-HR"/>
              </w:rPr>
              <w:t>519,19</w:t>
            </w:r>
          </w:p>
        </w:tc>
        <w:tc>
          <w:tcPr>
            <w:tcW w:w="14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61C12A1" w14:textId="77777777" w:rsidR="00774FB8" w:rsidRPr="00774FB8" w:rsidRDefault="00774FB8" w:rsidP="00774FB8">
            <w:pPr>
              <w:spacing w:after="0" w:line="240" w:lineRule="auto"/>
              <w:jc w:val="center"/>
              <w:rPr>
                <w:rFonts w:ascii="Calibri" w:eastAsia="Times New Roman" w:hAnsi="Calibri" w:cs="Calibri"/>
                <w:color w:val="000000"/>
                <w:sz w:val="20"/>
                <w:szCs w:val="20"/>
                <w:lang w:eastAsia="hr-HR"/>
              </w:rPr>
            </w:pPr>
            <w:r w:rsidRPr="00774FB8">
              <w:rPr>
                <w:rFonts w:ascii="Calibri" w:eastAsia="Times New Roman" w:hAnsi="Calibri" w:cs="Calibri"/>
                <w:color w:val="000000"/>
                <w:sz w:val="20"/>
                <w:szCs w:val="20"/>
                <w:lang w:eastAsia="hr-HR"/>
              </w:rPr>
              <w:t>231,64</w:t>
            </w:r>
          </w:p>
        </w:tc>
      </w:tr>
    </w:tbl>
    <w:p w14:paraId="37A745EF" w14:textId="77777777" w:rsidR="00F027CB" w:rsidRDefault="00F027CB" w:rsidP="00E92750">
      <w:pPr>
        <w:suppressAutoHyphens/>
        <w:autoSpaceDN w:val="0"/>
        <w:spacing w:after="0" w:line="240" w:lineRule="auto"/>
        <w:jc w:val="both"/>
        <w:textAlignment w:val="baseline"/>
        <w:rPr>
          <w:rFonts w:ascii="Calibri" w:eastAsia="Calibri" w:hAnsi="Calibri" w:cs="Times New Roman"/>
        </w:rPr>
      </w:pPr>
    </w:p>
    <w:p w14:paraId="63F6EA5A" w14:textId="32246375" w:rsidR="003828CF" w:rsidRDefault="003828CF" w:rsidP="00E92750">
      <w:pPr>
        <w:suppressAutoHyphens/>
        <w:autoSpaceDN w:val="0"/>
        <w:spacing w:after="0" w:line="240" w:lineRule="auto"/>
        <w:jc w:val="center"/>
        <w:textAlignment w:val="baseline"/>
        <w:rPr>
          <w:noProof/>
          <w:lang w:eastAsia="hr-HR"/>
        </w:rPr>
      </w:pPr>
      <w:r>
        <w:rPr>
          <w:noProof/>
          <w:lang w:eastAsia="hr-HR"/>
        </w:rPr>
        <w:drawing>
          <wp:inline distT="0" distB="0" distL="0" distR="0" wp14:anchorId="39084124" wp14:editId="34E1F1A3">
            <wp:extent cx="4572000" cy="2781300"/>
            <wp:effectExtent l="0" t="0" r="0"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94985D" w14:textId="11143432" w:rsidR="00581688" w:rsidRPr="00F34093" w:rsidRDefault="00581688" w:rsidP="00E92750">
      <w:pPr>
        <w:suppressAutoHyphens/>
        <w:autoSpaceDN w:val="0"/>
        <w:spacing w:after="240" w:line="240" w:lineRule="auto"/>
        <w:jc w:val="center"/>
        <w:textAlignment w:val="baseline"/>
        <w:rPr>
          <w:rFonts w:ascii="Calibri" w:eastAsia="Calibri" w:hAnsi="Calibri" w:cs="Times New Roman"/>
        </w:rPr>
      </w:pPr>
      <w:bookmarkStart w:id="65" w:name="_Ref462213544"/>
      <w:bookmarkStart w:id="66" w:name="_Toc468277417"/>
      <w:r w:rsidRPr="00E10FF1">
        <w:rPr>
          <w:b/>
        </w:rPr>
        <w:t xml:space="preserve">Slika </w:t>
      </w:r>
      <w:r w:rsidRPr="00E10FF1">
        <w:rPr>
          <w:b/>
        </w:rPr>
        <w:fldChar w:fldCharType="begin"/>
      </w:r>
      <w:r w:rsidRPr="00E10FF1">
        <w:rPr>
          <w:b/>
        </w:rPr>
        <w:instrText xml:space="preserve"> STYLEREF 1 \s </w:instrText>
      </w:r>
      <w:r w:rsidRPr="00E10FF1">
        <w:rPr>
          <w:b/>
        </w:rPr>
        <w:fldChar w:fldCharType="separate"/>
      </w:r>
      <w:r w:rsidR="009C319B">
        <w:rPr>
          <w:b/>
          <w:noProof/>
        </w:rPr>
        <w:t>4</w:t>
      </w:r>
      <w:r w:rsidRPr="00E10FF1">
        <w:rPr>
          <w:b/>
          <w:noProof/>
        </w:rPr>
        <w:fldChar w:fldCharType="end"/>
      </w:r>
      <w:r w:rsidRPr="00E10FF1">
        <w:rPr>
          <w:b/>
        </w:rPr>
        <w:t>.</w:t>
      </w:r>
      <w:r w:rsidRPr="00E10FF1">
        <w:rPr>
          <w:b/>
        </w:rPr>
        <w:fldChar w:fldCharType="begin"/>
      </w:r>
      <w:r w:rsidRPr="00E10FF1">
        <w:rPr>
          <w:b/>
        </w:rPr>
        <w:instrText xml:space="preserve"> SEQ Slika \* ARABIC \s 1 </w:instrText>
      </w:r>
      <w:r w:rsidRPr="00E10FF1">
        <w:rPr>
          <w:b/>
        </w:rPr>
        <w:fldChar w:fldCharType="separate"/>
      </w:r>
      <w:r w:rsidR="009C319B">
        <w:rPr>
          <w:b/>
          <w:noProof/>
        </w:rPr>
        <w:t>13</w:t>
      </w:r>
      <w:r w:rsidRPr="00E10FF1">
        <w:rPr>
          <w:b/>
          <w:noProof/>
        </w:rPr>
        <w:fldChar w:fldCharType="end"/>
      </w:r>
      <w:bookmarkEnd w:id="65"/>
      <w:r w:rsidRPr="00E10FF1">
        <w:rPr>
          <w:rFonts w:ascii="Calibri" w:eastAsia="Calibri" w:hAnsi="Calibri" w:cs="Times New Roman"/>
          <w:b/>
        </w:rPr>
        <w:t xml:space="preserve"> </w:t>
      </w:r>
      <w:r w:rsidRPr="00E10FF1">
        <w:rPr>
          <w:rFonts w:ascii="Calibri" w:eastAsia="Calibri" w:hAnsi="Calibri" w:cs="Times New Roman"/>
        </w:rPr>
        <w:t xml:space="preserve">Struktura </w:t>
      </w:r>
      <w:r w:rsidR="00F027CB">
        <w:rPr>
          <w:rFonts w:ascii="Calibri" w:eastAsia="Calibri" w:hAnsi="Calibri" w:cs="Times New Roman"/>
        </w:rPr>
        <w:t>potrošnje toplinske energije</w:t>
      </w:r>
      <w:r w:rsidRPr="00E10FF1">
        <w:rPr>
          <w:rFonts w:ascii="Calibri" w:eastAsia="Calibri" w:hAnsi="Calibri" w:cs="Times New Roman"/>
        </w:rPr>
        <w:t xml:space="preserve"> </w:t>
      </w:r>
      <w:r w:rsidR="00211380" w:rsidRPr="00E10FF1">
        <w:rPr>
          <w:rFonts w:ascii="Calibri" w:eastAsia="Calibri" w:hAnsi="Calibri" w:cs="Times New Roman"/>
        </w:rPr>
        <w:t>sportski</w:t>
      </w:r>
      <w:r w:rsidR="00972817">
        <w:rPr>
          <w:rFonts w:ascii="Calibri" w:eastAsia="Calibri" w:hAnsi="Calibri" w:cs="Times New Roman"/>
        </w:rPr>
        <w:t xml:space="preserve">h objekata </w:t>
      </w:r>
      <w:r w:rsidRPr="00E10FF1">
        <w:rPr>
          <w:rFonts w:ascii="Calibri" w:eastAsia="Calibri" w:hAnsi="Calibri" w:cs="Times New Roman"/>
        </w:rPr>
        <w:t>Grada Zagreba</w:t>
      </w:r>
      <w:r w:rsidR="00EB001A" w:rsidRPr="00E10FF1">
        <w:rPr>
          <w:rFonts w:ascii="Calibri" w:eastAsia="Calibri" w:hAnsi="Calibri" w:cs="Times New Roman"/>
        </w:rPr>
        <w:t xml:space="preserve"> </w:t>
      </w:r>
      <w:r w:rsidR="00EB001A" w:rsidRPr="00F34093">
        <w:rPr>
          <w:rFonts w:ascii="Calibri" w:eastAsia="Calibri" w:hAnsi="Calibri" w:cs="Times New Roman"/>
        </w:rPr>
        <w:t>u 2015. godini</w:t>
      </w:r>
      <w:bookmarkEnd w:id="66"/>
    </w:p>
    <w:p w14:paraId="6D0046DB" w14:textId="039C6EEF" w:rsidR="00F027CB" w:rsidRPr="00AE695B" w:rsidRDefault="00F027CB" w:rsidP="00F027CB">
      <w:pPr>
        <w:suppressAutoHyphens/>
        <w:autoSpaceDN w:val="0"/>
        <w:spacing w:after="240" w:line="240" w:lineRule="auto"/>
        <w:jc w:val="both"/>
        <w:textAlignment w:val="baseline"/>
        <w:rPr>
          <w:rFonts w:ascii="Calibri" w:eastAsia="Calibri" w:hAnsi="Calibri" w:cs="Times New Roman"/>
        </w:rPr>
      </w:pPr>
      <w:r w:rsidRPr="00AE695B">
        <w:rPr>
          <w:rFonts w:ascii="Calibri" w:eastAsia="Calibri" w:hAnsi="Calibri" w:cs="Times New Roman"/>
        </w:rPr>
        <w:t xml:space="preserve">Gledajući udio pojedinih energenata u ukupnoj potrošnji toplinske energije kategorije </w:t>
      </w:r>
      <w:r>
        <w:rPr>
          <w:rFonts w:ascii="Calibri" w:eastAsia="Calibri" w:hAnsi="Calibri" w:cs="Times New Roman"/>
        </w:rPr>
        <w:t>sportskih objekata</w:t>
      </w:r>
      <w:r w:rsidRPr="00AE695B">
        <w:rPr>
          <w:rFonts w:ascii="Calibri" w:eastAsia="Calibri" w:hAnsi="Calibri" w:cs="Times New Roman"/>
        </w:rPr>
        <w:t xml:space="preserve"> u 2015. godini, omjer </w:t>
      </w:r>
      <w:r>
        <w:rPr>
          <w:rFonts w:ascii="Calibri" w:eastAsia="Calibri" w:hAnsi="Calibri" w:cs="Times New Roman"/>
        </w:rPr>
        <w:t>je sljedeći: geotermalna v</w:t>
      </w:r>
      <w:r w:rsidR="00BB13C3">
        <w:rPr>
          <w:rFonts w:ascii="Calibri" w:eastAsia="Calibri" w:hAnsi="Calibri" w:cs="Times New Roman"/>
        </w:rPr>
        <w:t>oda: 46,98%, toplana vrelovod 41,88</w:t>
      </w:r>
      <w:r>
        <w:rPr>
          <w:rFonts w:ascii="Calibri" w:eastAsia="Calibri" w:hAnsi="Calibri" w:cs="Times New Roman"/>
        </w:rPr>
        <w:t xml:space="preserve">%, prirodni plin 7,98% i električna energija 3,16% </w:t>
      </w:r>
      <w:r w:rsidRPr="00AE695B">
        <w:rPr>
          <w:rFonts w:ascii="Calibri" w:eastAsia="Calibri" w:hAnsi="Calibri" w:cs="Times New Roman"/>
        </w:rPr>
        <w:t>.</w:t>
      </w:r>
    </w:p>
    <w:p w14:paraId="4BCAE21C" w14:textId="67B62B38" w:rsidR="000F64C5" w:rsidRPr="00F34093" w:rsidRDefault="000F64C5" w:rsidP="00E92750">
      <w:pPr>
        <w:pStyle w:val="Heading3"/>
        <w:spacing w:after="240" w:line="240" w:lineRule="auto"/>
        <w:jc w:val="both"/>
      </w:pPr>
      <w:bookmarkStart w:id="67" w:name="_Toc258238895"/>
      <w:bookmarkStart w:id="68" w:name="_Toc468345352"/>
      <w:r w:rsidRPr="00F34093">
        <w:lastRenderedPageBreak/>
        <w:t>Poslovni prostori i stanovi u vlasništvu Grada Zagreba</w:t>
      </w:r>
      <w:bookmarkEnd w:id="67"/>
      <w:bookmarkEnd w:id="68"/>
    </w:p>
    <w:p w14:paraId="2FB6B0CF" w14:textId="03CD3900" w:rsidR="007506B8" w:rsidRPr="00F34093" w:rsidRDefault="007506B8" w:rsidP="00E92750">
      <w:pPr>
        <w:spacing w:line="240" w:lineRule="auto"/>
        <w:jc w:val="both"/>
      </w:pPr>
      <w:r w:rsidRPr="00F34093">
        <w:t>Grad Zagreb vlasnik je 2 171 poslovnih prostora, ukupne površine 290 801,68 m</w:t>
      </w:r>
      <w:r w:rsidRPr="00F34093">
        <w:rPr>
          <w:vertAlign w:val="superscript"/>
        </w:rPr>
        <w:t>2</w:t>
      </w:r>
      <w:r w:rsidRPr="00F34093">
        <w:t xml:space="preserve"> i 5 116 stanova ukupne površine 243 614,79 m</w:t>
      </w:r>
      <w:r w:rsidRPr="00F34093">
        <w:rPr>
          <w:vertAlign w:val="superscript"/>
        </w:rPr>
        <w:t>2</w:t>
      </w:r>
      <w:r w:rsidRPr="00F34093">
        <w:t>.</w:t>
      </w:r>
      <w:r w:rsidR="0015205F" w:rsidRPr="00F34093">
        <w:t xml:space="preserve"> </w:t>
      </w:r>
      <w:r w:rsidRPr="00F34093">
        <w:t>Ukupni broj objekata u</w:t>
      </w:r>
      <w:r w:rsidR="000F64C5" w:rsidRPr="00F34093">
        <w:t xml:space="preserve"> kategoriji poslovni prostori i stanovi u vlasništvu Grada</w:t>
      </w:r>
      <w:r w:rsidRPr="00F34093">
        <w:t xml:space="preserve"> Zagreba</w:t>
      </w:r>
      <w:r w:rsidR="000F64C5" w:rsidRPr="00F34093">
        <w:t xml:space="preserve"> iznosi </w:t>
      </w:r>
      <w:r w:rsidR="00B24182" w:rsidRPr="00F34093">
        <w:t xml:space="preserve">7 </w:t>
      </w:r>
      <w:r w:rsidR="005F5C1E" w:rsidRPr="00F34093">
        <w:t>287</w:t>
      </w:r>
      <w:r w:rsidR="000F64C5" w:rsidRPr="00F34093">
        <w:t xml:space="preserve">, </w:t>
      </w:r>
      <w:r w:rsidRPr="00F34093">
        <w:t xml:space="preserve">ukupne površine </w:t>
      </w:r>
      <w:r w:rsidRPr="00F34093">
        <w:rPr>
          <w:rFonts w:ascii="Calibri" w:eastAsia="Times New Roman" w:hAnsi="Calibri" w:cs="Calibri"/>
          <w:color w:val="000000"/>
          <w:lang w:eastAsia="hr-HR"/>
        </w:rPr>
        <w:t>534 416,47 m</w:t>
      </w:r>
      <w:r w:rsidRPr="00F34093">
        <w:rPr>
          <w:rFonts w:ascii="Calibri" w:eastAsia="Times New Roman" w:hAnsi="Calibri" w:cs="Calibri"/>
          <w:color w:val="000000"/>
          <w:vertAlign w:val="superscript"/>
          <w:lang w:eastAsia="hr-HR"/>
        </w:rPr>
        <w:t>2</w:t>
      </w:r>
      <w:r w:rsidRPr="00F34093">
        <w:rPr>
          <w:rFonts w:ascii="Calibri" w:eastAsia="Times New Roman" w:hAnsi="Calibri" w:cs="Calibri"/>
          <w:color w:val="000000"/>
          <w:lang w:eastAsia="hr-HR"/>
        </w:rPr>
        <w:t xml:space="preserve">. </w:t>
      </w:r>
    </w:p>
    <w:p w14:paraId="6F9A67FF" w14:textId="64B9A7FB" w:rsidR="000F64C5" w:rsidRPr="00A10B2C" w:rsidRDefault="000F64C5" w:rsidP="00E92750">
      <w:pPr>
        <w:spacing w:line="240" w:lineRule="auto"/>
        <w:jc w:val="both"/>
      </w:pPr>
      <w:r w:rsidRPr="00F34093">
        <w:t>Kako podaci o potrošnji električne i toplinske energije nisu bili dostupni, potrošnja električne energije je procijenjena prema iskust</w:t>
      </w:r>
      <w:r w:rsidR="007506B8" w:rsidRPr="00F34093">
        <w:t>venoj specifičnoj potrošnji od 45</w:t>
      </w:r>
      <w:r w:rsidRPr="00F34093">
        <w:t xml:space="preserve"> kWh/m</w:t>
      </w:r>
      <w:r w:rsidRPr="00F34093">
        <w:rPr>
          <w:vertAlign w:val="superscript"/>
        </w:rPr>
        <w:t>2</w:t>
      </w:r>
      <w:r w:rsidRPr="00F34093">
        <w:t xml:space="preserve"> za tip zgrada te namjene i poznate površine poslovnih prostora i stanova u vlasništvu Grada Zagreba na </w:t>
      </w:r>
      <w:r w:rsidR="00F34093" w:rsidRPr="00F34093">
        <w:rPr>
          <w:rFonts w:ascii="Calibri" w:eastAsia="Times New Roman" w:hAnsi="Calibri" w:cs="Calibri"/>
          <w:color w:val="000000"/>
          <w:lang w:eastAsia="hr-HR"/>
        </w:rPr>
        <w:t>24 048 741</w:t>
      </w:r>
      <w:r w:rsidR="006F2E09" w:rsidRPr="00F34093">
        <w:rPr>
          <w:rFonts w:ascii="Calibri" w:eastAsia="Times New Roman" w:hAnsi="Calibri" w:cs="Calibri"/>
          <w:color w:val="000000"/>
          <w:lang w:eastAsia="hr-HR"/>
        </w:rPr>
        <w:t xml:space="preserve"> </w:t>
      </w:r>
      <w:r w:rsidRPr="00F34093">
        <w:t xml:space="preserve">kWh, a </w:t>
      </w:r>
      <w:r w:rsidR="00EB001A" w:rsidRPr="00A10B2C">
        <w:t>s</w:t>
      </w:r>
      <w:r w:rsidR="00131530" w:rsidRPr="00A10B2C">
        <w:t>pecifična korisna energija za grijanje</w:t>
      </w:r>
      <w:r w:rsidRPr="00A10B2C">
        <w:t xml:space="preserve"> na </w:t>
      </w:r>
      <w:r w:rsidR="007506B8" w:rsidRPr="00A10B2C">
        <w:t>160</w:t>
      </w:r>
      <w:r w:rsidRPr="00A10B2C">
        <w:t xml:space="preserve"> kWh/m</w:t>
      </w:r>
      <w:r w:rsidRPr="00A10B2C">
        <w:rPr>
          <w:vertAlign w:val="superscript"/>
        </w:rPr>
        <w:t>2</w:t>
      </w:r>
      <w:r w:rsidRPr="00A10B2C">
        <w:t xml:space="preserve"> odnosno </w:t>
      </w:r>
      <w:r w:rsidR="0061686A" w:rsidRPr="00A10B2C">
        <w:rPr>
          <w:rFonts w:ascii="Calibri" w:eastAsia="Times New Roman" w:hAnsi="Calibri" w:cs="Calibri"/>
          <w:color w:val="000000"/>
          <w:lang w:eastAsia="hr-HR"/>
        </w:rPr>
        <w:t xml:space="preserve">85 506 </w:t>
      </w:r>
      <w:r w:rsidR="00F34093" w:rsidRPr="00A10B2C">
        <w:rPr>
          <w:rFonts w:ascii="Calibri" w:eastAsia="Times New Roman" w:hAnsi="Calibri" w:cs="Calibri"/>
          <w:color w:val="000000"/>
          <w:lang w:eastAsia="hr-HR"/>
        </w:rPr>
        <w:t>635</w:t>
      </w:r>
      <w:r w:rsidR="007506B8" w:rsidRPr="00A10B2C">
        <w:rPr>
          <w:rFonts w:ascii="Calibri" w:eastAsia="Times New Roman" w:hAnsi="Calibri" w:cs="Calibri"/>
          <w:color w:val="000000"/>
          <w:lang w:eastAsia="hr-HR"/>
        </w:rPr>
        <w:t xml:space="preserve"> </w:t>
      </w:r>
      <w:r w:rsidRPr="00A10B2C">
        <w:t>kWh.</w:t>
      </w:r>
      <w:r w:rsidR="0061686A" w:rsidRPr="00A10B2C">
        <w:rPr>
          <w:rStyle w:val="FootnoteReference"/>
        </w:rPr>
        <w:footnoteReference w:id="19"/>
      </w:r>
    </w:p>
    <w:p w14:paraId="445C7CAF" w14:textId="77777777" w:rsidR="007B4A20" w:rsidRPr="00A10B2C" w:rsidRDefault="007B4A20" w:rsidP="00E92750">
      <w:pPr>
        <w:pStyle w:val="Heading3"/>
        <w:spacing w:after="240" w:line="240" w:lineRule="auto"/>
        <w:jc w:val="both"/>
        <w:rPr>
          <w:rFonts w:eastAsia="Calibri"/>
        </w:rPr>
      </w:pPr>
      <w:bookmarkStart w:id="69" w:name="_Toc468345353"/>
      <w:r w:rsidRPr="00A10B2C">
        <w:rPr>
          <w:rFonts w:eastAsia="Calibri"/>
        </w:rPr>
        <w:t>Ostali objekti</w:t>
      </w:r>
      <w:bookmarkEnd w:id="69"/>
    </w:p>
    <w:p w14:paraId="6212E743" w14:textId="417A9F9C" w:rsidR="007B4A20" w:rsidRPr="00A10B2C" w:rsidRDefault="007B4A20" w:rsidP="00E92750">
      <w:pPr>
        <w:spacing w:line="240" w:lineRule="auto"/>
        <w:jc w:val="both"/>
      </w:pPr>
      <w:r w:rsidRPr="00A10B2C">
        <w:t>Kategorija ostali objekti u vlasništvu Grada Zagreba obuhvaća</w:t>
      </w:r>
      <w:r w:rsidR="00252FFA">
        <w:t xml:space="preserve"> četiri objekta, ukupne</w:t>
      </w:r>
      <w:r w:rsidRPr="00A10B2C">
        <w:t xml:space="preserve"> površine</w:t>
      </w:r>
      <w:r w:rsidR="00252FFA">
        <w:t xml:space="preserve"> </w:t>
      </w:r>
      <w:r w:rsidR="0064795A">
        <w:t>4 418</w:t>
      </w:r>
      <w:r w:rsidRPr="00A10B2C">
        <w:t>,98 m</w:t>
      </w:r>
      <w:r w:rsidRPr="00A10B2C">
        <w:rPr>
          <w:vertAlign w:val="superscript"/>
        </w:rPr>
        <w:t>2</w:t>
      </w:r>
      <w:r w:rsidRPr="00A10B2C">
        <w:t xml:space="preserve">. U kategoriji ostali objekti u 2015. </w:t>
      </w:r>
      <w:r w:rsidR="0064795A">
        <w:t>godini ukupno je potrošeno 1 166 07</w:t>
      </w:r>
      <w:r w:rsidR="00702BF3">
        <w:t>6</w:t>
      </w:r>
      <w:r w:rsidRPr="00A10B2C">
        <w:t xml:space="preserve"> kWh električne energije za ne-toplinske namjene. </w:t>
      </w:r>
    </w:p>
    <w:p w14:paraId="0A3EDC72" w14:textId="3EBAE693" w:rsidR="007B4A20" w:rsidRPr="00A10B2C" w:rsidRDefault="007B4A20" w:rsidP="00E92750">
      <w:pPr>
        <w:spacing w:line="240" w:lineRule="auto"/>
        <w:jc w:val="both"/>
      </w:pPr>
      <w:r w:rsidRPr="00A10B2C">
        <w:t>U kategoriji ostali objekti u 2015.</w:t>
      </w:r>
      <w:r w:rsidR="00464B5F" w:rsidRPr="00A10B2C">
        <w:t xml:space="preserve"> go</w:t>
      </w:r>
      <w:r w:rsidR="00A10B2C" w:rsidRPr="00A10B2C">
        <w:t>dini ukupno je potroš</w:t>
      </w:r>
      <w:r w:rsidR="005355BB">
        <w:t>e</w:t>
      </w:r>
      <w:r w:rsidR="0064795A">
        <w:t xml:space="preserve">no </w:t>
      </w:r>
      <w:r w:rsidR="00702BF3">
        <w:t xml:space="preserve">1 516 </w:t>
      </w:r>
      <w:r w:rsidRPr="00A10B2C">
        <w:t>MWh toplinske energije. Parametri potrošnje toplinske energije kategorije ostali objekti Gr</w:t>
      </w:r>
      <w:r w:rsidR="00CC09C4" w:rsidRPr="00A10B2C">
        <w:t xml:space="preserve">ada Zagreba </w:t>
      </w:r>
      <w:r w:rsidR="00464B5F" w:rsidRPr="00A10B2C">
        <w:t xml:space="preserve">u 2015. godini </w:t>
      </w:r>
      <w:r w:rsidR="00CC09C4" w:rsidRPr="00A10B2C">
        <w:t xml:space="preserve">dani su u nastavku </w:t>
      </w:r>
      <w:r w:rsidRPr="00A10B2C">
        <w:fldChar w:fldCharType="begin"/>
      </w:r>
      <w:r w:rsidRPr="00A10B2C">
        <w:instrText xml:space="preserve"> REF _Ref462221148 \h  \* MERGEFORMAT </w:instrText>
      </w:r>
      <w:r w:rsidRPr="00A10B2C">
        <w:fldChar w:fldCharType="separate"/>
      </w:r>
      <w:r w:rsidR="009C319B" w:rsidRPr="00A10B2C">
        <w:rPr>
          <w:b/>
          <w:bCs/>
        </w:rPr>
        <w:t xml:space="preserve">Tablica </w:t>
      </w:r>
      <w:r w:rsidR="009C319B">
        <w:rPr>
          <w:b/>
          <w:bCs/>
          <w:noProof/>
        </w:rPr>
        <w:t>4</w:t>
      </w:r>
      <w:r w:rsidR="009C319B" w:rsidRPr="00A10B2C">
        <w:rPr>
          <w:b/>
          <w:bCs/>
          <w:noProof/>
        </w:rPr>
        <w:t>.</w:t>
      </w:r>
      <w:r w:rsidR="009C319B">
        <w:rPr>
          <w:b/>
          <w:bCs/>
          <w:noProof/>
        </w:rPr>
        <w:t>6</w:t>
      </w:r>
      <w:r w:rsidRPr="00A10B2C">
        <w:fldChar w:fldCharType="end"/>
      </w:r>
      <w:r w:rsidR="00CC09C4" w:rsidRPr="00A10B2C">
        <w:t xml:space="preserve"> i </w:t>
      </w:r>
      <w:r w:rsidRPr="00A10B2C">
        <w:fldChar w:fldCharType="begin"/>
      </w:r>
      <w:r w:rsidRPr="00A10B2C">
        <w:instrText xml:space="preserve"> REF _Ref462221171 \h </w:instrText>
      </w:r>
      <w:r w:rsidR="005E0ADE" w:rsidRPr="00A10B2C">
        <w:instrText xml:space="preserve"> \* MERGEFORMAT </w:instrText>
      </w:r>
      <w:r w:rsidRPr="00A10B2C">
        <w:fldChar w:fldCharType="separate"/>
      </w:r>
      <w:r w:rsidR="009C319B" w:rsidRPr="00A10B2C">
        <w:rPr>
          <w:b/>
        </w:rPr>
        <w:t xml:space="preserve">Slika </w:t>
      </w:r>
      <w:r w:rsidR="009C319B">
        <w:rPr>
          <w:b/>
          <w:noProof/>
        </w:rPr>
        <w:t>4</w:t>
      </w:r>
      <w:r w:rsidR="009C319B" w:rsidRPr="00A10B2C">
        <w:rPr>
          <w:b/>
          <w:noProof/>
        </w:rPr>
        <w:t>.</w:t>
      </w:r>
      <w:r w:rsidR="009C319B">
        <w:rPr>
          <w:b/>
          <w:noProof/>
        </w:rPr>
        <w:t>14</w:t>
      </w:r>
      <w:r w:rsidRPr="00A10B2C">
        <w:fldChar w:fldCharType="end"/>
      </w:r>
      <w:r w:rsidRPr="00A10B2C">
        <w:t>.</w:t>
      </w:r>
    </w:p>
    <w:p w14:paraId="289BB27E" w14:textId="5B88963C" w:rsidR="007B4A20" w:rsidRPr="00A10B2C" w:rsidRDefault="007B4A20" w:rsidP="00E92750">
      <w:pPr>
        <w:spacing w:after="0" w:line="240" w:lineRule="auto"/>
        <w:jc w:val="both"/>
      </w:pPr>
      <w:bookmarkStart w:id="70" w:name="_Ref462221148"/>
      <w:bookmarkStart w:id="71" w:name="_Ref462221145"/>
      <w:bookmarkStart w:id="72" w:name="_Toc468277498"/>
      <w:r w:rsidRPr="00A10B2C">
        <w:rPr>
          <w:b/>
          <w:bCs/>
        </w:rPr>
        <w:t xml:space="preserve">Tablica </w:t>
      </w:r>
      <w:r w:rsidR="000B3499" w:rsidRPr="00A10B2C">
        <w:rPr>
          <w:b/>
          <w:bCs/>
        </w:rPr>
        <w:fldChar w:fldCharType="begin"/>
      </w:r>
      <w:r w:rsidR="000B3499" w:rsidRPr="00A10B2C">
        <w:rPr>
          <w:b/>
          <w:bCs/>
        </w:rPr>
        <w:instrText xml:space="preserve"> STYLEREF 1 \s </w:instrText>
      </w:r>
      <w:r w:rsidR="000B3499" w:rsidRPr="00A10B2C">
        <w:rPr>
          <w:b/>
          <w:bCs/>
        </w:rPr>
        <w:fldChar w:fldCharType="separate"/>
      </w:r>
      <w:r w:rsidR="009C319B">
        <w:rPr>
          <w:b/>
          <w:bCs/>
          <w:noProof/>
        </w:rPr>
        <w:t>4</w:t>
      </w:r>
      <w:r w:rsidR="000B3499" w:rsidRPr="00A10B2C">
        <w:rPr>
          <w:b/>
          <w:bCs/>
        </w:rPr>
        <w:fldChar w:fldCharType="end"/>
      </w:r>
      <w:r w:rsidR="000B3499" w:rsidRPr="00A10B2C">
        <w:rPr>
          <w:b/>
          <w:bCs/>
        </w:rPr>
        <w:t>.</w:t>
      </w:r>
      <w:r w:rsidR="000B3499" w:rsidRPr="00A10B2C">
        <w:rPr>
          <w:b/>
          <w:bCs/>
        </w:rPr>
        <w:fldChar w:fldCharType="begin"/>
      </w:r>
      <w:r w:rsidR="000B3499" w:rsidRPr="00A10B2C">
        <w:rPr>
          <w:b/>
          <w:bCs/>
        </w:rPr>
        <w:instrText xml:space="preserve"> SEQ Tablica \* ARABIC \s 1 </w:instrText>
      </w:r>
      <w:r w:rsidR="000B3499" w:rsidRPr="00A10B2C">
        <w:rPr>
          <w:b/>
          <w:bCs/>
        </w:rPr>
        <w:fldChar w:fldCharType="separate"/>
      </w:r>
      <w:r w:rsidR="009C319B">
        <w:rPr>
          <w:b/>
          <w:bCs/>
          <w:noProof/>
        </w:rPr>
        <w:t>6</w:t>
      </w:r>
      <w:r w:rsidR="000B3499" w:rsidRPr="00A10B2C">
        <w:rPr>
          <w:b/>
          <w:bCs/>
        </w:rPr>
        <w:fldChar w:fldCharType="end"/>
      </w:r>
      <w:bookmarkEnd w:id="70"/>
      <w:r w:rsidRPr="00A10B2C">
        <w:rPr>
          <w:b/>
          <w:bCs/>
        </w:rPr>
        <w:t xml:space="preserve"> </w:t>
      </w:r>
      <w:r w:rsidRPr="00A10B2C">
        <w:t xml:space="preserve">Parametri potrošnje toplinske energije kategorije ostali objekti </w:t>
      </w:r>
      <w:r w:rsidR="00CC09C4" w:rsidRPr="00A10B2C">
        <w:t xml:space="preserve">u vlasništvu </w:t>
      </w:r>
      <w:r w:rsidRPr="00A10B2C">
        <w:t>Grada Zagreba</w:t>
      </w:r>
      <w:bookmarkEnd w:id="71"/>
      <w:r w:rsidR="00464B5F" w:rsidRPr="00A10B2C">
        <w:t xml:space="preserve"> u 2015. godini</w:t>
      </w:r>
      <w:bookmarkEnd w:id="72"/>
    </w:p>
    <w:tbl>
      <w:tblPr>
        <w:tblW w:w="5000" w:type="pct"/>
        <w:tblLook w:val="04A0" w:firstRow="1" w:lastRow="0" w:firstColumn="1" w:lastColumn="0" w:noHBand="0" w:noVBand="1"/>
      </w:tblPr>
      <w:tblGrid>
        <w:gridCol w:w="1955"/>
        <w:gridCol w:w="1193"/>
        <w:gridCol w:w="1660"/>
        <w:gridCol w:w="1798"/>
        <w:gridCol w:w="2456"/>
      </w:tblGrid>
      <w:tr w:rsidR="00A76D03" w:rsidRPr="00702BF3" w14:paraId="20FCC850" w14:textId="77777777" w:rsidTr="00A76D03">
        <w:trPr>
          <w:trHeight w:val="99"/>
        </w:trPr>
        <w:tc>
          <w:tcPr>
            <w:tcW w:w="1079" w:type="pct"/>
            <w:tcBorders>
              <w:top w:val="single" w:sz="4" w:space="0" w:color="auto"/>
              <w:left w:val="single" w:sz="4" w:space="0" w:color="auto"/>
              <w:bottom w:val="single" w:sz="4" w:space="0" w:color="auto"/>
              <w:right w:val="single" w:sz="4" w:space="0" w:color="auto"/>
            </w:tcBorders>
            <w:shd w:val="clear" w:color="000000" w:fill="D9D9D9"/>
            <w:hideMark/>
          </w:tcPr>
          <w:p w14:paraId="43D5E702" w14:textId="77777777" w:rsidR="00702BF3" w:rsidRPr="00702BF3" w:rsidRDefault="00702BF3" w:rsidP="00702BF3">
            <w:pPr>
              <w:spacing w:after="0" w:line="240" w:lineRule="auto"/>
              <w:rPr>
                <w:rFonts w:ascii="Calibri" w:eastAsia="Times New Roman" w:hAnsi="Calibri" w:cs="Calibri"/>
                <w:b/>
                <w:bCs/>
                <w:color w:val="000000"/>
                <w:sz w:val="20"/>
                <w:szCs w:val="20"/>
                <w:lang w:eastAsia="hr-HR"/>
              </w:rPr>
            </w:pPr>
            <w:r w:rsidRPr="00702BF3">
              <w:rPr>
                <w:rFonts w:ascii="Calibri" w:eastAsia="Times New Roman" w:hAnsi="Calibri" w:cs="Calibri"/>
                <w:b/>
                <w:bCs/>
                <w:color w:val="000000"/>
                <w:sz w:val="20"/>
                <w:szCs w:val="20"/>
                <w:lang w:eastAsia="hr-HR"/>
              </w:rPr>
              <w:t>Energent</w:t>
            </w:r>
          </w:p>
        </w:tc>
        <w:tc>
          <w:tcPr>
            <w:tcW w:w="658" w:type="pct"/>
            <w:tcBorders>
              <w:top w:val="single" w:sz="4" w:space="0" w:color="auto"/>
              <w:left w:val="nil"/>
              <w:bottom w:val="single" w:sz="4" w:space="0" w:color="auto"/>
              <w:right w:val="single" w:sz="4" w:space="0" w:color="auto"/>
            </w:tcBorders>
            <w:shd w:val="clear" w:color="000000" w:fill="D9D9D9"/>
            <w:hideMark/>
          </w:tcPr>
          <w:p w14:paraId="000C15FE" w14:textId="77777777" w:rsidR="00702BF3" w:rsidRPr="00702BF3" w:rsidRDefault="00702BF3" w:rsidP="00702BF3">
            <w:pPr>
              <w:spacing w:after="0" w:line="240" w:lineRule="auto"/>
              <w:jc w:val="center"/>
              <w:rPr>
                <w:rFonts w:ascii="Calibri" w:eastAsia="Times New Roman" w:hAnsi="Calibri" w:cs="Calibri"/>
                <w:b/>
                <w:bCs/>
                <w:color w:val="000000"/>
                <w:sz w:val="20"/>
                <w:szCs w:val="20"/>
                <w:lang w:eastAsia="hr-HR"/>
              </w:rPr>
            </w:pPr>
            <w:r w:rsidRPr="00702BF3">
              <w:rPr>
                <w:rFonts w:ascii="Calibri" w:eastAsia="Times New Roman" w:hAnsi="Calibri" w:cs="Calibri"/>
                <w:b/>
                <w:bCs/>
                <w:color w:val="000000"/>
                <w:sz w:val="20"/>
                <w:szCs w:val="20"/>
                <w:lang w:eastAsia="hr-HR"/>
              </w:rPr>
              <w:t>Broj objekata</w:t>
            </w:r>
          </w:p>
        </w:tc>
        <w:tc>
          <w:tcPr>
            <w:tcW w:w="916" w:type="pct"/>
            <w:tcBorders>
              <w:top w:val="single" w:sz="4" w:space="0" w:color="auto"/>
              <w:left w:val="nil"/>
              <w:bottom w:val="single" w:sz="4" w:space="0" w:color="auto"/>
              <w:right w:val="single" w:sz="4" w:space="0" w:color="auto"/>
            </w:tcBorders>
            <w:shd w:val="clear" w:color="000000" w:fill="D9D9D9"/>
            <w:hideMark/>
          </w:tcPr>
          <w:p w14:paraId="6AB451B7" w14:textId="77777777" w:rsidR="00702BF3" w:rsidRPr="00702BF3" w:rsidRDefault="00702BF3" w:rsidP="00702BF3">
            <w:pPr>
              <w:spacing w:after="0" w:line="240" w:lineRule="auto"/>
              <w:jc w:val="center"/>
              <w:rPr>
                <w:rFonts w:ascii="Calibri" w:eastAsia="Times New Roman" w:hAnsi="Calibri" w:cs="Calibri"/>
                <w:b/>
                <w:bCs/>
                <w:color w:val="000000"/>
                <w:sz w:val="20"/>
                <w:szCs w:val="20"/>
                <w:lang w:eastAsia="hr-HR"/>
              </w:rPr>
            </w:pPr>
            <w:r w:rsidRPr="00702BF3">
              <w:rPr>
                <w:rFonts w:ascii="Calibri" w:eastAsia="Times New Roman" w:hAnsi="Calibri" w:cs="Calibri"/>
                <w:b/>
                <w:bCs/>
                <w:color w:val="000000"/>
                <w:sz w:val="20"/>
                <w:szCs w:val="20"/>
                <w:lang w:eastAsia="hr-HR"/>
              </w:rPr>
              <w:t>Ukupna grijana površina (m2)</w:t>
            </w:r>
          </w:p>
        </w:tc>
        <w:tc>
          <w:tcPr>
            <w:tcW w:w="992" w:type="pct"/>
            <w:tcBorders>
              <w:top w:val="single" w:sz="4" w:space="0" w:color="auto"/>
              <w:left w:val="nil"/>
              <w:bottom w:val="single" w:sz="4" w:space="0" w:color="auto"/>
              <w:right w:val="single" w:sz="4" w:space="0" w:color="auto"/>
            </w:tcBorders>
            <w:shd w:val="clear" w:color="000000" w:fill="D9D9D9"/>
            <w:hideMark/>
          </w:tcPr>
          <w:p w14:paraId="22AFCC46" w14:textId="77777777" w:rsidR="00702BF3" w:rsidRPr="00702BF3" w:rsidRDefault="00702BF3" w:rsidP="00702BF3">
            <w:pPr>
              <w:spacing w:after="0" w:line="240" w:lineRule="auto"/>
              <w:jc w:val="center"/>
              <w:rPr>
                <w:rFonts w:ascii="Calibri" w:eastAsia="Times New Roman" w:hAnsi="Calibri" w:cs="Calibri"/>
                <w:b/>
                <w:bCs/>
                <w:color w:val="000000"/>
                <w:sz w:val="20"/>
                <w:szCs w:val="20"/>
                <w:lang w:eastAsia="hr-HR"/>
              </w:rPr>
            </w:pPr>
            <w:r w:rsidRPr="00702BF3">
              <w:rPr>
                <w:rFonts w:ascii="Calibri" w:eastAsia="Times New Roman" w:hAnsi="Calibri" w:cs="Calibri"/>
                <w:b/>
                <w:bCs/>
                <w:color w:val="000000"/>
                <w:sz w:val="20"/>
                <w:szCs w:val="20"/>
                <w:lang w:eastAsia="hr-HR"/>
              </w:rPr>
              <w:t>Potrošnja toplinske energije (MWh)</w:t>
            </w:r>
          </w:p>
        </w:tc>
        <w:tc>
          <w:tcPr>
            <w:tcW w:w="1355" w:type="pct"/>
            <w:tcBorders>
              <w:top w:val="single" w:sz="4" w:space="0" w:color="auto"/>
              <w:left w:val="nil"/>
              <w:bottom w:val="single" w:sz="4" w:space="0" w:color="auto"/>
              <w:right w:val="single" w:sz="4" w:space="0" w:color="auto"/>
            </w:tcBorders>
            <w:shd w:val="clear" w:color="000000" w:fill="D9D9D9"/>
            <w:hideMark/>
          </w:tcPr>
          <w:p w14:paraId="4D3C6508" w14:textId="77777777" w:rsidR="00702BF3" w:rsidRPr="00702BF3" w:rsidRDefault="00702BF3" w:rsidP="00702BF3">
            <w:pPr>
              <w:spacing w:after="0" w:line="240" w:lineRule="auto"/>
              <w:jc w:val="center"/>
              <w:rPr>
                <w:rFonts w:ascii="Calibri" w:eastAsia="Times New Roman" w:hAnsi="Calibri" w:cs="Calibri"/>
                <w:b/>
                <w:bCs/>
                <w:color w:val="000000"/>
                <w:sz w:val="20"/>
                <w:szCs w:val="20"/>
                <w:lang w:eastAsia="hr-HR"/>
              </w:rPr>
            </w:pPr>
            <w:r w:rsidRPr="00702BF3">
              <w:rPr>
                <w:rFonts w:ascii="Calibri" w:eastAsia="Times New Roman" w:hAnsi="Calibri" w:cs="Calibri"/>
                <w:b/>
                <w:bCs/>
                <w:color w:val="000000"/>
                <w:sz w:val="20"/>
                <w:szCs w:val="20"/>
                <w:lang w:eastAsia="hr-HR"/>
              </w:rPr>
              <w:t>Specifična potrošnja toplinske energije kWh/m</w:t>
            </w:r>
            <w:r w:rsidRPr="00702BF3">
              <w:rPr>
                <w:rFonts w:ascii="Calibri" w:eastAsia="Times New Roman" w:hAnsi="Calibri" w:cs="Calibri"/>
                <w:b/>
                <w:bCs/>
                <w:color w:val="000000"/>
                <w:sz w:val="20"/>
                <w:szCs w:val="20"/>
                <w:vertAlign w:val="superscript"/>
                <w:lang w:eastAsia="hr-HR"/>
              </w:rPr>
              <w:t>2</w:t>
            </w:r>
          </w:p>
        </w:tc>
      </w:tr>
      <w:tr w:rsidR="00A76D03" w:rsidRPr="00702BF3" w14:paraId="515595AD" w14:textId="77777777" w:rsidTr="00A76D03">
        <w:trPr>
          <w:trHeight w:val="240"/>
        </w:trPr>
        <w:tc>
          <w:tcPr>
            <w:tcW w:w="1079" w:type="pct"/>
            <w:tcBorders>
              <w:top w:val="nil"/>
              <w:left w:val="single" w:sz="4" w:space="0" w:color="auto"/>
              <w:bottom w:val="single" w:sz="4" w:space="0" w:color="auto"/>
              <w:right w:val="single" w:sz="4" w:space="0" w:color="auto"/>
            </w:tcBorders>
            <w:shd w:val="clear" w:color="auto" w:fill="auto"/>
            <w:noWrap/>
            <w:vAlign w:val="center"/>
            <w:hideMark/>
          </w:tcPr>
          <w:p w14:paraId="1C9D67D3" w14:textId="77777777" w:rsidR="00702BF3" w:rsidRPr="00702BF3" w:rsidRDefault="00702BF3" w:rsidP="00702BF3">
            <w:pPr>
              <w:spacing w:after="0" w:line="240" w:lineRule="auto"/>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Prirodni plin</w:t>
            </w:r>
          </w:p>
        </w:tc>
        <w:tc>
          <w:tcPr>
            <w:tcW w:w="658" w:type="pct"/>
            <w:tcBorders>
              <w:top w:val="nil"/>
              <w:left w:val="nil"/>
              <w:bottom w:val="single" w:sz="4" w:space="0" w:color="auto"/>
              <w:right w:val="single" w:sz="4" w:space="0" w:color="auto"/>
            </w:tcBorders>
            <w:shd w:val="clear" w:color="auto" w:fill="auto"/>
            <w:noWrap/>
            <w:vAlign w:val="center"/>
            <w:hideMark/>
          </w:tcPr>
          <w:p w14:paraId="5DA4DD6C" w14:textId="77777777" w:rsidR="00702BF3" w:rsidRPr="00702BF3" w:rsidRDefault="00702BF3" w:rsidP="00702BF3">
            <w:pPr>
              <w:spacing w:after="0" w:line="240" w:lineRule="auto"/>
              <w:jc w:val="center"/>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2</w:t>
            </w:r>
          </w:p>
        </w:tc>
        <w:tc>
          <w:tcPr>
            <w:tcW w:w="916" w:type="pct"/>
            <w:tcBorders>
              <w:top w:val="nil"/>
              <w:left w:val="nil"/>
              <w:bottom w:val="single" w:sz="4" w:space="0" w:color="auto"/>
              <w:right w:val="single" w:sz="4" w:space="0" w:color="auto"/>
            </w:tcBorders>
            <w:shd w:val="clear" w:color="auto" w:fill="auto"/>
            <w:noWrap/>
            <w:vAlign w:val="center"/>
            <w:hideMark/>
          </w:tcPr>
          <w:p w14:paraId="18CF54EC" w14:textId="77777777" w:rsidR="00702BF3" w:rsidRPr="00702BF3" w:rsidRDefault="00702BF3" w:rsidP="00702BF3">
            <w:pPr>
              <w:spacing w:after="0" w:line="240" w:lineRule="auto"/>
              <w:jc w:val="center"/>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868,98</w:t>
            </w:r>
          </w:p>
        </w:tc>
        <w:tc>
          <w:tcPr>
            <w:tcW w:w="992" w:type="pct"/>
            <w:tcBorders>
              <w:top w:val="nil"/>
              <w:left w:val="nil"/>
              <w:bottom w:val="single" w:sz="4" w:space="0" w:color="auto"/>
              <w:right w:val="single" w:sz="4" w:space="0" w:color="auto"/>
            </w:tcBorders>
            <w:shd w:val="clear" w:color="auto" w:fill="auto"/>
            <w:noWrap/>
            <w:vAlign w:val="center"/>
            <w:hideMark/>
          </w:tcPr>
          <w:p w14:paraId="64F9AFA8" w14:textId="77777777" w:rsidR="00702BF3" w:rsidRPr="00702BF3" w:rsidRDefault="00702BF3" w:rsidP="00702BF3">
            <w:pPr>
              <w:spacing w:after="0" w:line="240" w:lineRule="auto"/>
              <w:jc w:val="center"/>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175,45</w:t>
            </w:r>
          </w:p>
        </w:tc>
        <w:tc>
          <w:tcPr>
            <w:tcW w:w="1355" w:type="pct"/>
            <w:tcBorders>
              <w:top w:val="nil"/>
              <w:left w:val="nil"/>
              <w:bottom w:val="single" w:sz="4" w:space="0" w:color="auto"/>
              <w:right w:val="single" w:sz="4" w:space="0" w:color="auto"/>
            </w:tcBorders>
            <w:shd w:val="clear" w:color="auto" w:fill="auto"/>
            <w:noWrap/>
            <w:vAlign w:val="center"/>
            <w:hideMark/>
          </w:tcPr>
          <w:p w14:paraId="59D4BCA3" w14:textId="77777777" w:rsidR="00702BF3" w:rsidRPr="00702BF3" w:rsidRDefault="00702BF3" w:rsidP="00702BF3">
            <w:pPr>
              <w:spacing w:after="0" w:line="240" w:lineRule="auto"/>
              <w:jc w:val="center"/>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201,91</w:t>
            </w:r>
          </w:p>
        </w:tc>
      </w:tr>
      <w:tr w:rsidR="00A76D03" w:rsidRPr="00702BF3" w14:paraId="750C73E8" w14:textId="77777777" w:rsidTr="00A76D03">
        <w:trPr>
          <w:trHeight w:val="240"/>
        </w:trPr>
        <w:tc>
          <w:tcPr>
            <w:tcW w:w="1079" w:type="pct"/>
            <w:tcBorders>
              <w:top w:val="nil"/>
              <w:left w:val="single" w:sz="4" w:space="0" w:color="auto"/>
              <w:bottom w:val="single" w:sz="4" w:space="0" w:color="auto"/>
              <w:right w:val="single" w:sz="4" w:space="0" w:color="auto"/>
            </w:tcBorders>
            <w:shd w:val="clear" w:color="auto" w:fill="auto"/>
            <w:noWrap/>
            <w:vAlign w:val="center"/>
            <w:hideMark/>
          </w:tcPr>
          <w:p w14:paraId="5B5BED3B" w14:textId="77777777" w:rsidR="00702BF3" w:rsidRPr="00702BF3" w:rsidRDefault="00702BF3" w:rsidP="00702BF3">
            <w:pPr>
              <w:spacing w:after="0" w:line="240" w:lineRule="auto"/>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Lož ulje</w:t>
            </w:r>
          </w:p>
        </w:tc>
        <w:tc>
          <w:tcPr>
            <w:tcW w:w="658" w:type="pct"/>
            <w:tcBorders>
              <w:top w:val="nil"/>
              <w:left w:val="nil"/>
              <w:bottom w:val="single" w:sz="4" w:space="0" w:color="auto"/>
              <w:right w:val="single" w:sz="4" w:space="0" w:color="auto"/>
            </w:tcBorders>
            <w:shd w:val="clear" w:color="auto" w:fill="auto"/>
            <w:noWrap/>
            <w:vAlign w:val="center"/>
            <w:hideMark/>
          </w:tcPr>
          <w:p w14:paraId="70A8D309" w14:textId="77777777" w:rsidR="00702BF3" w:rsidRPr="00702BF3" w:rsidRDefault="00702BF3" w:rsidP="00702BF3">
            <w:pPr>
              <w:spacing w:after="0" w:line="240" w:lineRule="auto"/>
              <w:jc w:val="center"/>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1</w:t>
            </w:r>
          </w:p>
        </w:tc>
        <w:tc>
          <w:tcPr>
            <w:tcW w:w="916" w:type="pct"/>
            <w:tcBorders>
              <w:top w:val="nil"/>
              <w:left w:val="nil"/>
              <w:bottom w:val="single" w:sz="4" w:space="0" w:color="auto"/>
              <w:right w:val="single" w:sz="4" w:space="0" w:color="auto"/>
            </w:tcBorders>
            <w:shd w:val="clear" w:color="auto" w:fill="auto"/>
            <w:noWrap/>
            <w:vAlign w:val="center"/>
            <w:hideMark/>
          </w:tcPr>
          <w:p w14:paraId="17B501F9" w14:textId="259B0A28" w:rsidR="00702BF3" w:rsidRPr="00702BF3" w:rsidRDefault="00795938" w:rsidP="00702BF3">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3 </w:t>
            </w:r>
            <w:r w:rsidR="00702BF3" w:rsidRPr="00702BF3">
              <w:rPr>
                <w:rFonts w:ascii="Calibri" w:eastAsia="Times New Roman" w:hAnsi="Calibri" w:cs="Calibri"/>
                <w:color w:val="000000"/>
                <w:sz w:val="20"/>
                <w:szCs w:val="20"/>
                <w:lang w:eastAsia="hr-HR"/>
              </w:rPr>
              <w:t>500,00</w:t>
            </w:r>
          </w:p>
        </w:tc>
        <w:tc>
          <w:tcPr>
            <w:tcW w:w="992" w:type="pct"/>
            <w:tcBorders>
              <w:top w:val="nil"/>
              <w:left w:val="nil"/>
              <w:bottom w:val="single" w:sz="4" w:space="0" w:color="auto"/>
              <w:right w:val="single" w:sz="4" w:space="0" w:color="auto"/>
            </w:tcBorders>
            <w:shd w:val="clear" w:color="auto" w:fill="auto"/>
            <w:noWrap/>
            <w:vAlign w:val="center"/>
            <w:hideMark/>
          </w:tcPr>
          <w:p w14:paraId="1619711F" w14:textId="44BA9F2A" w:rsidR="00702BF3" w:rsidRPr="00702BF3" w:rsidRDefault="00795938" w:rsidP="00702BF3">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 </w:t>
            </w:r>
            <w:r w:rsidR="00702BF3" w:rsidRPr="00702BF3">
              <w:rPr>
                <w:rFonts w:ascii="Calibri" w:eastAsia="Times New Roman" w:hAnsi="Calibri" w:cs="Calibri"/>
                <w:color w:val="000000"/>
                <w:sz w:val="20"/>
                <w:szCs w:val="20"/>
                <w:lang w:eastAsia="hr-HR"/>
              </w:rPr>
              <w:t>332,45</w:t>
            </w:r>
          </w:p>
        </w:tc>
        <w:tc>
          <w:tcPr>
            <w:tcW w:w="1355" w:type="pct"/>
            <w:tcBorders>
              <w:top w:val="nil"/>
              <w:left w:val="nil"/>
              <w:bottom w:val="single" w:sz="4" w:space="0" w:color="auto"/>
              <w:right w:val="single" w:sz="4" w:space="0" w:color="auto"/>
            </w:tcBorders>
            <w:shd w:val="clear" w:color="auto" w:fill="auto"/>
            <w:noWrap/>
            <w:vAlign w:val="center"/>
            <w:hideMark/>
          </w:tcPr>
          <w:p w14:paraId="6915668F" w14:textId="77777777" w:rsidR="00702BF3" w:rsidRPr="00702BF3" w:rsidRDefault="00702BF3" w:rsidP="00702BF3">
            <w:pPr>
              <w:spacing w:after="0" w:line="240" w:lineRule="auto"/>
              <w:jc w:val="center"/>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380,70</w:t>
            </w:r>
          </w:p>
        </w:tc>
      </w:tr>
      <w:tr w:rsidR="00A76D03" w:rsidRPr="00702BF3" w14:paraId="61D60128" w14:textId="77777777" w:rsidTr="00A76D03">
        <w:trPr>
          <w:trHeight w:val="240"/>
        </w:trPr>
        <w:tc>
          <w:tcPr>
            <w:tcW w:w="1079" w:type="pct"/>
            <w:tcBorders>
              <w:top w:val="nil"/>
              <w:left w:val="single" w:sz="4" w:space="0" w:color="auto"/>
              <w:bottom w:val="single" w:sz="4" w:space="0" w:color="auto"/>
              <w:right w:val="single" w:sz="4" w:space="0" w:color="auto"/>
            </w:tcBorders>
            <w:shd w:val="clear" w:color="auto" w:fill="auto"/>
            <w:noWrap/>
            <w:vAlign w:val="center"/>
            <w:hideMark/>
          </w:tcPr>
          <w:p w14:paraId="79C78410" w14:textId="77777777" w:rsidR="00702BF3" w:rsidRPr="00702BF3" w:rsidRDefault="00702BF3" w:rsidP="00702BF3">
            <w:pPr>
              <w:spacing w:after="0" w:line="240" w:lineRule="auto"/>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 xml:space="preserve">Električna energija </w:t>
            </w:r>
          </w:p>
        </w:tc>
        <w:tc>
          <w:tcPr>
            <w:tcW w:w="658" w:type="pct"/>
            <w:tcBorders>
              <w:top w:val="nil"/>
              <w:left w:val="nil"/>
              <w:bottom w:val="single" w:sz="4" w:space="0" w:color="auto"/>
              <w:right w:val="single" w:sz="4" w:space="0" w:color="auto"/>
            </w:tcBorders>
            <w:shd w:val="clear" w:color="auto" w:fill="auto"/>
            <w:noWrap/>
            <w:vAlign w:val="center"/>
            <w:hideMark/>
          </w:tcPr>
          <w:p w14:paraId="76225285" w14:textId="77777777" w:rsidR="00702BF3" w:rsidRPr="00702BF3" w:rsidRDefault="00702BF3" w:rsidP="00702BF3">
            <w:pPr>
              <w:spacing w:after="0" w:line="240" w:lineRule="auto"/>
              <w:jc w:val="center"/>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1</w:t>
            </w:r>
          </w:p>
        </w:tc>
        <w:tc>
          <w:tcPr>
            <w:tcW w:w="916" w:type="pct"/>
            <w:tcBorders>
              <w:top w:val="nil"/>
              <w:left w:val="nil"/>
              <w:bottom w:val="single" w:sz="4" w:space="0" w:color="auto"/>
              <w:right w:val="single" w:sz="4" w:space="0" w:color="auto"/>
            </w:tcBorders>
            <w:shd w:val="clear" w:color="auto" w:fill="auto"/>
            <w:noWrap/>
            <w:vAlign w:val="center"/>
            <w:hideMark/>
          </w:tcPr>
          <w:p w14:paraId="1DC4AA23" w14:textId="77777777" w:rsidR="00702BF3" w:rsidRPr="00702BF3" w:rsidRDefault="00702BF3" w:rsidP="00702BF3">
            <w:pPr>
              <w:spacing w:after="0" w:line="240" w:lineRule="auto"/>
              <w:jc w:val="center"/>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50,00</w:t>
            </w:r>
          </w:p>
        </w:tc>
        <w:tc>
          <w:tcPr>
            <w:tcW w:w="992" w:type="pct"/>
            <w:tcBorders>
              <w:top w:val="nil"/>
              <w:left w:val="nil"/>
              <w:bottom w:val="single" w:sz="4" w:space="0" w:color="auto"/>
              <w:right w:val="single" w:sz="4" w:space="0" w:color="auto"/>
            </w:tcBorders>
            <w:shd w:val="clear" w:color="auto" w:fill="auto"/>
            <w:noWrap/>
            <w:vAlign w:val="center"/>
            <w:hideMark/>
          </w:tcPr>
          <w:p w14:paraId="1CBFB0E5" w14:textId="77777777" w:rsidR="00702BF3" w:rsidRPr="00702BF3" w:rsidRDefault="00702BF3" w:rsidP="00702BF3">
            <w:pPr>
              <w:spacing w:after="0" w:line="240" w:lineRule="auto"/>
              <w:jc w:val="center"/>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7,90</w:t>
            </w:r>
          </w:p>
        </w:tc>
        <w:tc>
          <w:tcPr>
            <w:tcW w:w="1355" w:type="pct"/>
            <w:tcBorders>
              <w:top w:val="nil"/>
              <w:left w:val="nil"/>
              <w:bottom w:val="single" w:sz="4" w:space="0" w:color="auto"/>
              <w:right w:val="single" w:sz="4" w:space="0" w:color="auto"/>
            </w:tcBorders>
            <w:shd w:val="clear" w:color="auto" w:fill="auto"/>
            <w:noWrap/>
            <w:vAlign w:val="center"/>
            <w:hideMark/>
          </w:tcPr>
          <w:p w14:paraId="00F2132B" w14:textId="77777777" w:rsidR="00702BF3" w:rsidRPr="00702BF3" w:rsidRDefault="00702BF3" w:rsidP="00702BF3">
            <w:pPr>
              <w:spacing w:after="0" w:line="240" w:lineRule="auto"/>
              <w:jc w:val="center"/>
              <w:rPr>
                <w:rFonts w:ascii="Calibri" w:eastAsia="Times New Roman" w:hAnsi="Calibri" w:cs="Calibri"/>
                <w:color w:val="000000"/>
                <w:sz w:val="20"/>
                <w:szCs w:val="20"/>
                <w:lang w:eastAsia="hr-HR"/>
              </w:rPr>
            </w:pPr>
            <w:r w:rsidRPr="00702BF3">
              <w:rPr>
                <w:rFonts w:ascii="Calibri" w:eastAsia="Times New Roman" w:hAnsi="Calibri" w:cs="Calibri"/>
                <w:color w:val="000000"/>
                <w:sz w:val="20"/>
                <w:szCs w:val="20"/>
                <w:lang w:eastAsia="hr-HR"/>
              </w:rPr>
              <w:t>157,97</w:t>
            </w:r>
          </w:p>
        </w:tc>
      </w:tr>
      <w:tr w:rsidR="00A76D03" w:rsidRPr="00702BF3" w14:paraId="1CD6A798" w14:textId="77777777" w:rsidTr="00A76D03">
        <w:trPr>
          <w:trHeight w:val="240"/>
        </w:trPr>
        <w:tc>
          <w:tcPr>
            <w:tcW w:w="1079" w:type="pct"/>
            <w:tcBorders>
              <w:top w:val="nil"/>
              <w:left w:val="single" w:sz="4" w:space="0" w:color="auto"/>
              <w:bottom w:val="single" w:sz="4" w:space="0" w:color="auto"/>
              <w:right w:val="single" w:sz="4" w:space="0" w:color="auto"/>
            </w:tcBorders>
            <w:shd w:val="clear" w:color="000000" w:fill="D9D9D9"/>
            <w:noWrap/>
            <w:vAlign w:val="center"/>
            <w:hideMark/>
          </w:tcPr>
          <w:p w14:paraId="69F73FA2" w14:textId="77777777" w:rsidR="00702BF3" w:rsidRPr="00702BF3" w:rsidRDefault="00702BF3" w:rsidP="00702BF3">
            <w:pPr>
              <w:spacing w:after="0" w:line="240" w:lineRule="auto"/>
              <w:rPr>
                <w:rFonts w:ascii="Calibri" w:eastAsia="Times New Roman" w:hAnsi="Calibri" w:cs="Calibri"/>
                <w:b/>
                <w:bCs/>
                <w:color w:val="000000"/>
                <w:sz w:val="20"/>
                <w:szCs w:val="20"/>
                <w:lang w:eastAsia="hr-HR"/>
              </w:rPr>
            </w:pPr>
            <w:r w:rsidRPr="00702BF3">
              <w:rPr>
                <w:rFonts w:ascii="Calibri" w:eastAsia="Times New Roman" w:hAnsi="Calibri" w:cs="Calibri"/>
                <w:b/>
                <w:bCs/>
                <w:color w:val="000000"/>
                <w:sz w:val="20"/>
                <w:szCs w:val="20"/>
                <w:lang w:eastAsia="hr-HR"/>
              </w:rPr>
              <w:t>UKUPNO</w:t>
            </w:r>
          </w:p>
        </w:tc>
        <w:tc>
          <w:tcPr>
            <w:tcW w:w="658" w:type="pct"/>
            <w:tcBorders>
              <w:top w:val="nil"/>
              <w:left w:val="nil"/>
              <w:bottom w:val="single" w:sz="4" w:space="0" w:color="auto"/>
              <w:right w:val="single" w:sz="4" w:space="0" w:color="auto"/>
            </w:tcBorders>
            <w:shd w:val="clear" w:color="000000" w:fill="D9D9D9"/>
            <w:noWrap/>
            <w:vAlign w:val="center"/>
            <w:hideMark/>
          </w:tcPr>
          <w:p w14:paraId="4D5128EE" w14:textId="77777777" w:rsidR="00702BF3" w:rsidRPr="00702BF3" w:rsidRDefault="00702BF3" w:rsidP="00702BF3">
            <w:pPr>
              <w:spacing w:after="0" w:line="240" w:lineRule="auto"/>
              <w:jc w:val="center"/>
              <w:rPr>
                <w:rFonts w:ascii="Calibri" w:eastAsia="Times New Roman" w:hAnsi="Calibri" w:cs="Calibri"/>
                <w:b/>
                <w:bCs/>
                <w:color w:val="000000"/>
                <w:sz w:val="20"/>
                <w:szCs w:val="20"/>
                <w:lang w:eastAsia="hr-HR"/>
              </w:rPr>
            </w:pPr>
            <w:r w:rsidRPr="00702BF3">
              <w:rPr>
                <w:rFonts w:ascii="Calibri" w:eastAsia="Times New Roman" w:hAnsi="Calibri" w:cs="Calibri"/>
                <w:b/>
                <w:bCs/>
                <w:color w:val="000000"/>
                <w:sz w:val="20"/>
                <w:szCs w:val="20"/>
                <w:lang w:eastAsia="hr-HR"/>
              </w:rPr>
              <w:t>4</w:t>
            </w:r>
          </w:p>
        </w:tc>
        <w:tc>
          <w:tcPr>
            <w:tcW w:w="916" w:type="pct"/>
            <w:tcBorders>
              <w:top w:val="nil"/>
              <w:left w:val="nil"/>
              <w:bottom w:val="single" w:sz="4" w:space="0" w:color="auto"/>
              <w:right w:val="single" w:sz="4" w:space="0" w:color="auto"/>
            </w:tcBorders>
            <w:shd w:val="clear" w:color="000000" w:fill="D9D9D9"/>
            <w:noWrap/>
            <w:vAlign w:val="center"/>
            <w:hideMark/>
          </w:tcPr>
          <w:p w14:paraId="3D9C0EB3" w14:textId="43D17B8E" w:rsidR="00702BF3" w:rsidRPr="00702BF3" w:rsidRDefault="00795938" w:rsidP="00702BF3">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4 </w:t>
            </w:r>
            <w:r w:rsidR="00702BF3" w:rsidRPr="00702BF3">
              <w:rPr>
                <w:rFonts w:ascii="Calibri" w:eastAsia="Times New Roman" w:hAnsi="Calibri" w:cs="Calibri"/>
                <w:b/>
                <w:bCs/>
                <w:color w:val="000000"/>
                <w:sz w:val="20"/>
                <w:szCs w:val="20"/>
                <w:lang w:eastAsia="hr-HR"/>
              </w:rPr>
              <w:t>418,98</w:t>
            </w:r>
          </w:p>
        </w:tc>
        <w:tc>
          <w:tcPr>
            <w:tcW w:w="992" w:type="pct"/>
            <w:tcBorders>
              <w:top w:val="nil"/>
              <w:left w:val="nil"/>
              <w:bottom w:val="single" w:sz="4" w:space="0" w:color="auto"/>
              <w:right w:val="single" w:sz="4" w:space="0" w:color="auto"/>
            </w:tcBorders>
            <w:shd w:val="clear" w:color="000000" w:fill="D9D9D9"/>
            <w:noWrap/>
            <w:vAlign w:val="center"/>
            <w:hideMark/>
          </w:tcPr>
          <w:p w14:paraId="26ECB382" w14:textId="5A3FDA56" w:rsidR="00702BF3" w:rsidRPr="00702BF3" w:rsidRDefault="00795938" w:rsidP="00702BF3">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1 </w:t>
            </w:r>
            <w:r w:rsidR="00702BF3" w:rsidRPr="00702BF3">
              <w:rPr>
                <w:rFonts w:ascii="Calibri" w:eastAsia="Times New Roman" w:hAnsi="Calibri" w:cs="Calibri"/>
                <w:b/>
                <w:bCs/>
                <w:color w:val="000000"/>
                <w:sz w:val="20"/>
                <w:szCs w:val="20"/>
                <w:lang w:eastAsia="hr-HR"/>
              </w:rPr>
              <w:t>515,80</w:t>
            </w:r>
          </w:p>
        </w:tc>
        <w:tc>
          <w:tcPr>
            <w:tcW w:w="1355" w:type="pct"/>
            <w:tcBorders>
              <w:top w:val="nil"/>
              <w:left w:val="nil"/>
              <w:bottom w:val="single" w:sz="4" w:space="0" w:color="auto"/>
              <w:right w:val="single" w:sz="4" w:space="0" w:color="auto"/>
            </w:tcBorders>
            <w:shd w:val="clear" w:color="000000" w:fill="D9D9D9"/>
            <w:noWrap/>
            <w:vAlign w:val="center"/>
            <w:hideMark/>
          </w:tcPr>
          <w:p w14:paraId="61AF4AD5" w14:textId="77777777" w:rsidR="00702BF3" w:rsidRPr="00702BF3" w:rsidRDefault="00702BF3" w:rsidP="00702BF3">
            <w:pPr>
              <w:spacing w:after="0" w:line="240" w:lineRule="auto"/>
              <w:jc w:val="center"/>
              <w:rPr>
                <w:rFonts w:ascii="Calibri" w:eastAsia="Times New Roman" w:hAnsi="Calibri" w:cs="Calibri"/>
                <w:b/>
                <w:bCs/>
                <w:color w:val="000000"/>
                <w:sz w:val="20"/>
                <w:szCs w:val="20"/>
                <w:lang w:eastAsia="hr-HR"/>
              </w:rPr>
            </w:pPr>
            <w:r w:rsidRPr="00702BF3">
              <w:rPr>
                <w:rFonts w:ascii="Calibri" w:eastAsia="Times New Roman" w:hAnsi="Calibri" w:cs="Calibri"/>
                <w:b/>
                <w:bCs/>
                <w:color w:val="000000"/>
                <w:sz w:val="20"/>
                <w:szCs w:val="20"/>
                <w:lang w:eastAsia="hr-HR"/>
              </w:rPr>
              <w:t>343,02</w:t>
            </w:r>
          </w:p>
        </w:tc>
      </w:tr>
    </w:tbl>
    <w:p w14:paraId="78230DA1" w14:textId="5B5D1645" w:rsidR="00A76D03" w:rsidRDefault="00A76D03" w:rsidP="00E92750">
      <w:pPr>
        <w:spacing w:after="0" w:line="240" w:lineRule="auto"/>
        <w:jc w:val="center"/>
        <w:rPr>
          <w:noProof/>
          <w:lang w:eastAsia="hr-HR"/>
        </w:rPr>
      </w:pPr>
      <w:r>
        <w:rPr>
          <w:noProof/>
          <w:lang w:eastAsia="hr-HR"/>
        </w:rPr>
        <w:drawing>
          <wp:inline distT="0" distB="0" distL="0" distR="0" wp14:anchorId="1D2C41CA" wp14:editId="583FDC88">
            <wp:extent cx="3847795" cy="2253081"/>
            <wp:effectExtent l="0" t="0" r="635" b="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F95F26" w14:textId="2695F4C8" w:rsidR="007B4A20" w:rsidRPr="00A10B2C" w:rsidRDefault="007B4A20" w:rsidP="00E92750">
      <w:pPr>
        <w:spacing w:line="240" w:lineRule="auto"/>
        <w:jc w:val="center"/>
      </w:pPr>
      <w:bookmarkStart w:id="73" w:name="_Ref462221171"/>
      <w:bookmarkStart w:id="74" w:name="_Toc468277418"/>
      <w:r w:rsidRPr="00A10B2C">
        <w:rPr>
          <w:b/>
        </w:rPr>
        <w:t xml:space="preserve">Slika </w:t>
      </w:r>
      <w:r w:rsidRPr="00A10B2C">
        <w:rPr>
          <w:b/>
        </w:rPr>
        <w:fldChar w:fldCharType="begin"/>
      </w:r>
      <w:r w:rsidRPr="00A10B2C">
        <w:rPr>
          <w:b/>
        </w:rPr>
        <w:instrText xml:space="preserve"> STYLEREF 1 \s </w:instrText>
      </w:r>
      <w:r w:rsidRPr="00A10B2C">
        <w:rPr>
          <w:b/>
        </w:rPr>
        <w:fldChar w:fldCharType="separate"/>
      </w:r>
      <w:r w:rsidR="009C319B">
        <w:rPr>
          <w:b/>
          <w:noProof/>
        </w:rPr>
        <w:t>4</w:t>
      </w:r>
      <w:r w:rsidRPr="00A10B2C">
        <w:rPr>
          <w:b/>
          <w:noProof/>
        </w:rPr>
        <w:fldChar w:fldCharType="end"/>
      </w:r>
      <w:r w:rsidRPr="00A10B2C">
        <w:rPr>
          <w:b/>
        </w:rPr>
        <w:t>.</w:t>
      </w:r>
      <w:r w:rsidRPr="00A10B2C">
        <w:rPr>
          <w:b/>
        </w:rPr>
        <w:fldChar w:fldCharType="begin"/>
      </w:r>
      <w:r w:rsidRPr="00A10B2C">
        <w:rPr>
          <w:b/>
        </w:rPr>
        <w:instrText xml:space="preserve"> SEQ Slika \* ARABIC \s 1 </w:instrText>
      </w:r>
      <w:r w:rsidRPr="00A10B2C">
        <w:rPr>
          <w:b/>
        </w:rPr>
        <w:fldChar w:fldCharType="separate"/>
      </w:r>
      <w:r w:rsidR="009C319B">
        <w:rPr>
          <w:b/>
          <w:noProof/>
        </w:rPr>
        <w:t>14</w:t>
      </w:r>
      <w:r w:rsidRPr="00A10B2C">
        <w:rPr>
          <w:b/>
          <w:noProof/>
        </w:rPr>
        <w:fldChar w:fldCharType="end"/>
      </w:r>
      <w:bookmarkEnd w:id="73"/>
      <w:r w:rsidRPr="00A10B2C">
        <w:rPr>
          <w:b/>
        </w:rPr>
        <w:t xml:space="preserve"> </w:t>
      </w:r>
      <w:r w:rsidRPr="00A10B2C">
        <w:t xml:space="preserve">Struktura potrošnje toplinske energije kategorije ostali objekti </w:t>
      </w:r>
      <w:r w:rsidR="00C50114" w:rsidRPr="00A10B2C">
        <w:t>u vlasništvu</w:t>
      </w:r>
      <w:r w:rsidRPr="00A10B2C">
        <w:t xml:space="preserve"> Grada Zagreba</w:t>
      </w:r>
      <w:r w:rsidR="00464B5F" w:rsidRPr="00A10B2C">
        <w:t xml:space="preserve"> u 2015.godini</w:t>
      </w:r>
      <w:bookmarkEnd w:id="74"/>
    </w:p>
    <w:p w14:paraId="0DED90D1" w14:textId="1B76F409" w:rsidR="002D3AE9" w:rsidRPr="007C7920" w:rsidRDefault="007B4A20" w:rsidP="00E92750">
      <w:pPr>
        <w:spacing w:line="240" w:lineRule="auto"/>
        <w:jc w:val="both"/>
        <w:rPr>
          <w:highlight w:val="yellow"/>
        </w:rPr>
      </w:pPr>
      <w:r w:rsidRPr="00A10B2C">
        <w:lastRenderedPageBreak/>
        <w:t xml:space="preserve">Gledajući udio pojedinih energenata u ukupnoj potrošnji toplinske energije kategorije ostali objekti </w:t>
      </w:r>
      <w:r w:rsidR="00C50114" w:rsidRPr="00A10B2C">
        <w:t xml:space="preserve">u vlasništvu </w:t>
      </w:r>
      <w:r w:rsidRPr="00A10B2C">
        <w:t>Grada Zagreba</w:t>
      </w:r>
      <w:r w:rsidR="000A12E1" w:rsidRPr="00A10B2C">
        <w:t xml:space="preserve"> u 2015. godini,</w:t>
      </w:r>
      <w:r w:rsidR="00A76D03">
        <w:t xml:space="preserve"> omjer je sljedeći: lož ulje 87,90%, prirodni plin 11,57% i električna energija 0,52</w:t>
      </w:r>
      <w:r w:rsidR="006D09AA" w:rsidRPr="00A10B2C">
        <w:t>%.</w:t>
      </w:r>
      <w:r w:rsidR="002D3AE9" w:rsidRPr="007C7920">
        <w:rPr>
          <w:rFonts w:ascii="Calibri" w:eastAsia="Calibri" w:hAnsi="Calibri" w:cs="Times New Roman"/>
          <w:highlight w:val="yellow"/>
          <w:shd w:val="clear" w:color="auto" w:fill="FFFF00"/>
        </w:rPr>
        <w:br w:type="page"/>
      </w:r>
    </w:p>
    <w:p w14:paraId="67702C58" w14:textId="68CAFC4B" w:rsidR="000F64C5" w:rsidRPr="0063712F" w:rsidRDefault="007A5CFA" w:rsidP="00E92750">
      <w:pPr>
        <w:pStyle w:val="Heading3"/>
        <w:spacing w:after="240" w:line="240" w:lineRule="auto"/>
        <w:jc w:val="both"/>
        <w:rPr>
          <w:rFonts w:eastAsia="Calibri"/>
          <w:shd w:val="clear" w:color="auto" w:fill="FFFF00"/>
        </w:rPr>
      </w:pPr>
      <w:bookmarkStart w:id="75" w:name="_Toc258238896"/>
      <w:bookmarkStart w:id="76" w:name="_Toc255379213"/>
      <w:bookmarkStart w:id="77" w:name="_Toc468345354"/>
      <w:r w:rsidRPr="0063712F">
        <w:lastRenderedPageBreak/>
        <w:t xml:space="preserve">Usporedna analiza </w:t>
      </w:r>
      <w:r w:rsidR="000F64C5" w:rsidRPr="0063712F">
        <w:t>potrošnje e</w:t>
      </w:r>
      <w:r w:rsidR="002D3AE9" w:rsidRPr="0063712F">
        <w:t xml:space="preserve">lektrične i toplinske energije </w:t>
      </w:r>
      <w:r w:rsidR="000F64C5" w:rsidRPr="0063712F">
        <w:t>za kategoriju</w:t>
      </w:r>
      <w:bookmarkStart w:id="78" w:name="_Toc258238897"/>
      <w:bookmarkEnd w:id="75"/>
      <w:r w:rsidRPr="0063712F">
        <w:t xml:space="preserve"> </w:t>
      </w:r>
      <w:r w:rsidR="000F64C5" w:rsidRPr="0063712F">
        <w:t>zgrada u vlasništvu Grada Zagreba</w:t>
      </w:r>
      <w:bookmarkEnd w:id="76"/>
      <w:bookmarkEnd w:id="78"/>
      <w:r w:rsidR="001019B7" w:rsidRPr="0063712F">
        <w:t xml:space="preserve"> u</w:t>
      </w:r>
      <w:r w:rsidR="00E42868" w:rsidRPr="0063712F">
        <w:t xml:space="preserve"> </w:t>
      </w:r>
      <w:r w:rsidR="001019B7" w:rsidRPr="0063712F">
        <w:t>2015. godini</w:t>
      </w:r>
      <w:bookmarkEnd w:id="77"/>
    </w:p>
    <w:p w14:paraId="316AEF7C" w14:textId="0386FB08" w:rsidR="000F64C5" w:rsidRPr="0063712F" w:rsidRDefault="000F64C5" w:rsidP="00E92750">
      <w:pPr>
        <w:spacing w:line="240" w:lineRule="auto"/>
        <w:jc w:val="both"/>
      </w:pPr>
      <w:r w:rsidRPr="0063712F">
        <w:t>Usporedba potrošnje električne i toplinske energije za 2015. godinu kategorija zgrada u vlasni</w:t>
      </w:r>
      <w:r w:rsidR="004841D6" w:rsidRPr="0063712F">
        <w:t xml:space="preserve">štvu </w:t>
      </w:r>
      <w:r w:rsidR="00B30616" w:rsidRPr="0063712F">
        <w:t>Grada obuhvatila je sljedećih sedam podkategorija</w:t>
      </w:r>
      <w:r w:rsidRPr="0063712F">
        <w:t xml:space="preserve">: </w:t>
      </w:r>
    </w:p>
    <w:p w14:paraId="04760AF2" w14:textId="387C200C" w:rsidR="00913ACF" w:rsidRPr="0063712F" w:rsidRDefault="00E55FE1" w:rsidP="00EE7021">
      <w:pPr>
        <w:pStyle w:val="ListParagraph"/>
        <w:numPr>
          <w:ilvl w:val="0"/>
          <w:numId w:val="26"/>
        </w:numPr>
        <w:spacing w:line="240" w:lineRule="auto"/>
        <w:jc w:val="both"/>
      </w:pPr>
      <w:r>
        <w:t>Obrazovne</w:t>
      </w:r>
      <w:r w:rsidR="000F64C5" w:rsidRPr="0063712F">
        <w:t xml:space="preserve"> ustanove;</w:t>
      </w:r>
    </w:p>
    <w:p w14:paraId="1AF35426" w14:textId="332CF0A5" w:rsidR="00913ACF" w:rsidRPr="0063712F" w:rsidRDefault="00913ACF" w:rsidP="00EE7021">
      <w:pPr>
        <w:pStyle w:val="ListParagraph"/>
        <w:numPr>
          <w:ilvl w:val="0"/>
          <w:numId w:val="26"/>
        </w:numPr>
        <w:spacing w:line="240" w:lineRule="auto"/>
        <w:jc w:val="both"/>
      </w:pPr>
      <w:r w:rsidRPr="0063712F">
        <w:t>Z</w:t>
      </w:r>
      <w:r w:rsidR="000F64C5" w:rsidRPr="0063712F">
        <w:t>dravstvene ustanove</w:t>
      </w:r>
      <w:r w:rsidR="00B30616" w:rsidRPr="0063712F">
        <w:t xml:space="preserve"> i ustanove socijalne zaštite</w:t>
      </w:r>
      <w:r w:rsidR="000F64C5" w:rsidRPr="0063712F">
        <w:t>;</w:t>
      </w:r>
    </w:p>
    <w:p w14:paraId="7EB62F16" w14:textId="5C4A2F45" w:rsidR="00913ACF" w:rsidRPr="0063712F" w:rsidRDefault="00913ACF" w:rsidP="00EE7021">
      <w:pPr>
        <w:pStyle w:val="ListParagraph"/>
        <w:numPr>
          <w:ilvl w:val="0"/>
          <w:numId w:val="26"/>
        </w:numPr>
        <w:spacing w:line="240" w:lineRule="auto"/>
        <w:jc w:val="both"/>
      </w:pPr>
      <w:r w:rsidRPr="0063712F">
        <w:t>K</w:t>
      </w:r>
      <w:r w:rsidR="000F64C5" w:rsidRPr="0063712F">
        <w:t>ulturne ustanove;</w:t>
      </w:r>
    </w:p>
    <w:p w14:paraId="3D739DDE" w14:textId="68D84B6B" w:rsidR="00913ACF" w:rsidRPr="0063712F" w:rsidRDefault="00913ACF" w:rsidP="00EE7021">
      <w:pPr>
        <w:pStyle w:val="ListParagraph"/>
        <w:numPr>
          <w:ilvl w:val="0"/>
          <w:numId w:val="26"/>
        </w:numPr>
        <w:spacing w:line="240" w:lineRule="auto"/>
        <w:jc w:val="both"/>
      </w:pPr>
      <w:r w:rsidRPr="0063712F">
        <w:t>Z</w:t>
      </w:r>
      <w:r w:rsidR="000F64C5" w:rsidRPr="0063712F">
        <w:t>grade Gradske uprave i mjesne samouprave;</w:t>
      </w:r>
    </w:p>
    <w:p w14:paraId="2504458E" w14:textId="2FED2A1C" w:rsidR="00913ACF" w:rsidRPr="0063712F" w:rsidRDefault="00913ACF" w:rsidP="00EE7021">
      <w:pPr>
        <w:pStyle w:val="ListParagraph"/>
        <w:numPr>
          <w:ilvl w:val="0"/>
          <w:numId w:val="26"/>
        </w:numPr>
        <w:spacing w:line="240" w:lineRule="auto"/>
        <w:jc w:val="both"/>
      </w:pPr>
      <w:r w:rsidRPr="0063712F">
        <w:t>Sportski objekti</w:t>
      </w:r>
    </w:p>
    <w:p w14:paraId="52F49939" w14:textId="7FBD47BA" w:rsidR="00913ACF" w:rsidRPr="0063712F" w:rsidRDefault="00B30616" w:rsidP="00EE7021">
      <w:pPr>
        <w:pStyle w:val="ListParagraph"/>
        <w:numPr>
          <w:ilvl w:val="0"/>
          <w:numId w:val="26"/>
        </w:numPr>
        <w:spacing w:line="240" w:lineRule="auto"/>
        <w:jc w:val="both"/>
      </w:pPr>
      <w:r w:rsidRPr="0063712F">
        <w:t xml:space="preserve">Ostali objekti i </w:t>
      </w:r>
    </w:p>
    <w:p w14:paraId="7B90BDA1" w14:textId="51CEA5D9" w:rsidR="00B30616" w:rsidRPr="0063712F" w:rsidRDefault="00B30616" w:rsidP="00EE7021">
      <w:pPr>
        <w:pStyle w:val="ListParagraph"/>
        <w:numPr>
          <w:ilvl w:val="0"/>
          <w:numId w:val="26"/>
        </w:numPr>
        <w:spacing w:line="240" w:lineRule="auto"/>
        <w:jc w:val="both"/>
      </w:pPr>
      <w:r w:rsidRPr="0063712F">
        <w:t>Poslovne prostore i stanove u vlasništvu i korištenju Grada.</w:t>
      </w:r>
    </w:p>
    <w:p w14:paraId="76251281" w14:textId="4ADCA703" w:rsidR="002D3AE9" w:rsidRPr="0063712F" w:rsidRDefault="0029529B" w:rsidP="00E92750">
      <w:pPr>
        <w:spacing w:line="240" w:lineRule="auto"/>
        <w:jc w:val="both"/>
      </w:pPr>
      <w:r w:rsidRPr="0063712F">
        <w:t xml:space="preserve">Energetska analiza kategorije zgrada u vlasništvu Grada Zagreba obuhvatila je </w:t>
      </w:r>
      <w:r w:rsidR="004841D6" w:rsidRPr="0063712F">
        <w:t>8 214</w:t>
      </w:r>
      <w:r w:rsidRPr="0063712F">
        <w:t xml:space="preserve"> objekata, ukupne grijane površine </w:t>
      </w:r>
      <w:r w:rsidR="00FD3E38">
        <w:t>2 026 079,41</w:t>
      </w:r>
      <w:r w:rsidR="00EF0268" w:rsidRPr="0063712F">
        <w:t xml:space="preserve"> </w:t>
      </w:r>
      <w:r w:rsidRPr="0063712F">
        <w:t>m</w:t>
      </w:r>
      <w:r w:rsidRPr="0063712F">
        <w:rPr>
          <w:vertAlign w:val="superscript"/>
        </w:rPr>
        <w:t>2</w:t>
      </w:r>
      <w:r w:rsidR="00C67985" w:rsidRPr="0063712F">
        <w:t>.</w:t>
      </w:r>
      <w:r w:rsidR="00EF0268" w:rsidRPr="0063712F">
        <w:t xml:space="preserve"> </w:t>
      </w:r>
      <w:r w:rsidR="00602001" w:rsidRPr="0063712F">
        <w:t>Prikaz objekata obuhvaćenih energet</w:t>
      </w:r>
      <w:r w:rsidR="004841D6" w:rsidRPr="0063712F">
        <w:t xml:space="preserve">skom analizom dan je u </w:t>
      </w:r>
      <w:r w:rsidR="002C58AA" w:rsidRPr="0063712F">
        <w:fldChar w:fldCharType="begin"/>
      </w:r>
      <w:r w:rsidR="002C58AA" w:rsidRPr="0063712F">
        <w:instrText xml:space="preserve"> REF _Ref462315824 \h </w:instrText>
      </w:r>
      <w:r w:rsidR="005E0ADE" w:rsidRPr="0063712F">
        <w:instrText xml:space="preserve"> \* MERGEFORMAT </w:instrText>
      </w:r>
      <w:r w:rsidR="002C58AA" w:rsidRPr="0063712F">
        <w:fldChar w:fldCharType="separate"/>
      </w:r>
      <w:r w:rsidR="00220356">
        <w:rPr>
          <w:b/>
          <w:bCs/>
        </w:rPr>
        <w:t>Tablici</w:t>
      </w:r>
      <w:r w:rsidR="009C319B" w:rsidRPr="0071450B">
        <w:rPr>
          <w:b/>
          <w:bCs/>
        </w:rPr>
        <w:t xml:space="preserve"> </w:t>
      </w:r>
      <w:r w:rsidR="009C319B">
        <w:rPr>
          <w:b/>
          <w:bCs/>
          <w:noProof/>
        </w:rPr>
        <w:t>4</w:t>
      </w:r>
      <w:r w:rsidR="009C319B" w:rsidRPr="0071450B">
        <w:rPr>
          <w:b/>
          <w:bCs/>
          <w:noProof/>
        </w:rPr>
        <w:t>.</w:t>
      </w:r>
      <w:r w:rsidR="009C319B">
        <w:rPr>
          <w:b/>
          <w:bCs/>
          <w:noProof/>
        </w:rPr>
        <w:t>7</w:t>
      </w:r>
      <w:r w:rsidR="002C58AA" w:rsidRPr="0063712F">
        <w:fldChar w:fldCharType="end"/>
      </w:r>
      <w:r w:rsidR="00EF0268" w:rsidRPr="0063712F">
        <w:t>.</w:t>
      </w:r>
    </w:p>
    <w:p w14:paraId="083ED8DE" w14:textId="16E5DBB5" w:rsidR="00602001" w:rsidRPr="0071450B" w:rsidRDefault="00602001" w:rsidP="00E92750">
      <w:pPr>
        <w:spacing w:after="0" w:line="240" w:lineRule="auto"/>
        <w:jc w:val="both"/>
      </w:pPr>
      <w:bookmarkStart w:id="79" w:name="_Ref462315824"/>
      <w:bookmarkStart w:id="80" w:name="_Toc468277499"/>
      <w:r w:rsidRPr="0071450B">
        <w:rPr>
          <w:b/>
          <w:bCs/>
        </w:rPr>
        <w:t xml:space="preserve">Tablica </w:t>
      </w:r>
      <w:r w:rsidR="000B3499" w:rsidRPr="0071450B">
        <w:rPr>
          <w:b/>
          <w:bCs/>
        </w:rPr>
        <w:fldChar w:fldCharType="begin"/>
      </w:r>
      <w:r w:rsidR="000B3499" w:rsidRPr="0071450B">
        <w:rPr>
          <w:b/>
          <w:bCs/>
        </w:rPr>
        <w:instrText xml:space="preserve"> STYLEREF 1 \s </w:instrText>
      </w:r>
      <w:r w:rsidR="000B3499" w:rsidRPr="0071450B">
        <w:rPr>
          <w:b/>
          <w:bCs/>
        </w:rPr>
        <w:fldChar w:fldCharType="separate"/>
      </w:r>
      <w:r w:rsidR="009C319B">
        <w:rPr>
          <w:b/>
          <w:bCs/>
          <w:noProof/>
        </w:rPr>
        <w:t>4</w:t>
      </w:r>
      <w:r w:rsidR="000B3499" w:rsidRPr="0071450B">
        <w:rPr>
          <w:b/>
          <w:bCs/>
        </w:rPr>
        <w:fldChar w:fldCharType="end"/>
      </w:r>
      <w:r w:rsidR="000B3499" w:rsidRPr="0071450B">
        <w:rPr>
          <w:b/>
          <w:bCs/>
        </w:rPr>
        <w:t>.</w:t>
      </w:r>
      <w:r w:rsidR="000B3499" w:rsidRPr="0071450B">
        <w:rPr>
          <w:b/>
          <w:bCs/>
        </w:rPr>
        <w:fldChar w:fldCharType="begin"/>
      </w:r>
      <w:r w:rsidR="000B3499" w:rsidRPr="0071450B">
        <w:rPr>
          <w:b/>
          <w:bCs/>
        </w:rPr>
        <w:instrText xml:space="preserve"> SEQ Tablica \* ARABIC \s 1 </w:instrText>
      </w:r>
      <w:r w:rsidR="000B3499" w:rsidRPr="0071450B">
        <w:rPr>
          <w:b/>
          <w:bCs/>
        </w:rPr>
        <w:fldChar w:fldCharType="separate"/>
      </w:r>
      <w:r w:rsidR="009C319B">
        <w:rPr>
          <w:b/>
          <w:bCs/>
          <w:noProof/>
        </w:rPr>
        <w:t>7</w:t>
      </w:r>
      <w:r w:rsidR="000B3499" w:rsidRPr="0071450B">
        <w:rPr>
          <w:b/>
          <w:bCs/>
        </w:rPr>
        <w:fldChar w:fldCharType="end"/>
      </w:r>
      <w:bookmarkEnd w:id="79"/>
      <w:r w:rsidRPr="0071450B">
        <w:rPr>
          <w:b/>
          <w:bCs/>
        </w:rPr>
        <w:t xml:space="preserve"> </w:t>
      </w:r>
      <w:r w:rsidRPr="0071450B">
        <w:rPr>
          <w:bCs/>
        </w:rPr>
        <w:t>Kategorije i broj zgrada u vlasništvu Grada Zagreba obuhvaćenih energetskom analizom</w:t>
      </w:r>
      <w:bookmarkEnd w:id="80"/>
    </w:p>
    <w:tbl>
      <w:tblPr>
        <w:tblW w:w="4942" w:type="pct"/>
        <w:tblInd w:w="108" w:type="dxa"/>
        <w:tblLook w:val="04A0" w:firstRow="1" w:lastRow="0" w:firstColumn="1" w:lastColumn="0" w:noHBand="0" w:noVBand="1"/>
      </w:tblPr>
      <w:tblGrid>
        <w:gridCol w:w="5795"/>
        <w:gridCol w:w="1310"/>
        <w:gridCol w:w="1852"/>
      </w:tblGrid>
      <w:tr w:rsidR="000F1067" w:rsidRPr="00FD3E38" w14:paraId="74C88B51" w14:textId="77777777" w:rsidTr="000F1067">
        <w:trPr>
          <w:trHeight w:val="384"/>
        </w:trPr>
        <w:tc>
          <w:tcPr>
            <w:tcW w:w="3235" w:type="pct"/>
            <w:tcBorders>
              <w:top w:val="single" w:sz="4" w:space="0" w:color="auto"/>
              <w:left w:val="single" w:sz="4" w:space="0" w:color="auto"/>
              <w:bottom w:val="single" w:sz="4" w:space="0" w:color="auto"/>
              <w:right w:val="single" w:sz="4" w:space="0" w:color="auto"/>
            </w:tcBorders>
            <w:shd w:val="clear" w:color="000000" w:fill="D9D9D9"/>
            <w:noWrap/>
            <w:hideMark/>
          </w:tcPr>
          <w:p w14:paraId="5098C53C" w14:textId="77777777" w:rsidR="000F1067" w:rsidRPr="00FD3E38" w:rsidRDefault="000F1067" w:rsidP="00FD3E38">
            <w:pPr>
              <w:spacing w:after="0" w:line="240" w:lineRule="auto"/>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KATEGORIJA</w:t>
            </w:r>
          </w:p>
        </w:tc>
        <w:tc>
          <w:tcPr>
            <w:tcW w:w="731" w:type="pct"/>
            <w:tcBorders>
              <w:top w:val="single" w:sz="4" w:space="0" w:color="auto"/>
              <w:left w:val="nil"/>
              <w:bottom w:val="single" w:sz="4" w:space="0" w:color="auto"/>
              <w:right w:val="single" w:sz="4" w:space="0" w:color="auto"/>
            </w:tcBorders>
            <w:shd w:val="clear" w:color="000000" w:fill="D9D9D9"/>
            <w:hideMark/>
          </w:tcPr>
          <w:p w14:paraId="0FD36172" w14:textId="77777777" w:rsidR="000F1067" w:rsidRPr="00FD3E38" w:rsidRDefault="000F1067"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Broj objekata</w:t>
            </w:r>
          </w:p>
        </w:tc>
        <w:tc>
          <w:tcPr>
            <w:tcW w:w="1034" w:type="pct"/>
            <w:tcBorders>
              <w:top w:val="single" w:sz="4" w:space="0" w:color="auto"/>
              <w:left w:val="nil"/>
              <w:bottom w:val="single" w:sz="4" w:space="0" w:color="auto"/>
              <w:right w:val="single" w:sz="4" w:space="0" w:color="auto"/>
            </w:tcBorders>
            <w:shd w:val="clear" w:color="000000" w:fill="D9D9D9"/>
            <w:hideMark/>
          </w:tcPr>
          <w:p w14:paraId="3D47565A" w14:textId="77777777" w:rsidR="000F1067" w:rsidRPr="00FD3E38" w:rsidRDefault="000F1067"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Grijana površina (m2)</w:t>
            </w:r>
          </w:p>
        </w:tc>
      </w:tr>
      <w:tr w:rsidR="000F1067" w:rsidRPr="00FD3E38" w14:paraId="406A3E8C" w14:textId="77777777" w:rsidTr="000F1067">
        <w:trPr>
          <w:trHeight w:val="255"/>
        </w:trPr>
        <w:tc>
          <w:tcPr>
            <w:tcW w:w="3235" w:type="pct"/>
            <w:tcBorders>
              <w:top w:val="nil"/>
              <w:left w:val="single" w:sz="4" w:space="0" w:color="auto"/>
              <w:bottom w:val="single" w:sz="4" w:space="0" w:color="auto"/>
              <w:right w:val="single" w:sz="4" w:space="0" w:color="auto"/>
            </w:tcBorders>
            <w:shd w:val="clear" w:color="000000" w:fill="D9D9D9"/>
            <w:noWrap/>
            <w:hideMark/>
          </w:tcPr>
          <w:p w14:paraId="4C958D59" w14:textId="2ABC8127" w:rsidR="000F1067" w:rsidRPr="00FD3E38" w:rsidRDefault="000F1067" w:rsidP="00FD3E38">
            <w:pPr>
              <w:spacing w:after="0" w:line="240" w:lineRule="auto"/>
              <w:rPr>
                <w:rFonts w:ascii="Calibri" w:eastAsia="Times New Roman" w:hAnsi="Calibri" w:cs="Calibri"/>
                <w:b/>
                <w:bCs/>
                <w:sz w:val="20"/>
                <w:szCs w:val="20"/>
                <w:lang w:eastAsia="hr-HR"/>
              </w:rPr>
            </w:pPr>
            <w:bookmarkStart w:id="81" w:name="RANGE!A2"/>
            <w:r w:rsidRPr="00FD3E38">
              <w:rPr>
                <w:rFonts w:ascii="Calibri" w:eastAsia="Times New Roman" w:hAnsi="Calibri" w:cs="Calibri"/>
                <w:b/>
                <w:bCs/>
                <w:sz w:val="20"/>
                <w:szCs w:val="20"/>
                <w:lang w:eastAsia="hr-HR"/>
              </w:rPr>
              <w:t>Školstvo</w:t>
            </w:r>
            <w:bookmarkEnd w:id="81"/>
          </w:p>
        </w:tc>
        <w:tc>
          <w:tcPr>
            <w:tcW w:w="731" w:type="pct"/>
            <w:tcBorders>
              <w:top w:val="nil"/>
              <w:left w:val="nil"/>
              <w:bottom w:val="single" w:sz="4" w:space="0" w:color="auto"/>
              <w:right w:val="single" w:sz="4" w:space="0" w:color="auto"/>
            </w:tcBorders>
            <w:shd w:val="clear" w:color="000000" w:fill="D9D9D9"/>
            <w:noWrap/>
            <w:hideMark/>
          </w:tcPr>
          <w:p w14:paraId="205C70F7" w14:textId="77777777" w:rsidR="000F1067" w:rsidRPr="00FD3E38" w:rsidRDefault="000F1067"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418</w:t>
            </w:r>
          </w:p>
        </w:tc>
        <w:tc>
          <w:tcPr>
            <w:tcW w:w="1034" w:type="pct"/>
            <w:tcBorders>
              <w:top w:val="nil"/>
              <w:left w:val="nil"/>
              <w:bottom w:val="single" w:sz="4" w:space="0" w:color="auto"/>
              <w:right w:val="single" w:sz="4" w:space="0" w:color="auto"/>
            </w:tcBorders>
            <w:shd w:val="clear" w:color="000000" w:fill="D9D9D9"/>
            <w:noWrap/>
            <w:hideMark/>
          </w:tcPr>
          <w:p w14:paraId="1877A10D" w14:textId="59E74DF1" w:rsidR="000F1067" w:rsidRPr="00FD3E38" w:rsidRDefault="000F1067" w:rsidP="00FD3E38">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 xml:space="preserve">867 </w:t>
            </w:r>
            <w:r w:rsidRPr="00FD3E38">
              <w:rPr>
                <w:rFonts w:ascii="Calibri" w:eastAsia="Times New Roman" w:hAnsi="Calibri" w:cs="Calibri"/>
                <w:b/>
                <w:bCs/>
                <w:sz w:val="20"/>
                <w:szCs w:val="20"/>
                <w:lang w:eastAsia="hr-HR"/>
              </w:rPr>
              <w:t>284,02</w:t>
            </w:r>
          </w:p>
        </w:tc>
      </w:tr>
      <w:tr w:rsidR="000F1067" w:rsidRPr="00FD3E38" w14:paraId="0AEF6413" w14:textId="77777777" w:rsidTr="000F1067">
        <w:trPr>
          <w:trHeight w:val="255"/>
        </w:trPr>
        <w:tc>
          <w:tcPr>
            <w:tcW w:w="3235" w:type="pct"/>
            <w:tcBorders>
              <w:top w:val="nil"/>
              <w:left w:val="single" w:sz="4" w:space="0" w:color="auto"/>
              <w:bottom w:val="single" w:sz="4" w:space="0" w:color="auto"/>
              <w:right w:val="single" w:sz="4" w:space="0" w:color="auto"/>
            </w:tcBorders>
            <w:shd w:val="clear" w:color="auto" w:fill="auto"/>
            <w:noWrap/>
            <w:hideMark/>
          </w:tcPr>
          <w:p w14:paraId="46EE5DFF" w14:textId="77777777" w:rsidR="000F1067" w:rsidRPr="00FD3E38" w:rsidRDefault="000F1067"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Osnovne škole</w:t>
            </w:r>
          </w:p>
        </w:tc>
        <w:tc>
          <w:tcPr>
            <w:tcW w:w="731" w:type="pct"/>
            <w:tcBorders>
              <w:top w:val="nil"/>
              <w:left w:val="nil"/>
              <w:bottom w:val="single" w:sz="4" w:space="0" w:color="auto"/>
              <w:right w:val="single" w:sz="4" w:space="0" w:color="auto"/>
            </w:tcBorders>
            <w:shd w:val="clear" w:color="auto" w:fill="auto"/>
            <w:noWrap/>
            <w:hideMark/>
          </w:tcPr>
          <w:p w14:paraId="4198D102" w14:textId="77777777" w:rsidR="000F1067" w:rsidRPr="00FD3E38" w:rsidRDefault="000F1067" w:rsidP="00FD3E38">
            <w:pPr>
              <w:spacing w:after="0" w:line="240" w:lineRule="auto"/>
              <w:jc w:val="center"/>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139</w:t>
            </w:r>
          </w:p>
        </w:tc>
        <w:tc>
          <w:tcPr>
            <w:tcW w:w="1034" w:type="pct"/>
            <w:tcBorders>
              <w:top w:val="nil"/>
              <w:left w:val="nil"/>
              <w:bottom w:val="single" w:sz="4" w:space="0" w:color="auto"/>
              <w:right w:val="single" w:sz="4" w:space="0" w:color="auto"/>
            </w:tcBorders>
            <w:shd w:val="clear" w:color="auto" w:fill="auto"/>
            <w:noWrap/>
            <w:hideMark/>
          </w:tcPr>
          <w:p w14:paraId="2657A205" w14:textId="5BD81C79" w:rsidR="000F1067" w:rsidRPr="00FD3E38" w:rsidRDefault="000F1067"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410</w:t>
            </w:r>
            <w:r w:rsidR="00F560CC">
              <w:rPr>
                <w:rFonts w:ascii="Calibri" w:eastAsia="Times New Roman" w:hAnsi="Calibri" w:cs="Calibri"/>
                <w:sz w:val="20"/>
                <w:szCs w:val="20"/>
                <w:lang w:eastAsia="hr-HR"/>
              </w:rPr>
              <w:t xml:space="preserve"> </w:t>
            </w:r>
            <w:r w:rsidRPr="00FD3E38">
              <w:rPr>
                <w:rFonts w:ascii="Calibri" w:eastAsia="Times New Roman" w:hAnsi="Calibri" w:cs="Calibri"/>
                <w:sz w:val="20"/>
                <w:szCs w:val="20"/>
                <w:lang w:eastAsia="hr-HR"/>
              </w:rPr>
              <w:t>232,34</w:t>
            </w:r>
          </w:p>
        </w:tc>
      </w:tr>
      <w:tr w:rsidR="000F1067" w:rsidRPr="00FD3E38" w14:paraId="47130AFF" w14:textId="77777777" w:rsidTr="000F1067">
        <w:trPr>
          <w:trHeight w:val="255"/>
        </w:trPr>
        <w:tc>
          <w:tcPr>
            <w:tcW w:w="3235" w:type="pct"/>
            <w:tcBorders>
              <w:top w:val="nil"/>
              <w:left w:val="single" w:sz="4" w:space="0" w:color="auto"/>
              <w:bottom w:val="single" w:sz="4" w:space="0" w:color="auto"/>
              <w:right w:val="single" w:sz="4" w:space="0" w:color="auto"/>
            </w:tcBorders>
            <w:shd w:val="clear" w:color="auto" w:fill="auto"/>
            <w:noWrap/>
            <w:hideMark/>
          </w:tcPr>
          <w:p w14:paraId="1CDEE09B" w14:textId="77777777" w:rsidR="000F1067" w:rsidRPr="00FD3E38" w:rsidRDefault="000F1067"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Dječji vrtići</w:t>
            </w:r>
          </w:p>
        </w:tc>
        <w:tc>
          <w:tcPr>
            <w:tcW w:w="731" w:type="pct"/>
            <w:tcBorders>
              <w:top w:val="nil"/>
              <w:left w:val="nil"/>
              <w:bottom w:val="single" w:sz="4" w:space="0" w:color="auto"/>
              <w:right w:val="single" w:sz="4" w:space="0" w:color="auto"/>
            </w:tcBorders>
            <w:shd w:val="clear" w:color="auto" w:fill="auto"/>
            <w:noWrap/>
            <w:hideMark/>
          </w:tcPr>
          <w:p w14:paraId="2D5B5A86" w14:textId="77777777" w:rsidR="000F1067" w:rsidRPr="00FD3E38" w:rsidRDefault="000F1067" w:rsidP="00FD3E38">
            <w:pPr>
              <w:spacing w:after="0" w:line="240" w:lineRule="auto"/>
              <w:jc w:val="center"/>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209</w:t>
            </w:r>
          </w:p>
        </w:tc>
        <w:tc>
          <w:tcPr>
            <w:tcW w:w="1034" w:type="pct"/>
            <w:tcBorders>
              <w:top w:val="nil"/>
              <w:left w:val="nil"/>
              <w:bottom w:val="single" w:sz="4" w:space="0" w:color="auto"/>
              <w:right w:val="single" w:sz="4" w:space="0" w:color="auto"/>
            </w:tcBorders>
            <w:shd w:val="clear" w:color="auto" w:fill="auto"/>
            <w:noWrap/>
            <w:hideMark/>
          </w:tcPr>
          <w:p w14:paraId="0BAB561B" w14:textId="7028DA5D" w:rsidR="000F1067" w:rsidRPr="00FD3E38" w:rsidRDefault="000F1067"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204 </w:t>
            </w:r>
            <w:r w:rsidRPr="00FD3E38">
              <w:rPr>
                <w:rFonts w:ascii="Calibri" w:eastAsia="Times New Roman" w:hAnsi="Calibri" w:cs="Calibri"/>
                <w:sz w:val="20"/>
                <w:szCs w:val="20"/>
                <w:lang w:eastAsia="hr-HR"/>
              </w:rPr>
              <w:t>859,94</w:t>
            </w:r>
          </w:p>
        </w:tc>
      </w:tr>
      <w:tr w:rsidR="000F1067" w:rsidRPr="00FD3E38" w14:paraId="0DA9E178" w14:textId="77777777" w:rsidTr="000F1067">
        <w:trPr>
          <w:trHeight w:val="255"/>
        </w:trPr>
        <w:tc>
          <w:tcPr>
            <w:tcW w:w="3235" w:type="pct"/>
            <w:tcBorders>
              <w:top w:val="nil"/>
              <w:left w:val="single" w:sz="4" w:space="0" w:color="auto"/>
              <w:bottom w:val="single" w:sz="4" w:space="0" w:color="auto"/>
              <w:right w:val="single" w:sz="4" w:space="0" w:color="auto"/>
            </w:tcBorders>
            <w:shd w:val="clear" w:color="auto" w:fill="auto"/>
            <w:noWrap/>
            <w:hideMark/>
          </w:tcPr>
          <w:p w14:paraId="4099B386" w14:textId="77777777" w:rsidR="000F1067" w:rsidRPr="00FD3E38" w:rsidRDefault="000F1067"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Srednje škole i učenički domovi</w:t>
            </w:r>
          </w:p>
        </w:tc>
        <w:tc>
          <w:tcPr>
            <w:tcW w:w="731" w:type="pct"/>
            <w:tcBorders>
              <w:top w:val="nil"/>
              <w:left w:val="nil"/>
              <w:bottom w:val="single" w:sz="4" w:space="0" w:color="auto"/>
              <w:right w:val="single" w:sz="4" w:space="0" w:color="auto"/>
            </w:tcBorders>
            <w:shd w:val="clear" w:color="auto" w:fill="auto"/>
            <w:noWrap/>
            <w:hideMark/>
          </w:tcPr>
          <w:p w14:paraId="6389022E" w14:textId="77777777" w:rsidR="000F1067" w:rsidRPr="00FD3E38" w:rsidRDefault="000F1067" w:rsidP="00FD3E38">
            <w:pPr>
              <w:spacing w:after="0" w:line="240" w:lineRule="auto"/>
              <w:jc w:val="center"/>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70</w:t>
            </w:r>
          </w:p>
        </w:tc>
        <w:tc>
          <w:tcPr>
            <w:tcW w:w="1034" w:type="pct"/>
            <w:tcBorders>
              <w:top w:val="nil"/>
              <w:left w:val="nil"/>
              <w:bottom w:val="single" w:sz="4" w:space="0" w:color="auto"/>
              <w:right w:val="single" w:sz="4" w:space="0" w:color="auto"/>
            </w:tcBorders>
            <w:shd w:val="clear" w:color="auto" w:fill="auto"/>
            <w:noWrap/>
            <w:hideMark/>
          </w:tcPr>
          <w:p w14:paraId="2D576AD3" w14:textId="07E6C655" w:rsidR="000F1067" w:rsidRPr="00FD3E38" w:rsidRDefault="000F1067"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252 </w:t>
            </w:r>
            <w:r w:rsidRPr="00FD3E38">
              <w:rPr>
                <w:rFonts w:ascii="Calibri" w:eastAsia="Times New Roman" w:hAnsi="Calibri" w:cs="Calibri"/>
                <w:sz w:val="20"/>
                <w:szCs w:val="20"/>
                <w:lang w:eastAsia="hr-HR"/>
              </w:rPr>
              <w:t>191,74</w:t>
            </w:r>
          </w:p>
        </w:tc>
      </w:tr>
      <w:tr w:rsidR="000F1067" w:rsidRPr="00FD3E38" w14:paraId="21E618FB" w14:textId="77777777" w:rsidTr="000F1067">
        <w:trPr>
          <w:trHeight w:val="255"/>
        </w:trPr>
        <w:tc>
          <w:tcPr>
            <w:tcW w:w="3235" w:type="pct"/>
            <w:tcBorders>
              <w:top w:val="nil"/>
              <w:left w:val="single" w:sz="4" w:space="0" w:color="auto"/>
              <w:bottom w:val="single" w:sz="4" w:space="0" w:color="auto"/>
              <w:right w:val="single" w:sz="4" w:space="0" w:color="auto"/>
            </w:tcBorders>
            <w:shd w:val="clear" w:color="000000" w:fill="D9D9D9"/>
            <w:noWrap/>
            <w:hideMark/>
          </w:tcPr>
          <w:p w14:paraId="493B70A4" w14:textId="77777777" w:rsidR="000F1067" w:rsidRPr="00FD3E38" w:rsidRDefault="000F1067" w:rsidP="00FD3E38">
            <w:pPr>
              <w:spacing w:after="0" w:line="240" w:lineRule="auto"/>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Zdravstvo</w:t>
            </w:r>
          </w:p>
        </w:tc>
        <w:tc>
          <w:tcPr>
            <w:tcW w:w="731" w:type="pct"/>
            <w:tcBorders>
              <w:top w:val="nil"/>
              <w:left w:val="nil"/>
              <w:bottom w:val="single" w:sz="4" w:space="0" w:color="auto"/>
              <w:right w:val="single" w:sz="4" w:space="0" w:color="auto"/>
            </w:tcBorders>
            <w:shd w:val="clear" w:color="000000" w:fill="D9D9D9"/>
            <w:noWrap/>
            <w:hideMark/>
          </w:tcPr>
          <w:p w14:paraId="085D1853" w14:textId="77777777" w:rsidR="000F1067" w:rsidRPr="00FD3E38" w:rsidRDefault="000F1067"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144</w:t>
            </w:r>
          </w:p>
        </w:tc>
        <w:tc>
          <w:tcPr>
            <w:tcW w:w="1034" w:type="pct"/>
            <w:tcBorders>
              <w:top w:val="nil"/>
              <w:left w:val="nil"/>
              <w:bottom w:val="single" w:sz="4" w:space="0" w:color="auto"/>
              <w:right w:val="single" w:sz="4" w:space="0" w:color="auto"/>
            </w:tcBorders>
            <w:shd w:val="clear" w:color="000000" w:fill="D9D9D9"/>
            <w:noWrap/>
            <w:hideMark/>
          </w:tcPr>
          <w:p w14:paraId="64C98452" w14:textId="0215B06B" w:rsidR="000F1067" w:rsidRPr="00FD3E38" w:rsidRDefault="000F1067" w:rsidP="00FD3E38">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 xml:space="preserve">297 </w:t>
            </w:r>
            <w:r w:rsidRPr="00FD3E38">
              <w:rPr>
                <w:rFonts w:ascii="Calibri" w:eastAsia="Times New Roman" w:hAnsi="Calibri" w:cs="Calibri"/>
                <w:b/>
                <w:bCs/>
                <w:sz w:val="20"/>
                <w:szCs w:val="20"/>
                <w:lang w:eastAsia="hr-HR"/>
              </w:rPr>
              <w:t>797,92</w:t>
            </w:r>
          </w:p>
        </w:tc>
      </w:tr>
      <w:tr w:rsidR="000F1067" w:rsidRPr="00FD3E38" w14:paraId="4058C560" w14:textId="77777777" w:rsidTr="000F1067">
        <w:trPr>
          <w:trHeight w:val="255"/>
        </w:trPr>
        <w:tc>
          <w:tcPr>
            <w:tcW w:w="3235" w:type="pct"/>
            <w:tcBorders>
              <w:top w:val="nil"/>
              <w:left w:val="single" w:sz="4" w:space="0" w:color="auto"/>
              <w:bottom w:val="single" w:sz="4" w:space="0" w:color="auto"/>
              <w:right w:val="single" w:sz="4" w:space="0" w:color="auto"/>
            </w:tcBorders>
            <w:shd w:val="clear" w:color="auto" w:fill="auto"/>
            <w:noWrap/>
            <w:hideMark/>
          </w:tcPr>
          <w:p w14:paraId="13590AD6" w14:textId="77777777" w:rsidR="000F1067" w:rsidRPr="00FD3E38" w:rsidRDefault="000F1067"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Domovi zdravlja</w:t>
            </w:r>
          </w:p>
        </w:tc>
        <w:tc>
          <w:tcPr>
            <w:tcW w:w="731" w:type="pct"/>
            <w:tcBorders>
              <w:top w:val="nil"/>
              <w:left w:val="nil"/>
              <w:bottom w:val="single" w:sz="4" w:space="0" w:color="auto"/>
              <w:right w:val="single" w:sz="4" w:space="0" w:color="auto"/>
            </w:tcBorders>
            <w:shd w:val="clear" w:color="auto" w:fill="auto"/>
            <w:noWrap/>
            <w:hideMark/>
          </w:tcPr>
          <w:p w14:paraId="5A016951" w14:textId="77777777" w:rsidR="000F1067" w:rsidRPr="00FD3E38" w:rsidRDefault="000F1067" w:rsidP="00FD3E38">
            <w:pPr>
              <w:spacing w:after="0" w:line="240" w:lineRule="auto"/>
              <w:jc w:val="center"/>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96</w:t>
            </w:r>
          </w:p>
        </w:tc>
        <w:tc>
          <w:tcPr>
            <w:tcW w:w="1034" w:type="pct"/>
            <w:tcBorders>
              <w:top w:val="nil"/>
              <w:left w:val="nil"/>
              <w:bottom w:val="single" w:sz="4" w:space="0" w:color="auto"/>
              <w:right w:val="single" w:sz="4" w:space="0" w:color="auto"/>
            </w:tcBorders>
            <w:shd w:val="clear" w:color="auto" w:fill="auto"/>
            <w:noWrap/>
            <w:hideMark/>
          </w:tcPr>
          <w:p w14:paraId="349E84C8" w14:textId="6E88C53A" w:rsidR="000F1067" w:rsidRPr="00FD3E38" w:rsidRDefault="000F1067"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77 </w:t>
            </w:r>
            <w:r w:rsidRPr="00FD3E38">
              <w:rPr>
                <w:rFonts w:ascii="Calibri" w:eastAsia="Times New Roman" w:hAnsi="Calibri" w:cs="Calibri"/>
                <w:sz w:val="20"/>
                <w:szCs w:val="20"/>
                <w:lang w:eastAsia="hr-HR"/>
              </w:rPr>
              <w:t>901,74</w:t>
            </w:r>
          </w:p>
        </w:tc>
      </w:tr>
      <w:tr w:rsidR="000F1067" w:rsidRPr="00FD3E38" w14:paraId="7F875743" w14:textId="77777777" w:rsidTr="000F1067">
        <w:trPr>
          <w:trHeight w:val="255"/>
        </w:trPr>
        <w:tc>
          <w:tcPr>
            <w:tcW w:w="3235" w:type="pct"/>
            <w:tcBorders>
              <w:top w:val="nil"/>
              <w:left w:val="single" w:sz="4" w:space="0" w:color="auto"/>
              <w:bottom w:val="single" w:sz="4" w:space="0" w:color="auto"/>
              <w:right w:val="single" w:sz="4" w:space="0" w:color="auto"/>
            </w:tcBorders>
            <w:shd w:val="clear" w:color="auto" w:fill="auto"/>
            <w:noWrap/>
            <w:hideMark/>
          </w:tcPr>
          <w:p w14:paraId="2898C0C1" w14:textId="77777777" w:rsidR="000F1067" w:rsidRPr="00FD3E38" w:rsidRDefault="000F1067"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Bolnice i poliklinike+ambulante</w:t>
            </w:r>
          </w:p>
        </w:tc>
        <w:tc>
          <w:tcPr>
            <w:tcW w:w="731" w:type="pct"/>
            <w:tcBorders>
              <w:top w:val="nil"/>
              <w:left w:val="nil"/>
              <w:bottom w:val="single" w:sz="4" w:space="0" w:color="auto"/>
              <w:right w:val="single" w:sz="4" w:space="0" w:color="auto"/>
            </w:tcBorders>
            <w:shd w:val="clear" w:color="auto" w:fill="auto"/>
            <w:noWrap/>
            <w:hideMark/>
          </w:tcPr>
          <w:p w14:paraId="07276D88" w14:textId="77777777" w:rsidR="000F1067" w:rsidRPr="00FD3E38" w:rsidRDefault="000F1067" w:rsidP="00FD3E38">
            <w:pPr>
              <w:spacing w:after="0" w:line="240" w:lineRule="auto"/>
              <w:jc w:val="center"/>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27</w:t>
            </w:r>
          </w:p>
        </w:tc>
        <w:tc>
          <w:tcPr>
            <w:tcW w:w="1034" w:type="pct"/>
            <w:tcBorders>
              <w:top w:val="nil"/>
              <w:left w:val="nil"/>
              <w:bottom w:val="single" w:sz="4" w:space="0" w:color="auto"/>
              <w:right w:val="single" w:sz="4" w:space="0" w:color="auto"/>
            </w:tcBorders>
            <w:shd w:val="clear" w:color="auto" w:fill="auto"/>
            <w:noWrap/>
            <w:hideMark/>
          </w:tcPr>
          <w:p w14:paraId="69230518" w14:textId="5E2D8BB4" w:rsidR="000F1067" w:rsidRPr="00FD3E38" w:rsidRDefault="000F1067"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99 </w:t>
            </w:r>
            <w:r w:rsidRPr="00FD3E38">
              <w:rPr>
                <w:rFonts w:ascii="Calibri" w:eastAsia="Times New Roman" w:hAnsi="Calibri" w:cs="Calibri"/>
                <w:sz w:val="20"/>
                <w:szCs w:val="20"/>
                <w:lang w:eastAsia="hr-HR"/>
              </w:rPr>
              <w:t>928,71</w:t>
            </w:r>
          </w:p>
        </w:tc>
      </w:tr>
      <w:tr w:rsidR="000F1067" w:rsidRPr="00FD3E38" w14:paraId="61BF90FC" w14:textId="77777777" w:rsidTr="000F1067">
        <w:trPr>
          <w:trHeight w:val="255"/>
        </w:trPr>
        <w:tc>
          <w:tcPr>
            <w:tcW w:w="3235" w:type="pct"/>
            <w:tcBorders>
              <w:top w:val="nil"/>
              <w:left w:val="single" w:sz="4" w:space="0" w:color="auto"/>
              <w:bottom w:val="single" w:sz="4" w:space="0" w:color="auto"/>
              <w:right w:val="single" w:sz="4" w:space="0" w:color="auto"/>
            </w:tcBorders>
            <w:shd w:val="clear" w:color="auto" w:fill="auto"/>
            <w:noWrap/>
            <w:hideMark/>
          </w:tcPr>
          <w:p w14:paraId="062B949D" w14:textId="77777777" w:rsidR="000F1067" w:rsidRPr="00FD3E38" w:rsidRDefault="000F1067"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Domovi za starije i nemoćne</w:t>
            </w:r>
          </w:p>
        </w:tc>
        <w:tc>
          <w:tcPr>
            <w:tcW w:w="731" w:type="pct"/>
            <w:tcBorders>
              <w:top w:val="nil"/>
              <w:left w:val="nil"/>
              <w:bottom w:val="single" w:sz="4" w:space="0" w:color="auto"/>
              <w:right w:val="single" w:sz="4" w:space="0" w:color="auto"/>
            </w:tcBorders>
            <w:shd w:val="clear" w:color="auto" w:fill="auto"/>
            <w:noWrap/>
            <w:hideMark/>
          </w:tcPr>
          <w:p w14:paraId="50F0F478" w14:textId="77777777" w:rsidR="000F1067" w:rsidRPr="00FD3E38" w:rsidRDefault="000F1067" w:rsidP="00FD3E38">
            <w:pPr>
              <w:spacing w:after="0" w:line="240" w:lineRule="auto"/>
              <w:jc w:val="center"/>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17</w:t>
            </w:r>
          </w:p>
        </w:tc>
        <w:tc>
          <w:tcPr>
            <w:tcW w:w="1034" w:type="pct"/>
            <w:tcBorders>
              <w:top w:val="nil"/>
              <w:left w:val="nil"/>
              <w:bottom w:val="single" w:sz="4" w:space="0" w:color="auto"/>
              <w:right w:val="single" w:sz="4" w:space="0" w:color="auto"/>
            </w:tcBorders>
            <w:shd w:val="clear" w:color="auto" w:fill="auto"/>
            <w:noWrap/>
            <w:hideMark/>
          </w:tcPr>
          <w:p w14:paraId="08D4AB62" w14:textId="156D61AB" w:rsidR="000F1067" w:rsidRPr="00FD3E38" w:rsidRDefault="000F1067"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116 </w:t>
            </w:r>
            <w:r w:rsidRPr="00FD3E38">
              <w:rPr>
                <w:rFonts w:ascii="Calibri" w:eastAsia="Times New Roman" w:hAnsi="Calibri" w:cs="Calibri"/>
                <w:sz w:val="20"/>
                <w:szCs w:val="20"/>
                <w:lang w:eastAsia="hr-HR"/>
              </w:rPr>
              <w:t>452,47</w:t>
            </w:r>
          </w:p>
        </w:tc>
      </w:tr>
      <w:tr w:rsidR="000F1067" w:rsidRPr="00FD3E38" w14:paraId="444413E7" w14:textId="77777777" w:rsidTr="000F1067">
        <w:trPr>
          <w:trHeight w:val="255"/>
        </w:trPr>
        <w:tc>
          <w:tcPr>
            <w:tcW w:w="3235" w:type="pct"/>
            <w:tcBorders>
              <w:top w:val="nil"/>
              <w:left w:val="single" w:sz="4" w:space="0" w:color="auto"/>
              <w:bottom w:val="single" w:sz="4" w:space="0" w:color="auto"/>
              <w:right w:val="single" w:sz="4" w:space="0" w:color="auto"/>
            </w:tcBorders>
            <w:shd w:val="clear" w:color="auto" w:fill="auto"/>
            <w:noWrap/>
            <w:hideMark/>
          </w:tcPr>
          <w:p w14:paraId="0D2A1134" w14:textId="315C7CDD" w:rsidR="000F1067" w:rsidRPr="00FD3E38" w:rsidRDefault="000F1067"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Ured za socijalnu zaštitu</w:t>
            </w:r>
            <w:r w:rsidR="00F560CC">
              <w:rPr>
                <w:rFonts w:ascii="Calibri" w:eastAsia="Times New Roman" w:hAnsi="Calibri" w:cs="Calibri"/>
                <w:sz w:val="20"/>
                <w:szCs w:val="20"/>
                <w:lang w:eastAsia="hr-HR"/>
              </w:rPr>
              <w:t xml:space="preserve"> - restorani</w:t>
            </w:r>
          </w:p>
        </w:tc>
        <w:tc>
          <w:tcPr>
            <w:tcW w:w="731" w:type="pct"/>
            <w:tcBorders>
              <w:top w:val="nil"/>
              <w:left w:val="nil"/>
              <w:bottom w:val="single" w:sz="4" w:space="0" w:color="auto"/>
              <w:right w:val="single" w:sz="4" w:space="0" w:color="auto"/>
            </w:tcBorders>
            <w:shd w:val="clear" w:color="auto" w:fill="auto"/>
            <w:noWrap/>
            <w:hideMark/>
          </w:tcPr>
          <w:p w14:paraId="21E2C2D2" w14:textId="77777777" w:rsidR="000F1067" w:rsidRPr="00FD3E38" w:rsidRDefault="000F1067" w:rsidP="00FD3E38">
            <w:pPr>
              <w:spacing w:after="0" w:line="240" w:lineRule="auto"/>
              <w:jc w:val="center"/>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4</w:t>
            </w:r>
          </w:p>
        </w:tc>
        <w:tc>
          <w:tcPr>
            <w:tcW w:w="1034" w:type="pct"/>
            <w:tcBorders>
              <w:top w:val="nil"/>
              <w:left w:val="nil"/>
              <w:bottom w:val="single" w:sz="4" w:space="0" w:color="auto"/>
              <w:right w:val="single" w:sz="4" w:space="0" w:color="auto"/>
            </w:tcBorders>
            <w:shd w:val="clear" w:color="auto" w:fill="auto"/>
            <w:noWrap/>
            <w:hideMark/>
          </w:tcPr>
          <w:p w14:paraId="4E8AF775" w14:textId="7DE7FEA6" w:rsidR="000F1067" w:rsidRPr="00FD3E38" w:rsidRDefault="000F1067"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3 </w:t>
            </w:r>
            <w:r w:rsidRPr="00FD3E38">
              <w:rPr>
                <w:rFonts w:ascii="Calibri" w:eastAsia="Times New Roman" w:hAnsi="Calibri" w:cs="Calibri"/>
                <w:sz w:val="20"/>
                <w:szCs w:val="20"/>
                <w:lang w:eastAsia="hr-HR"/>
              </w:rPr>
              <w:t>515,00</w:t>
            </w:r>
          </w:p>
        </w:tc>
      </w:tr>
      <w:tr w:rsidR="000F1067" w:rsidRPr="00FD3E38" w14:paraId="40E5498F" w14:textId="77777777" w:rsidTr="000F1067">
        <w:trPr>
          <w:trHeight w:val="255"/>
        </w:trPr>
        <w:tc>
          <w:tcPr>
            <w:tcW w:w="3235" w:type="pct"/>
            <w:tcBorders>
              <w:top w:val="nil"/>
              <w:left w:val="single" w:sz="4" w:space="0" w:color="auto"/>
              <w:bottom w:val="single" w:sz="4" w:space="0" w:color="auto"/>
              <w:right w:val="single" w:sz="4" w:space="0" w:color="auto"/>
            </w:tcBorders>
            <w:shd w:val="clear" w:color="000000" w:fill="D9D9D9"/>
            <w:noWrap/>
            <w:hideMark/>
          </w:tcPr>
          <w:p w14:paraId="02BC5AF1" w14:textId="77777777" w:rsidR="000F1067" w:rsidRPr="00FD3E38" w:rsidRDefault="000F1067" w:rsidP="00FD3E38">
            <w:pPr>
              <w:spacing w:after="0" w:line="240" w:lineRule="auto"/>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Kultura</w:t>
            </w:r>
          </w:p>
        </w:tc>
        <w:tc>
          <w:tcPr>
            <w:tcW w:w="731" w:type="pct"/>
            <w:tcBorders>
              <w:top w:val="nil"/>
              <w:left w:val="nil"/>
              <w:bottom w:val="single" w:sz="4" w:space="0" w:color="auto"/>
              <w:right w:val="single" w:sz="4" w:space="0" w:color="auto"/>
            </w:tcBorders>
            <w:shd w:val="clear" w:color="000000" w:fill="D9D9D9"/>
            <w:noWrap/>
            <w:hideMark/>
          </w:tcPr>
          <w:p w14:paraId="0EF970BF" w14:textId="77777777" w:rsidR="000F1067" w:rsidRPr="00FD3E38" w:rsidRDefault="000F1067"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100</w:t>
            </w:r>
          </w:p>
        </w:tc>
        <w:tc>
          <w:tcPr>
            <w:tcW w:w="1034" w:type="pct"/>
            <w:tcBorders>
              <w:top w:val="nil"/>
              <w:left w:val="nil"/>
              <w:bottom w:val="single" w:sz="4" w:space="0" w:color="auto"/>
              <w:right w:val="single" w:sz="4" w:space="0" w:color="auto"/>
            </w:tcBorders>
            <w:shd w:val="clear" w:color="000000" w:fill="D9D9D9"/>
            <w:noWrap/>
            <w:hideMark/>
          </w:tcPr>
          <w:p w14:paraId="1794C20E" w14:textId="3181AD76" w:rsidR="000F1067" w:rsidRPr="00FD3E38" w:rsidRDefault="000F1067" w:rsidP="00FD3E38">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 xml:space="preserve">111 </w:t>
            </w:r>
            <w:r w:rsidRPr="00FD3E38">
              <w:rPr>
                <w:rFonts w:ascii="Calibri" w:eastAsia="Times New Roman" w:hAnsi="Calibri" w:cs="Calibri"/>
                <w:b/>
                <w:bCs/>
                <w:sz w:val="20"/>
                <w:szCs w:val="20"/>
                <w:lang w:eastAsia="hr-HR"/>
              </w:rPr>
              <w:t>637,30</w:t>
            </w:r>
          </w:p>
        </w:tc>
      </w:tr>
      <w:tr w:rsidR="000F1067" w:rsidRPr="00FD3E38" w14:paraId="274A7C94" w14:textId="77777777" w:rsidTr="000F1067">
        <w:trPr>
          <w:trHeight w:val="255"/>
        </w:trPr>
        <w:tc>
          <w:tcPr>
            <w:tcW w:w="3235" w:type="pct"/>
            <w:tcBorders>
              <w:top w:val="nil"/>
              <w:left w:val="single" w:sz="4" w:space="0" w:color="auto"/>
              <w:bottom w:val="single" w:sz="4" w:space="0" w:color="auto"/>
              <w:right w:val="single" w:sz="4" w:space="0" w:color="auto"/>
            </w:tcBorders>
            <w:shd w:val="clear" w:color="000000" w:fill="D9D9D9"/>
            <w:noWrap/>
            <w:hideMark/>
          </w:tcPr>
          <w:p w14:paraId="3743CED0" w14:textId="77777777" w:rsidR="000F1067" w:rsidRPr="00FD3E38" w:rsidRDefault="000F1067" w:rsidP="00FD3E38">
            <w:pPr>
              <w:spacing w:after="0" w:line="240" w:lineRule="auto"/>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Uprava</w:t>
            </w:r>
          </w:p>
        </w:tc>
        <w:tc>
          <w:tcPr>
            <w:tcW w:w="731" w:type="pct"/>
            <w:tcBorders>
              <w:top w:val="nil"/>
              <w:left w:val="nil"/>
              <w:bottom w:val="single" w:sz="4" w:space="0" w:color="auto"/>
              <w:right w:val="single" w:sz="4" w:space="0" w:color="auto"/>
            </w:tcBorders>
            <w:shd w:val="clear" w:color="000000" w:fill="D9D9D9"/>
            <w:noWrap/>
            <w:hideMark/>
          </w:tcPr>
          <w:p w14:paraId="3F61CF90" w14:textId="77777777" w:rsidR="000F1067" w:rsidRPr="00FD3E38" w:rsidRDefault="000F1067"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251</w:t>
            </w:r>
          </w:p>
        </w:tc>
        <w:tc>
          <w:tcPr>
            <w:tcW w:w="1034" w:type="pct"/>
            <w:tcBorders>
              <w:top w:val="nil"/>
              <w:left w:val="nil"/>
              <w:bottom w:val="single" w:sz="4" w:space="0" w:color="auto"/>
              <w:right w:val="single" w:sz="4" w:space="0" w:color="auto"/>
            </w:tcBorders>
            <w:shd w:val="clear" w:color="000000" w:fill="D9D9D9"/>
            <w:noWrap/>
            <w:hideMark/>
          </w:tcPr>
          <w:p w14:paraId="7E088104" w14:textId="4793EF27" w:rsidR="000F1067" w:rsidRPr="00FD3E38" w:rsidRDefault="000F1067" w:rsidP="00FD3E38">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 xml:space="preserve">126 </w:t>
            </w:r>
            <w:r w:rsidRPr="00FD3E38">
              <w:rPr>
                <w:rFonts w:ascii="Calibri" w:eastAsia="Times New Roman" w:hAnsi="Calibri" w:cs="Calibri"/>
                <w:b/>
                <w:bCs/>
                <w:sz w:val="20"/>
                <w:szCs w:val="20"/>
                <w:lang w:eastAsia="hr-HR"/>
              </w:rPr>
              <w:t>258,63</w:t>
            </w:r>
          </w:p>
        </w:tc>
      </w:tr>
      <w:tr w:rsidR="000F1067" w:rsidRPr="00FD3E38" w14:paraId="7BFF3688" w14:textId="77777777" w:rsidTr="000F1067">
        <w:trPr>
          <w:trHeight w:val="255"/>
        </w:trPr>
        <w:tc>
          <w:tcPr>
            <w:tcW w:w="3235" w:type="pct"/>
            <w:tcBorders>
              <w:top w:val="nil"/>
              <w:left w:val="single" w:sz="4" w:space="0" w:color="auto"/>
              <w:bottom w:val="single" w:sz="4" w:space="0" w:color="auto"/>
              <w:right w:val="single" w:sz="4" w:space="0" w:color="auto"/>
            </w:tcBorders>
            <w:shd w:val="clear" w:color="auto" w:fill="auto"/>
            <w:noWrap/>
            <w:hideMark/>
          </w:tcPr>
          <w:p w14:paraId="6F99F2A2" w14:textId="77777777" w:rsidR="000F1067" w:rsidRPr="00FD3E38" w:rsidRDefault="000F1067"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Gradska uprava</w:t>
            </w:r>
          </w:p>
        </w:tc>
        <w:tc>
          <w:tcPr>
            <w:tcW w:w="731" w:type="pct"/>
            <w:tcBorders>
              <w:top w:val="nil"/>
              <w:left w:val="nil"/>
              <w:bottom w:val="single" w:sz="4" w:space="0" w:color="auto"/>
              <w:right w:val="single" w:sz="4" w:space="0" w:color="auto"/>
            </w:tcBorders>
            <w:shd w:val="clear" w:color="auto" w:fill="auto"/>
            <w:noWrap/>
            <w:hideMark/>
          </w:tcPr>
          <w:p w14:paraId="7FFE2BE1" w14:textId="77777777" w:rsidR="000F1067" w:rsidRPr="00FF4B42" w:rsidRDefault="000F1067" w:rsidP="00FD3E38">
            <w:pPr>
              <w:spacing w:after="0" w:line="240" w:lineRule="auto"/>
              <w:jc w:val="center"/>
              <w:rPr>
                <w:rFonts w:ascii="Calibri" w:eastAsia="Times New Roman" w:hAnsi="Calibri" w:cs="Calibri"/>
                <w:bCs/>
                <w:sz w:val="20"/>
                <w:szCs w:val="20"/>
                <w:lang w:eastAsia="hr-HR"/>
              </w:rPr>
            </w:pPr>
            <w:r w:rsidRPr="00FF4B42">
              <w:rPr>
                <w:rFonts w:ascii="Calibri" w:eastAsia="Times New Roman" w:hAnsi="Calibri" w:cs="Calibri"/>
                <w:bCs/>
                <w:sz w:val="20"/>
                <w:szCs w:val="20"/>
                <w:lang w:eastAsia="hr-HR"/>
              </w:rPr>
              <w:t>29</w:t>
            </w:r>
          </w:p>
        </w:tc>
        <w:tc>
          <w:tcPr>
            <w:tcW w:w="1034" w:type="pct"/>
            <w:tcBorders>
              <w:top w:val="nil"/>
              <w:left w:val="nil"/>
              <w:bottom w:val="single" w:sz="4" w:space="0" w:color="auto"/>
              <w:right w:val="single" w:sz="4" w:space="0" w:color="auto"/>
            </w:tcBorders>
            <w:shd w:val="clear" w:color="auto" w:fill="auto"/>
            <w:noWrap/>
            <w:hideMark/>
          </w:tcPr>
          <w:p w14:paraId="251D9C3A" w14:textId="6F749464" w:rsidR="000F1067" w:rsidRPr="00FF4B42" w:rsidRDefault="000F1067" w:rsidP="00FD3E38">
            <w:pPr>
              <w:spacing w:after="0" w:line="240" w:lineRule="auto"/>
              <w:jc w:val="center"/>
              <w:rPr>
                <w:rFonts w:ascii="Calibri" w:eastAsia="Times New Roman" w:hAnsi="Calibri" w:cs="Calibri"/>
                <w:bCs/>
                <w:sz w:val="20"/>
                <w:szCs w:val="20"/>
                <w:lang w:eastAsia="hr-HR"/>
              </w:rPr>
            </w:pPr>
            <w:r w:rsidRPr="00FF4B42">
              <w:rPr>
                <w:rFonts w:ascii="Calibri" w:eastAsia="Times New Roman" w:hAnsi="Calibri" w:cs="Calibri"/>
                <w:bCs/>
                <w:sz w:val="20"/>
                <w:szCs w:val="20"/>
                <w:lang w:eastAsia="hr-HR"/>
              </w:rPr>
              <w:t>80 911,95</w:t>
            </w:r>
          </w:p>
        </w:tc>
      </w:tr>
      <w:tr w:rsidR="000F1067" w:rsidRPr="00FD3E38" w14:paraId="299FE862" w14:textId="77777777" w:rsidTr="000F1067">
        <w:trPr>
          <w:trHeight w:val="255"/>
        </w:trPr>
        <w:tc>
          <w:tcPr>
            <w:tcW w:w="3235" w:type="pct"/>
            <w:tcBorders>
              <w:top w:val="nil"/>
              <w:left w:val="single" w:sz="4" w:space="0" w:color="auto"/>
              <w:bottom w:val="single" w:sz="4" w:space="0" w:color="auto"/>
              <w:right w:val="single" w:sz="4" w:space="0" w:color="auto"/>
            </w:tcBorders>
            <w:shd w:val="clear" w:color="auto" w:fill="auto"/>
            <w:noWrap/>
            <w:hideMark/>
          </w:tcPr>
          <w:p w14:paraId="08DBFAF7" w14:textId="77777777" w:rsidR="000F1067" w:rsidRPr="00FD3E38" w:rsidRDefault="000F1067"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Mjesna samouprava</w:t>
            </w:r>
          </w:p>
        </w:tc>
        <w:tc>
          <w:tcPr>
            <w:tcW w:w="731" w:type="pct"/>
            <w:tcBorders>
              <w:top w:val="nil"/>
              <w:left w:val="nil"/>
              <w:bottom w:val="single" w:sz="4" w:space="0" w:color="auto"/>
              <w:right w:val="single" w:sz="4" w:space="0" w:color="auto"/>
            </w:tcBorders>
            <w:shd w:val="clear" w:color="auto" w:fill="auto"/>
            <w:noWrap/>
            <w:hideMark/>
          </w:tcPr>
          <w:p w14:paraId="7A379D6F" w14:textId="77777777" w:rsidR="000F1067" w:rsidRPr="00FF4B42" w:rsidRDefault="000F1067" w:rsidP="00FD3E38">
            <w:pPr>
              <w:spacing w:after="0" w:line="240" w:lineRule="auto"/>
              <w:jc w:val="center"/>
              <w:rPr>
                <w:rFonts w:ascii="Calibri" w:eastAsia="Times New Roman" w:hAnsi="Calibri" w:cs="Calibri"/>
                <w:bCs/>
                <w:sz w:val="20"/>
                <w:szCs w:val="20"/>
                <w:lang w:eastAsia="hr-HR"/>
              </w:rPr>
            </w:pPr>
            <w:r w:rsidRPr="00FF4B42">
              <w:rPr>
                <w:rFonts w:ascii="Calibri" w:eastAsia="Times New Roman" w:hAnsi="Calibri" w:cs="Calibri"/>
                <w:bCs/>
                <w:sz w:val="20"/>
                <w:szCs w:val="20"/>
                <w:lang w:eastAsia="hr-HR"/>
              </w:rPr>
              <w:t>222</w:t>
            </w:r>
          </w:p>
        </w:tc>
        <w:tc>
          <w:tcPr>
            <w:tcW w:w="1034" w:type="pct"/>
            <w:tcBorders>
              <w:top w:val="nil"/>
              <w:left w:val="nil"/>
              <w:bottom w:val="single" w:sz="4" w:space="0" w:color="auto"/>
              <w:right w:val="single" w:sz="4" w:space="0" w:color="auto"/>
            </w:tcBorders>
            <w:shd w:val="clear" w:color="auto" w:fill="auto"/>
            <w:noWrap/>
            <w:hideMark/>
          </w:tcPr>
          <w:p w14:paraId="018A16F8" w14:textId="62445FE5" w:rsidR="000F1067" w:rsidRPr="00FF4B42" w:rsidRDefault="000F1067" w:rsidP="00FD3E38">
            <w:pPr>
              <w:spacing w:after="0" w:line="240" w:lineRule="auto"/>
              <w:jc w:val="center"/>
              <w:rPr>
                <w:rFonts w:ascii="Calibri" w:eastAsia="Times New Roman" w:hAnsi="Calibri" w:cs="Calibri"/>
                <w:bCs/>
                <w:sz w:val="20"/>
                <w:szCs w:val="20"/>
                <w:lang w:eastAsia="hr-HR"/>
              </w:rPr>
            </w:pPr>
            <w:r w:rsidRPr="00FF4B42">
              <w:rPr>
                <w:rFonts w:ascii="Calibri" w:eastAsia="Times New Roman" w:hAnsi="Calibri" w:cs="Calibri"/>
                <w:bCs/>
                <w:sz w:val="20"/>
                <w:szCs w:val="20"/>
                <w:lang w:eastAsia="hr-HR"/>
              </w:rPr>
              <w:t>45 346,68</w:t>
            </w:r>
          </w:p>
        </w:tc>
      </w:tr>
      <w:tr w:rsidR="000F1067" w:rsidRPr="00FD3E38" w14:paraId="6889703D" w14:textId="77777777" w:rsidTr="000F1067">
        <w:trPr>
          <w:trHeight w:val="255"/>
        </w:trPr>
        <w:tc>
          <w:tcPr>
            <w:tcW w:w="3235" w:type="pct"/>
            <w:tcBorders>
              <w:top w:val="nil"/>
              <w:left w:val="single" w:sz="4" w:space="0" w:color="auto"/>
              <w:bottom w:val="single" w:sz="4" w:space="0" w:color="auto"/>
              <w:right w:val="single" w:sz="4" w:space="0" w:color="auto"/>
            </w:tcBorders>
            <w:shd w:val="clear" w:color="000000" w:fill="D9D9D9"/>
            <w:noWrap/>
            <w:hideMark/>
          </w:tcPr>
          <w:p w14:paraId="76A2CB98" w14:textId="77777777" w:rsidR="000F1067" w:rsidRPr="00FD3E38" w:rsidRDefault="000F1067" w:rsidP="00FD3E38">
            <w:pPr>
              <w:spacing w:after="0" w:line="240" w:lineRule="auto"/>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Sport</w:t>
            </w:r>
          </w:p>
        </w:tc>
        <w:tc>
          <w:tcPr>
            <w:tcW w:w="731" w:type="pct"/>
            <w:tcBorders>
              <w:top w:val="nil"/>
              <w:left w:val="nil"/>
              <w:bottom w:val="single" w:sz="4" w:space="0" w:color="auto"/>
              <w:right w:val="single" w:sz="4" w:space="0" w:color="auto"/>
            </w:tcBorders>
            <w:shd w:val="clear" w:color="000000" w:fill="D9D9D9"/>
            <w:noWrap/>
            <w:hideMark/>
          </w:tcPr>
          <w:p w14:paraId="5E69834F" w14:textId="77777777" w:rsidR="000F1067" w:rsidRPr="00FD3E38" w:rsidRDefault="000F1067"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10</w:t>
            </w:r>
          </w:p>
        </w:tc>
        <w:tc>
          <w:tcPr>
            <w:tcW w:w="1034" w:type="pct"/>
            <w:tcBorders>
              <w:top w:val="nil"/>
              <w:left w:val="single" w:sz="4" w:space="0" w:color="auto"/>
              <w:bottom w:val="single" w:sz="4" w:space="0" w:color="auto"/>
              <w:right w:val="single" w:sz="4" w:space="0" w:color="auto"/>
            </w:tcBorders>
            <w:shd w:val="clear" w:color="000000" w:fill="D9D9D9"/>
            <w:noWrap/>
            <w:vAlign w:val="bottom"/>
            <w:hideMark/>
          </w:tcPr>
          <w:p w14:paraId="65181924" w14:textId="2CEDA2C2" w:rsidR="000F1067" w:rsidRPr="00FD3E38" w:rsidRDefault="000F1067" w:rsidP="00FD3E38">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84 </w:t>
            </w:r>
            <w:r w:rsidRPr="00FD3E38">
              <w:rPr>
                <w:rFonts w:ascii="Calibri" w:eastAsia="Times New Roman" w:hAnsi="Calibri" w:cs="Calibri"/>
                <w:b/>
                <w:bCs/>
                <w:color w:val="000000"/>
                <w:sz w:val="20"/>
                <w:szCs w:val="20"/>
                <w:lang w:eastAsia="hr-HR"/>
              </w:rPr>
              <w:t>266,09</w:t>
            </w:r>
          </w:p>
        </w:tc>
      </w:tr>
      <w:tr w:rsidR="000F1067" w:rsidRPr="00FD3E38" w14:paraId="081E6E18" w14:textId="77777777" w:rsidTr="000F1067">
        <w:trPr>
          <w:trHeight w:val="255"/>
        </w:trPr>
        <w:tc>
          <w:tcPr>
            <w:tcW w:w="3235" w:type="pct"/>
            <w:tcBorders>
              <w:top w:val="nil"/>
              <w:left w:val="single" w:sz="4" w:space="0" w:color="auto"/>
              <w:bottom w:val="single" w:sz="4" w:space="0" w:color="auto"/>
              <w:right w:val="single" w:sz="4" w:space="0" w:color="auto"/>
            </w:tcBorders>
            <w:shd w:val="clear" w:color="000000" w:fill="D9D9D9"/>
            <w:noWrap/>
            <w:hideMark/>
          </w:tcPr>
          <w:p w14:paraId="7BA3BF28" w14:textId="77777777" w:rsidR="000F1067" w:rsidRPr="00FD3E38" w:rsidRDefault="000F1067" w:rsidP="00FD3E38">
            <w:pPr>
              <w:spacing w:after="0" w:line="240" w:lineRule="auto"/>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Ostalo</w:t>
            </w:r>
          </w:p>
        </w:tc>
        <w:tc>
          <w:tcPr>
            <w:tcW w:w="731" w:type="pct"/>
            <w:tcBorders>
              <w:top w:val="nil"/>
              <w:left w:val="nil"/>
              <w:bottom w:val="single" w:sz="4" w:space="0" w:color="auto"/>
              <w:right w:val="single" w:sz="4" w:space="0" w:color="auto"/>
            </w:tcBorders>
            <w:shd w:val="clear" w:color="000000" w:fill="D9D9D9"/>
            <w:noWrap/>
            <w:hideMark/>
          </w:tcPr>
          <w:p w14:paraId="53E94A0E" w14:textId="77777777" w:rsidR="000F1067" w:rsidRPr="00FD3E38" w:rsidRDefault="000F1067"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4</w:t>
            </w:r>
          </w:p>
        </w:tc>
        <w:tc>
          <w:tcPr>
            <w:tcW w:w="1034" w:type="pct"/>
            <w:tcBorders>
              <w:top w:val="nil"/>
              <w:left w:val="nil"/>
              <w:bottom w:val="single" w:sz="4" w:space="0" w:color="auto"/>
              <w:right w:val="single" w:sz="4" w:space="0" w:color="auto"/>
            </w:tcBorders>
            <w:shd w:val="clear" w:color="000000" w:fill="D9D9D9"/>
            <w:noWrap/>
            <w:hideMark/>
          </w:tcPr>
          <w:p w14:paraId="7D963FE7" w14:textId="74DF5452" w:rsidR="000F1067" w:rsidRPr="00FD3E38" w:rsidRDefault="000F1067" w:rsidP="00FD3E38">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 xml:space="preserve">4 </w:t>
            </w:r>
            <w:r w:rsidRPr="00FD3E38">
              <w:rPr>
                <w:rFonts w:ascii="Calibri" w:eastAsia="Times New Roman" w:hAnsi="Calibri" w:cs="Calibri"/>
                <w:b/>
                <w:bCs/>
                <w:sz w:val="20"/>
                <w:szCs w:val="20"/>
                <w:lang w:eastAsia="hr-HR"/>
              </w:rPr>
              <w:t>418,98</w:t>
            </w:r>
          </w:p>
        </w:tc>
      </w:tr>
      <w:tr w:rsidR="000F1067" w:rsidRPr="00FD3E38" w14:paraId="1BA8B7D7" w14:textId="77777777" w:rsidTr="000F1067">
        <w:trPr>
          <w:trHeight w:val="255"/>
        </w:trPr>
        <w:tc>
          <w:tcPr>
            <w:tcW w:w="3235" w:type="pct"/>
            <w:tcBorders>
              <w:top w:val="nil"/>
              <w:left w:val="single" w:sz="4" w:space="0" w:color="auto"/>
              <w:bottom w:val="single" w:sz="4" w:space="0" w:color="auto"/>
              <w:right w:val="single" w:sz="4" w:space="0" w:color="auto"/>
            </w:tcBorders>
            <w:shd w:val="clear" w:color="000000" w:fill="D9D9D9"/>
            <w:noWrap/>
            <w:hideMark/>
          </w:tcPr>
          <w:p w14:paraId="127234DC" w14:textId="77777777" w:rsidR="000F1067" w:rsidRPr="00FD3E38" w:rsidRDefault="000F1067" w:rsidP="00FD3E38">
            <w:pPr>
              <w:spacing w:after="0" w:line="240" w:lineRule="auto"/>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Poslovni prostori i stanovi u vlasništvu Grada Zagreba</w:t>
            </w:r>
          </w:p>
        </w:tc>
        <w:tc>
          <w:tcPr>
            <w:tcW w:w="731" w:type="pct"/>
            <w:tcBorders>
              <w:top w:val="nil"/>
              <w:left w:val="nil"/>
              <w:bottom w:val="single" w:sz="4" w:space="0" w:color="auto"/>
              <w:right w:val="single" w:sz="4" w:space="0" w:color="auto"/>
            </w:tcBorders>
            <w:shd w:val="clear" w:color="000000" w:fill="D9D9D9"/>
            <w:noWrap/>
            <w:hideMark/>
          </w:tcPr>
          <w:p w14:paraId="4262A0DB" w14:textId="6FDD77BB" w:rsidR="000F1067" w:rsidRPr="00FD3E38" w:rsidRDefault="000F1067" w:rsidP="00FD3E38">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 xml:space="preserve">7 </w:t>
            </w:r>
            <w:r w:rsidRPr="00FD3E38">
              <w:rPr>
                <w:rFonts w:ascii="Calibri" w:eastAsia="Times New Roman" w:hAnsi="Calibri" w:cs="Calibri"/>
                <w:b/>
                <w:bCs/>
                <w:sz w:val="20"/>
                <w:szCs w:val="20"/>
                <w:lang w:eastAsia="hr-HR"/>
              </w:rPr>
              <w:t>287</w:t>
            </w:r>
          </w:p>
        </w:tc>
        <w:tc>
          <w:tcPr>
            <w:tcW w:w="1034" w:type="pct"/>
            <w:tcBorders>
              <w:top w:val="nil"/>
              <w:left w:val="nil"/>
              <w:bottom w:val="single" w:sz="4" w:space="0" w:color="auto"/>
              <w:right w:val="single" w:sz="4" w:space="0" w:color="auto"/>
            </w:tcBorders>
            <w:shd w:val="clear" w:color="000000" w:fill="D9D9D9"/>
            <w:noWrap/>
            <w:vAlign w:val="bottom"/>
            <w:hideMark/>
          </w:tcPr>
          <w:p w14:paraId="1245D27D" w14:textId="37373B89" w:rsidR="000F1067" w:rsidRPr="00FD3E38" w:rsidRDefault="000F1067" w:rsidP="00FD3E38">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534 </w:t>
            </w:r>
            <w:r w:rsidRPr="00FD3E38">
              <w:rPr>
                <w:rFonts w:ascii="Calibri" w:eastAsia="Times New Roman" w:hAnsi="Calibri" w:cs="Calibri"/>
                <w:b/>
                <w:bCs/>
                <w:color w:val="000000"/>
                <w:sz w:val="20"/>
                <w:szCs w:val="20"/>
                <w:lang w:eastAsia="hr-HR"/>
              </w:rPr>
              <w:t>416,47</w:t>
            </w:r>
          </w:p>
        </w:tc>
      </w:tr>
      <w:tr w:rsidR="000F1067" w:rsidRPr="00FD3E38" w14:paraId="380DEA35" w14:textId="77777777" w:rsidTr="000F1067">
        <w:trPr>
          <w:trHeight w:val="255"/>
        </w:trPr>
        <w:tc>
          <w:tcPr>
            <w:tcW w:w="3235" w:type="pct"/>
            <w:tcBorders>
              <w:top w:val="nil"/>
              <w:left w:val="single" w:sz="4" w:space="0" w:color="auto"/>
              <w:bottom w:val="single" w:sz="4" w:space="0" w:color="auto"/>
              <w:right w:val="single" w:sz="4" w:space="0" w:color="auto"/>
            </w:tcBorders>
            <w:shd w:val="clear" w:color="000000" w:fill="D9D9D9"/>
            <w:noWrap/>
            <w:hideMark/>
          </w:tcPr>
          <w:p w14:paraId="32A16FF3" w14:textId="77777777" w:rsidR="000F1067" w:rsidRPr="00FD3E38" w:rsidRDefault="000F1067" w:rsidP="00FD3E38">
            <w:pPr>
              <w:spacing w:after="0" w:line="240" w:lineRule="auto"/>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UKUPNO</w:t>
            </w:r>
          </w:p>
        </w:tc>
        <w:tc>
          <w:tcPr>
            <w:tcW w:w="731" w:type="pct"/>
            <w:tcBorders>
              <w:top w:val="nil"/>
              <w:left w:val="nil"/>
              <w:bottom w:val="single" w:sz="4" w:space="0" w:color="auto"/>
              <w:right w:val="single" w:sz="4" w:space="0" w:color="auto"/>
            </w:tcBorders>
            <w:shd w:val="clear" w:color="000000" w:fill="D9D9D9"/>
            <w:noWrap/>
            <w:hideMark/>
          </w:tcPr>
          <w:p w14:paraId="765083A2" w14:textId="6748BEC4" w:rsidR="000F1067" w:rsidRPr="00FD3E38" w:rsidRDefault="000F1067" w:rsidP="00FD3E38">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 xml:space="preserve">8 </w:t>
            </w:r>
            <w:r w:rsidRPr="00FD3E38">
              <w:rPr>
                <w:rFonts w:ascii="Calibri" w:eastAsia="Times New Roman" w:hAnsi="Calibri" w:cs="Calibri"/>
                <w:b/>
                <w:bCs/>
                <w:sz w:val="20"/>
                <w:szCs w:val="20"/>
                <w:lang w:eastAsia="hr-HR"/>
              </w:rPr>
              <w:t>214</w:t>
            </w:r>
          </w:p>
        </w:tc>
        <w:tc>
          <w:tcPr>
            <w:tcW w:w="1034" w:type="pct"/>
            <w:tcBorders>
              <w:top w:val="nil"/>
              <w:left w:val="nil"/>
              <w:bottom w:val="single" w:sz="4" w:space="0" w:color="auto"/>
              <w:right w:val="single" w:sz="4" w:space="0" w:color="auto"/>
            </w:tcBorders>
            <w:shd w:val="clear" w:color="000000" w:fill="D9D9D9"/>
            <w:noWrap/>
            <w:hideMark/>
          </w:tcPr>
          <w:p w14:paraId="108ACE02" w14:textId="1FE3883F" w:rsidR="000F1067" w:rsidRPr="00FD3E38" w:rsidRDefault="000F1067" w:rsidP="00FD3E38">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 xml:space="preserve">2 026 </w:t>
            </w:r>
            <w:r w:rsidRPr="00FD3E38">
              <w:rPr>
                <w:rFonts w:ascii="Calibri" w:eastAsia="Times New Roman" w:hAnsi="Calibri" w:cs="Calibri"/>
                <w:b/>
                <w:bCs/>
                <w:sz w:val="20"/>
                <w:szCs w:val="20"/>
                <w:lang w:eastAsia="hr-HR"/>
              </w:rPr>
              <w:t>079,41</w:t>
            </w:r>
          </w:p>
        </w:tc>
      </w:tr>
    </w:tbl>
    <w:p w14:paraId="122169A3" w14:textId="4C3F13C2" w:rsidR="00040F79" w:rsidRDefault="005D233A" w:rsidP="00E92750">
      <w:pPr>
        <w:spacing w:before="240" w:line="240" w:lineRule="auto"/>
        <w:jc w:val="both"/>
      </w:pPr>
      <w:r w:rsidRPr="00997818">
        <w:t xml:space="preserve">U kategoriji zgrada u vlasništvu Grada Zagreba u 2015. godini ukupno je potrošeno </w:t>
      </w:r>
      <w:r w:rsidR="00E472C0">
        <w:rPr>
          <w:rFonts w:ascii="Calibri" w:eastAsia="Times New Roman" w:hAnsi="Calibri" w:cs="Times New Roman"/>
          <w:b/>
          <w:bCs/>
          <w:lang w:eastAsia="hr-HR"/>
        </w:rPr>
        <w:t>92</w:t>
      </w:r>
      <w:r w:rsidR="00FD3E38">
        <w:rPr>
          <w:rFonts w:ascii="Calibri" w:eastAsia="Times New Roman" w:hAnsi="Calibri" w:cs="Times New Roman"/>
          <w:b/>
          <w:bCs/>
          <w:lang w:eastAsia="hr-HR"/>
        </w:rPr>
        <w:t xml:space="preserve"> 897</w:t>
      </w:r>
      <w:r w:rsidR="00336E6F" w:rsidRPr="00997818">
        <w:rPr>
          <w:rFonts w:ascii="Calibri" w:eastAsia="Times New Roman" w:hAnsi="Calibri" w:cs="Times New Roman"/>
          <w:b/>
          <w:bCs/>
          <w:lang w:eastAsia="hr-HR"/>
        </w:rPr>
        <w:t xml:space="preserve"> </w:t>
      </w:r>
      <w:r w:rsidR="00336E6F" w:rsidRPr="00997818">
        <w:rPr>
          <w:b/>
        </w:rPr>
        <w:t>M</w:t>
      </w:r>
      <w:r w:rsidRPr="00997818">
        <w:rPr>
          <w:b/>
        </w:rPr>
        <w:t>Wh električne en</w:t>
      </w:r>
      <w:r w:rsidR="004841D6" w:rsidRPr="00997818">
        <w:rPr>
          <w:b/>
        </w:rPr>
        <w:t>ergije za ne-toplinske namjene</w:t>
      </w:r>
      <w:r w:rsidR="004841D6" w:rsidRPr="00997818">
        <w:t xml:space="preserve"> </w:t>
      </w:r>
      <w:r w:rsidR="00FD566F" w:rsidRPr="00997818">
        <w:t xml:space="preserve">te </w:t>
      </w:r>
      <w:r w:rsidR="00FD3E38">
        <w:rPr>
          <w:b/>
        </w:rPr>
        <w:t>344</w:t>
      </w:r>
      <w:r w:rsidR="00F701B1" w:rsidRPr="00997818">
        <w:rPr>
          <w:b/>
        </w:rPr>
        <w:t xml:space="preserve"> </w:t>
      </w:r>
      <w:r w:rsidR="00FD3E38">
        <w:rPr>
          <w:b/>
        </w:rPr>
        <w:t>292</w:t>
      </w:r>
      <w:r w:rsidR="004841D6" w:rsidRPr="00997818">
        <w:rPr>
          <w:b/>
        </w:rPr>
        <w:t xml:space="preserve"> </w:t>
      </w:r>
      <w:r w:rsidR="00FD566F" w:rsidRPr="00997818">
        <w:rPr>
          <w:b/>
        </w:rPr>
        <w:t xml:space="preserve">MWh toplinske </w:t>
      </w:r>
      <w:r w:rsidR="00336E6F" w:rsidRPr="00997818">
        <w:rPr>
          <w:b/>
        </w:rPr>
        <w:t>energije</w:t>
      </w:r>
      <w:r w:rsidR="00336E6F" w:rsidRPr="00997818">
        <w:t>.</w:t>
      </w:r>
      <w:bookmarkStart w:id="82" w:name="_Ref462231573"/>
      <w:r w:rsidR="009132C0" w:rsidRPr="00997818">
        <w:t xml:space="preserve"> </w:t>
      </w:r>
    </w:p>
    <w:p w14:paraId="1D5ADF5F" w14:textId="46B7F682" w:rsidR="005D233A" w:rsidRDefault="003669C7" w:rsidP="00E92750">
      <w:pPr>
        <w:spacing w:before="240" w:line="240" w:lineRule="auto"/>
        <w:jc w:val="both"/>
        <w:rPr>
          <w:bCs/>
        </w:rPr>
      </w:pPr>
      <w:r w:rsidRPr="00997818">
        <w:rPr>
          <w:bCs/>
        </w:rPr>
        <w:t>Detaljan p</w:t>
      </w:r>
      <w:r w:rsidR="00336E6F" w:rsidRPr="00997818">
        <w:rPr>
          <w:bCs/>
        </w:rPr>
        <w:t>rikaz potrošnje električne e</w:t>
      </w:r>
      <w:r w:rsidR="00F701B1" w:rsidRPr="00997818">
        <w:rPr>
          <w:bCs/>
        </w:rPr>
        <w:t>nergije za ne-toplinske namjene</w:t>
      </w:r>
      <w:r w:rsidR="00040F79" w:rsidRPr="00997818">
        <w:rPr>
          <w:bCs/>
        </w:rPr>
        <w:t xml:space="preserve"> u </w:t>
      </w:r>
      <w:r w:rsidRPr="00997818">
        <w:rPr>
          <w:bCs/>
        </w:rPr>
        <w:t xml:space="preserve">pojedinim </w:t>
      </w:r>
      <w:r w:rsidR="00040F79" w:rsidRPr="00997818">
        <w:rPr>
          <w:bCs/>
        </w:rPr>
        <w:t>zgradama u vlasništvu Gra</w:t>
      </w:r>
      <w:r w:rsidRPr="00997818">
        <w:rPr>
          <w:bCs/>
        </w:rPr>
        <w:t>da Zagreba</w:t>
      </w:r>
      <w:r w:rsidR="00336E6F" w:rsidRPr="00997818">
        <w:rPr>
          <w:bCs/>
        </w:rPr>
        <w:t xml:space="preserve"> dan je u </w:t>
      </w:r>
      <w:r w:rsidR="00336E6F" w:rsidRPr="00997818">
        <w:rPr>
          <w:b/>
          <w:bCs/>
        </w:rPr>
        <w:fldChar w:fldCharType="begin"/>
      </w:r>
      <w:r w:rsidR="00336E6F" w:rsidRPr="00997818">
        <w:rPr>
          <w:b/>
          <w:bCs/>
        </w:rPr>
        <w:instrText xml:space="preserve"> REF _Ref465085687 \h  \* MERGEFORMAT </w:instrText>
      </w:r>
      <w:r w:rsidR="00336E6F" w:rsidRPr="00997818">
        <w:rPr>
          <w:b/>
          <w:bCs/>
        </w:rPr>
      </w:r>
      <w:r w:rsidR="00336E6F" w:rsidRPr="00997818">
        <w:rPr>
          <w:b/>
          <w:bCs/>
        </w:rPr>
        <w:fldChar w:fldCharType="separate"/>
      </w:r>
      <w:r w:rsidR="00315F7E">
        <w:rPr>
          <w:b/>
          <w:bCs/>
        </w:rPr>
        <w:t>Tablici</w:t>
      </w:r>
      <w:r w:rsidR="009C319B" w:rsidRPr="00997818">
        <w:rPr>
          <w:b/>
          <w:bCs/>
        </w:rPr>
        <w:t xml:space="preserve"> </w:t>
      </w:r>
      <w:r w:rsidR="009C319B">
        <w:rPr>
          <w:b/>
          <w:bCs/>
          <w:noProof/>
        </w:rPr>
        <w:t>4</w:t>
      </w:r>
      <w:r w:rsidR="009C319B" w:rsidRPr="00997818">
        <w:rPr>
          <w:b/>
          <w:bCs/>
          <w:noProof/>
        </w:rPr>
        <w:t>.</w:t>
      </w:r>
      <w:r w:rsidR="009C319B">
        <w:rPr>
          <w:b/>
          <w:bCs/>
          <w:noProof/>
        </w:rPr>
        <w:t>8</w:t>
      </w:r>
      <w:r w:rsidR="00336E6F" w:rsidRPr="00997818">
        <w:rPr>
          <w:b/>
          <w:bCs/>
        </w:rPr>
        <w:fldChar w:fldCharType="end"/>
      </w:r>
      <w:r w:rsidR="00336E6F" w:rsidRPr="00997818">
        <w:rPr>
          <w:bCs/>
        </w:rPr>
        <w:t xml:space="preserve"> i </w:t>
      </w:r>
      <w:r w:rsidR="001032DA" w:rsidRPr="00997818">
        <w:rPr>
          <w:bCs/>
        </w:rPr>
        <w:t xml:space="preserve">na </w:t>
      </w:r>
      <w:r w:rsidR="00336E6F" w:rsidRPr="00997818">
        <w:rPr>
          <w:bCs/>
        </w:rPr>
        <w:fldChar w:fldCharType="begin"/>
      </w:r>
      <w:r w:rsidR="00336E6F" w:rsidRPr="00997818">
        <w:rPr>
          <w:bCs/>
        </w:rPr>
        <w:instrText xml:space="preserve"> REF _Ref465086099 \h </w:instrText>
      </w:r>
      <w:r w:rsidR="00F701B1" w:rsidRPr="00997818">
        <w:rPr>
          <w:bCs/>
        </w:rPr>
        <w:instrText xml:space="preserve"> \* MERGEFORMAT </w:instrText>
      </w:r>
      <w:r w:rsidR="00336E6F" w:rsidRPr="00997818">
        <w:rPr>
          <w:bCs/>
        </w:rPr>
      </w:r>
      <w:r w:rsidR="00336E6F" w:rsidRPr="00997818">
        <w:rPr>
          <w:bCs/>
        </w:rPr>
        <w:fldChar w:fldCharType="separate"/>
      </w:r>
      <w:r w:rsidR="00315F7E">
        <w:rPr>
          <w:b/>
        </w:rPr>
        <w:t>Slici</w:t>
      </w:r>
      <w:r w:rsidR="009C319B" w:rsidRPr="00B41600">
        <w:rPr>
          <w:b/>
        </w:rPr>
        <w:t xml:space="preserve"> </w:t>
      </w:r>
      <w:r w:rsidR="009C319B">
        <w:rPr>
          <w:b/>
          <w:noProof/>
        </w:rPr>
        <w:t>4</w:t>
      </w:r>
      <w:r w:rsidR="009C319B" w:rsidRPr="00B41600">
        <w:rPr>
          <w:b/>
          <w:noProof/>
        </w:rPr>
        <w:t>.</w:t>
      </w:r>
      <w:r w:rsidR="009C319B">
        <w:rPr>
          <w:b/>
          <w:noProof/>
        </w:rPr>
        <w:t>15</w:t>
      </w:r>
      <w:r w:rsidR="00336E6F" w:rsidRPr="00997818">
        <w:rPr>
          <w:bCs/>
        </w:rPr>
        <w:fldChar w:fldCharType="end"/>
      </w:r>
      <w:r w:rsidR="00040F79" w:rsidRPr="00997818">
        <w:rPr>
          <w:bCs/>
        </w:rPr>
        <w:t>.</w:t>
      </w:r>
    </w:p>
    <w:p w14:paraId="73117C00" w14:textId="0F8C911A" w:rsidR="009B4910" w:rsidRDefault="009B4910" w:rsidP="00E92750">
      <w:pPr>
        <w:spacing w:before="240" w:line="240" w:lineRule="auto"/>
        <w:jc w:val="both"/>
        <w:rPr>
          <w:bCs/>
        </w:rPr>
      </w:pPr>
    </w:p>
    <w:p w14:paraId="1EA75715" w14:textId="77777777" w:rsidR="009B4910" w:rsidRPr="00997818" w:rsidRDefault="009B4910" w:rsidP="00E92750">
      <w:pPr>
        <w:spacing w:before="240" w:line="240" w:lineRule="auto"/>
        <w:jc w:val="both"/>
      </w:pPr>
    </w:p>
    <w:p w14:paraId="457A2AB0" w14:textId="79DDC66B" w:rsidR="005D233A" w:rsidRPr="00997818" w:rsidRDefault="005D233A" w:rsidP="00E92750">
      <w:pPr>
        <w:spacing w:after="0" w:line="240" w:lineRule="auto"/>
        <w:jc w:val="both"/>
      </w:pPr>
      <w:bookmarkStart w:id="83" w:name="_Ref465085687"/>
      <w:bookmarkStart w:id="84" w:name="_Toc468277500"/>
      <w:r w:rsidRPr="00997818">
        <w:rPr>
          <w:b/>
          <w:bCs/>
        </w:rPr>
        <w:lastRenderedPageBreak/>
        <w:t xml:space="preserve">Tablica </w:t>
      </w:r>
      <w:r w:rsidR="000B3499" w:rsidRPr="00997818">
        <w:rPr>
          <w:b/>
          <w:bCs/>
        </w:rPr>
        <w:fldChar w:fldCharType="begin"/>
      </w:r>
      <w:r w:rsidR="000B3499" w:rsidRPr="00997818">
        <w:rPr>
          <w:b/>
          <w:bCs/>
        </w:rPr>
        <w:instrText xml:space="preserve"> STYLEREF 1 \s </w:instrText>
      </w:r>
      <w:r w:rsidR="000B3499" w:rsidRPr="00997818">
        <w:rPr>
          <w:b/>
          <w:bCs/>
        </w:rPr>
        <w:fldChar w:fldCharType="separate"/>
      </w:r>
      <w:r w:rsidR="009C319B">
        <w:rPr>
          <w:b/>
          <w:bCs/>
          <w:noProof/>
        </w:rPr>
        <w:t>4</w:t>
      </w:r>
      <w:r w:rsidR="000B3499" w:rsidRPr="00997818">
        <w:rPr>
          <w:b/>
          <w:bCs/>
        </w:rPr>
        <w:fldChar w:fldCharType="end"/>
      </w:r>
      <w:r w:rsidR="000B3499" w:rsidRPr="00997818">
        <w:rPr>
          <w:b/>
          <w:bCs/>
        </w:rPr>
        <w:t>.</w:t>
      </w:r>
      <w:r w:rsidR="000B3499" w:rsidRPr="00997818">
        <w:rPr>
          <w:b/>
          <w:bCs/>
        </w:rPr>
        <w:fldChar w:fldCharType="begin"/>
      </w:r>
      <w:r w:rsidR="000B3499" w:rsidRPr="00997818">
        <w:rPr>
          <w:b/>
          <w:bCs/>
        </w:rPr>
        <w:instrText xml:space="preserve"> SEQ Tablica \* ARABIC \s 1 </w:instrText>
      </w:r>
      <w:r w:rsidR="000B3499" w:rsidRPr="00997818">
        <w:rPr>
          <w:b/>
          <w:bCs/>
        </w:rPr>
        <w:fldChar w:fldCharType="separate"/>
      </w:r>
      <w:r w:rsidR="009C319B">
        <w:rPr>
          <w:b/>
          <w:bCs/>
          <w:noProof/>
        </w:rPr>
        <w:t>8</w:t>
      </w:r>
      <w:r w:rsidR="000B3499" w:rsidRPr="00997818">
        <w:rPr>
          <w:b/>
          <w:bCs/>
        </w:rPr>
        <w:fldChar w:fldCharType="end"/>
      </w:r>
      <w:bookmarkEnd w:id="82"/>
      <w:bookmarkEnd w:id="83"/>
      <w:r w:rsidRPr="00997818">
        <w:rPr>
          <w:b/>
          <w:bCs/>
        </w:rPr>
        <w:t xml:space="preserve"> </w:t>
      </w:r>
      <w:r w:rsidRPr="00997818">
        <w:rPr>
          <w:bCs/>
        </w:rPr>
        <w:t>Potrošnja električne energije za ne-toplinske namjene u zgrada</w:t>
      </w:r>
      <w:r w:rsidR="00336E6F" w:rsidRPr="00997818">
        <w:rPr>
          <w:bCs/>
        </w:rPr>
        <w:t>ma</w:t>
      </w:r>
      <w:r w:rsidRPr="00997818">
        <w:rPr>
          <w:bCs/>
        </w:rPr>
        <w:t xml:space="preserve"> u vlasništvu Grada Zagreba</w:t>
      </w:r>
      <w:r w:rsidR="00336E6F" w:rsidRPr="00997818">
        <w:rPr>
          <w:bCs/>
        </w:rPr>
        <w:t xml:space="preserve"> </w:t>
      </w:r>
      <w:r w:rsidR="00610474" w:rsidRPr="00997818">
        <w:rPr>
          <w:bCs/>
        </w:rPr>
        <w:t>u 2015. godini</w:t>
      </w:r>
      <w:bookmarkEnd w:id="84"/>
    </w:p>
    <w:tbl>
      <w:tblPr>
        <w:tblW w:w="5095" w:type="pct"/>
        <w:tblLook w:val="04A0" w:firstRow="1" w:lastRow="0" w:firstColumn="1" w:lastColumn="0" w:noHBand="0" w:noVBand="1"/>
      </w:tblPr>
      <w:tblGrid>
        <w:gridCol w:w="4546"/>
        <w:gridCol w:w="2117"/>
        <w:gridCol w:w="2571"/>
      </w:tblGrid>
      <w:tr w:rsidR="00E40A03" w:rsidRPr="00FD3E38" w14:paraId="7D3A271D" w14:textId="77777777" w:rsidTr="00E40A03">
        <w:trPr>
          <w:trHeight w:val="71"/>
        </w:trPr>
        <w:tc>
          <w:tcPr>
            <w:tcW w:w="2402" w:type="pct"/>
            <w:tcBorders>
              <w:top w:val="single" w:sz="4" w:space="0" w:color="auto"/>
              <w:left w:val="single" w:sz="4" w:space="0" w:color="auto"/>
              <w:bottom w:val="single" w:sz="4" w:space="0" w:color="auto"/>
              <w:right w:val="single" w:sz="4" w:space="0" w:color="auto"/>
            </w:tcBorders>
            <w:shd w:val="clear" w:color="000000" w:fill="D9D9D9"/>
            <w:noWrap/>
            <w:hideMark/>
          </w:tcPr>
          <w:p w14:paraId="3E32072B" w14:textId="77777777" w:rsidR="00FD3E38" w:rsidRPr="00FD3E38" w:rsidRDefault="00FD3E38" w:rsidP="00FD3E38">
            <w:pPr>
              <w:spacing w:after="0" w:line="240" w:lineRule="auto"/>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KATEGORIJA</w:t>
            </w:r>
          </w:p>
        </w:tc>
        <w:tc>
          <w:tcPr>
            <w:tcW w:w="1176" w:type="pct"/>
            <w:tcBorders>
              <w:top w:val="single" w:sz="4" w:space="0" w:color="auto"/>
              <w:left w:val="nil"/>
              <w:bottom w:val="single" w:sz="4" w:space="0" w:color="auto"/>
              <w:right w:val="single" w:sz="4" w:space="0" w:color="auto"/>
            </w:tcBorders>
            <w:shd w:val="clear" w:color="000000" w:fill="D9D9D9"/>
            <w:hideMark/>
          </w:tcPr>
          <w:p w14:paraId="2049D81C" w14:textId="77777777" w:rsidR="00FD3E38" w:rsidRPr="00FD3E38" w:rsidRDefault="00FD3E38"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Potrošnja električne energije (kWh)</w:t>
            </w:r>
          </w:p>
        </w:tc>
        <w:tc>
          <w:tcPr>
            <w:tcW w:w="1423" w:type="pct"/>
            <w:tcBorders>
              <w:top w:val="single" w:sz="4" w:space="0" w:color="auto"/>
              <w:left w:val="nil"/>
              <w:bottom w:val="single" w:sz="4" w:space="0" w:color="auto"/>
              <w:right w:val="single" w:sz="4" w:space="0" w:color="auto"/>
            </w:tcBorders>
            <w:shd w:val="clear" w:color="000000" w:fill="D9D9D9"/>
            <w:hideMark/>
          </w:tcPr>
          <w:p w14:paraId="4BF47BB2" w14:textId="77777777" w:rsidR="00FD3E38" w:rsidRPr="00FD3E38" w:rsidRDefault="00FD3E38"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Specifična potrošnja električne energije (kWh/m</w:t>
            </w:r>
            <w:r w:rsidRPr="00FD3E38">
              <w:rPr>
                <w:rFonts w:ascii="Calibri" w:eastAsia="Times New Roman" w:hAnsi="Calibri" w:cs="Calibri"/>
                <w:b/>
                <w:bCs/>
                <w:sz w:val="20"/>
                <w:szCs w:val="20"/>
                <w:vertAlign w:val="superscript"/>
                <w:lang w:eastAsia="hr-HR"/>
              </w:rPr>
              <w:t>2</w:t>
            </w:r>
            <w:r w:rsidRPr="00FD3E38">
              <w:rPr>
                <w:rFonts w:ascii="Calibri" w:eastAsia="Times New Roman" w:hAnsi="Calibri" w:cs="Calibri"/>
                <w:b/>
                <w:bCs/>
                <w:sz w:val="20"/>
                <w:szCs w:val="20"/>
                <w:lang w:eastAsia="hr-HR"/>
              </w:rPr>
              <w:t>)</w:t>
            </w:r>
          </w:p>
        </w:tc>
      </w:tr>
      <w:tr w:rsidR="00E40A03" w:rsidRPr="00FD3E38" w14:paraId="34EC30F3" w14:textId="77777777" w:rsidTr="00E40A03">
        <w:trPr>
          <w:trHeight w:val="255"/>
        </w:trPr>
        <w:tc>
          <w:tcPr>
            <w:tcW w:w="2402" w:type="pct"/>
            <w:tcBorders>
              <w:top w:val="nil"/>
              <w:left w:val="single" w:sz="4" w:space="0" w:color="auto"/>
              <w:bottom w:val="single" w:sz="4" w:space="0" w:color="auto"/>
              <w:right w:val="single" w:sz="4" w:space="0" w:color="auto"/>
            </w:tcBorders>
            <w:shd w:val="clear" w:color="000000" w:fill="D9D9D9"/>
            <w:noWrap/>
            <w:hideMark/>
          </w:tcPr>
          <w:p w14:paraId="3AFB805E" w14:textId="75E1B334" w:rsidR="00FD3E38" w:rsidRPr="00FD3E38" w:rsidRDefault="00FE28F0" w:rsidP="00FD3E38">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Obrazovne ustanove</w:t>
            </w:r>
          </w:p>
        </w:tc>
        <w:tc>
          <w:tcPr>
            <w:tcW w:w="1176" w:type="pct"/>
            <w:tcBorders>
              <w:top w:val="nil"/>
              <w:left w:val="nil"/>
              <w:bottom w:val="single" w:sz="4" w:space="0" w:color="auto"/>
              <w:right w:val="single" w:sz="4" w:space="0" w:color="auto"/>
            </w:tcBorders>
            <w:shd w:val="clear" w:color="auto" w:fill="auto"/>
            <w:noWrap/>
            <w:hideMark/>
          </w:tcPr>
          <w:p w14:paraId="5D78614D" w14:textId="3AAD260C" w:rsidR="00FD3E38" w:rsidRPr="00FD3E38" w:rsidRDefault="009B4910"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25 517 </w:t>
            </w:r>
            <w:r w:rsidR="00FD3E38" w:rsidRPr="00FD3E38">
              <w:rPr>
                <w:rFonts w:ascii="Calibri" w:eastAsia="Times New Roman" w:hAnsi="Calibri" w:cs="Calibri"/>
                <w:sz w:val="20"/>
                <w:szCs w:val="20"/>
                <w:lang w:eastAsia="hr-HR"/>
              </w:rPr>
              <w:t>826,86</w:t>
            </w:r>
          </w:p>
        </w:tc>
        <w:tc>
          <w:tcPr>
            <w:tcW w:w="1423" w:type="pct"/>
            <w:tcBorders>
              <w:top w:val="nil"/>
              <w:left w:val="nil"/>
              <w:bottom w:val="single" w:sz="4" w:space="0" w:color="auto"/>
              <w:right w:val="single" w:sz="4" w:space="0" w:color="auto"/>
            </w:tcBorders>
            <w:shd w:val="clear" w:color="auto" w:fill="auto"/>
            <w:noWrap/>
            <w:hideMark/>
          </w:tcPr>
          <w:p w14:paraId="6E39A7ED" w14:textId="77777777" w:rsidR="00FD3E38" w:rsidRPr="003A1FA6" w:rsidRDefault="00FD3E38" w:rsidP="00FD3E38">
            <w:pPr>
              <w:spacing w:after="0" w:line="240" w:lineRule="auto"/>
              <w:jc w:val="center"/>
              <w:rPr>
                <w:rFonts w:ascii="Calibri" w:eastAsia="Times New Roman" w:hAnsi="Calibri" w:cs="Calibri"/>
                <w:bCs/>
                <w:sz w:val="20"/>
                <w:szCs w:val="20"/>
                <w:lang w:eastAsia="hr-HR"/>
              </w:rPr>
            </w:pPr>
            <w:r w:rsidRPr="003A1FA6">
              <w:rPr>
                <w:rFonts w:ascii="Calibri" w:eastAsia="Times New Roman" w:hAnsi="Calibri" w:cs="Calibri"/>
                <w:bCs/>
                <w:sz w:val="20"/>
                <w:szCs w:val="20"/>
                <w:lang w:eastAsia="hr-HR"/>
              </w:rPr>
              <w:t>29,42</w:t>
            </w:r>
          </w:p>
        </w:tc>
      </w:tr>
      <w:tr w:rsidR="00E40A03" w:rsidRPr="00FD3E38" w14:paraId="396DB9E2" w14:textId="77777777" w:rsidTr="00E40A03">
        <w:trPr>
          <w:trHeight w:val="255"/>
        </w:trPr>
        <w:tc>
          <w:tcPr>
            <w:tcW w:w="2402" w:type="pct"/>
            <w:tcBorders>
              <w:top w:val="nil"/>
              <w:left w:val="single" w:sz="4" w:space="0" w:color="auto"/>
              <w:bottom w:val="single" w:sz="4" w:space="0" w:color="auto"/>
              <w:right w:val="single" w:sz="4" w:space="0" w:color="auto"/>
            </w:tcBorders>
            <w:shd w:val="clear" w:color="000000" w:fill="D9D9D9"/>
            <w:noWrap/>
            <w:hideMark/>
          </w:tcPr>
          <w:p w14:paraId="641EABDF" w14:textId="098789FE" w:rsidR="00FD3E38" w:rsidRPr="00FD3E38" w:rsidRDefault="00E6108C" w:rsidP="00FD3E38">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Zdravstvene ustanove i ustanove socijalne zaštite</w:t>
            </w:r>
          </w:p>
        </w:tc>
        <w:tc>
          <w:tcPr>
            <w:tcW w:w="1176" w:type="pct"/>
            <w:tcBorders>
              <w:top w:val="nil"/>
              <w:left w:val="nil"/>
              <w:bottom w:val="single" w:sz="4" w:space="0" w:color="auto"/>
              <w:right w:val="single" w:sz="4" w:space="0" w:color="auto"/>
            </w:tcBorders>
            <w:shd w:val="clear" w:color="auto" w:fill="auto"/>
            <w:noWrap/>
            <w:hideMark/>
          </w:tcPr>
          <w:p w14:paraId="07B482CD" w14:textId="5EFAE2AF" w:rsidR="00FD3E38" w:rsidRPr="00FD3E38" w:rsidRDefault="009B4910"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20 508 </w:t>
            </w:r>
            <w:r w:rsidR="00FD3E38" w:rsidRPr="00FD3E38">
              <w:rPr>
                <w:rFonts w:ascii="Calibri" w:eastAsia="Times New Roman" w:hAnsi="Calibri" w:cs="Calibri"/>
                <w:sz w:val="20"/>
                <w:szCs w:val="20"/>
                <w:lang w:eastAsia="hr-HR"/>
              </w:rPr>
              <w:t>496,90</w:t>
            </w:r>
          </w:p>
        </w:tc>
        <w:tc>
          <w:tcPr>
            <w:tcW w:w="1423" w:type="pct"/>
            <w:tcBorders>
              <w:top w:val="nil"/>
              <w:left w:val="nil"/>
              <w:bottom w:val="single" w:sz="4" w:space="0" w:color="auto"/>
              <w:right w:val="single" w:sz="4" w:space="0" w:color="auto"/>
            </w:tcBorders>
            <w:shd w:val="clear" w:color="auto" w:fill="auto"/>
            <w:noWrap/>
            <w:hideMark/>
          </w:tcPr>
          <w:p w14:paraId="330A9E75" w14:textId="77777777" w:rsidR="00FD3E38" w:rsidRPr="003A1FA6" w:rsidRDefault="00FD3E38" w:rsidP="00FD3E38">
            <w:pPr>
              <w:spacing w:after="0" w:line="240" w:lineRule="auto"/>
              <w:jc w:val="center"/>
              <w:rPr>
                <w:rFonts w:ascii="Calibri" w:eastAsia="Times New Roman" w:hAnsi="Calibri" w:cs="Calibri"/>
                <w:bCs/>
                <w:sz w:val="20"/>
                <w:szCs w:val="20"/>
                <w:lang w:eastAsia="hr-HR"/>
              </w:rPr>
            </w:pPr>
            <w:r w:rsidRPr="003A1FA6">
              <w:rPr>
                <w:rFonts w:ascii="Calibri" w:eastAsia="Times New Roman" w:hAnsi="Calibri" w:cs="Calibri"/>
                <w:bCs/>
                <w:sz w:val="20"/>
                <w:szCs w:val="20"/>
                <w:lang w:eastAsia="hr-HR"/>
              </w:rPr>
              <w:t>68,87</w:t>
            </w:r>
          </w:p>
        </w:tc>
      </w:tr>
      <w:tr w:rsidR="00E40A03" w:rsidRPr="00FD3E38" w14:paraId="264DE854" w14:textId="77777777" w:rsidTr="00E40A03">
        <w:trPr>
          <w:trHeight w:val="255"/>
        </w:trPr>
        <w:tc>
          <w:tcPr>
            <w:tcW w:w="2402" w:type="pct"/>
            <w:tcBorders>
              <w:top w:val="nil"/>
              <w:left w:val="single" w:sz="4" w:space="0" w:color="auto"/>
              <w:bottom w:val="single" w:sz="4" w:space="0" w:color="auto"/>
              <w:right w:val="single" w:sz="4" w:space="0" w:color="auto"/>
            </w:tcBorders>
            <w:shd w:val="clear" w:color="000000" w:fill="D9D9D9"/>
            <w:noWrap/>
            <w:hideMark/>
          </w:tcPr>
          <w:p w14:paraId="4180E29A" w14:textId="77777777" w:rsidR="00FD3E38" w:rsidRPr="00FD3E38" w:rsidRDefault="00FD3E38"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Kultura</w:t>
            </w:r>
          </w:p>
        </w:tc>
        <w:tc>
          <w:tcPr>
            <w:tcW w:w="1176" w:type="pct"/>
            <w:tcBorders>
              <w:top w:val="nil"/>
              <w:left w:val="nil"/>
              <w:bottom w:val="single" w:sz="4" w:space="0" w:color="auto"/>
              <w:right w:val="single" w:sz="4" w:space="0" w:color="auto"/>
            </w:tcBorders>
            <w:shd w:val="clear" w:color="auto" w:fill="auto"/>
            <w:noWrap/>
            <w:hideMark/>
          </w:tcPr>
          <w:p w14:paraId="0881FD13" w14:textId="5DBA5F3F" w:rsidR="00FD3E38" w:rsidRPr="00FD3E38" w:rsidRDefault="009B4910"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9 146 </w:t>
            </w:r>
            <w:r w:rsidR="00FD3E38" w:rsidRPr="00FD3E38">
              <w:rPr>
                <w:rFonts w:ascii="Calibri" w:eastAsia="Times New Roman" w:hAnsi="Calibri" w:cs="Calibri"/>
                <w:sz w:val="20"/>
                <w:szCs w:val="20"/>
                <w:lang w:eastAsia="hr-HR"/>
              </w:rPr>
              <w:t>408,17</w:t>
            </w:r>
          </w:p>
        </w:tc>
        <w:tc>
          <w:tcPr>
            <w:tcW w:w="1423" w:type="pct"/>
            <w:tcBorders>
              <w:top w:val="nil"/>
              <w:left w:val="nil"/>
              <w:bottom w:val="single" w:sz="4" w:space="0" w:color="auto"/>
              <w:right w:val="single" w:sz="4" w:space="0" w:color="auto"/>
            </w:tcBorders>
            <w:shd w:val="clear" w:color="auto" w:fill="auto"/>
            <w:noWrap/>
            <w:hideMark/>
          </w:tcPr>
          <w:p w14:paraId="7DD66E2E" w14:textId="77777777" w:rsidR="00FD3E38" w:rsidRPr="003A1FA6" w:rsidRDefault="00FD3E38" w:rsidP="00FD3E38">
            <w:pPr>
              <w:spacing w:after="0" w:line="240" w:lineRule="auto"/>
              <w:jc w:val="center"/>
              <w:rPr>
                <w:rFonts w:ascii="Calibri" w:eastAsia="Times New Roman" w:hAnsi="Calibri" w:cs="Calibri"/>
                <w:bCs/>
                <w:sz w:val="20"/>
                <w:szCs w:val="20"/>
                <w:lang w:eastAsia="hr-HR"/>
              </w:rPr>
            </w:pPr>
            <w:r w:rsidRPr="003A1FA6">
              <w:rPr>
                <w:rFonts w:ascii="Calibri" w:eastAsia="Times New Roman" w:hAnsi="Calibri" w:cs="Calibri"/>
                <w:bCs/>
                <w:sz w:val="20"/>
                <w:szCs w:val="20"/>
                <w:lang w:eastAsia="hr-HR"/>
              </w:rPr>
              <w:t>81,93</w:t>
            </w:r>
          </w:p>
        </w:tc>
      </w:tr>
      <w:tr w:rsidR="00E40A03" w:rsidRPr="00FD3E38" w14:paraId="24476532" w14:textId="77777777" w:rsidTr="00E40A03">
        <w:trPr>
          <w:trHeight w:val="255"/>
        </w:trPr>
        <w:tc>
          <w:tcPr>
            <w:tcW w:w="2402" w:type="pct"/>
            <w:tcBorders>
              <w:top w:val="nil"/>
              <w:left w:val="single" w:sz="4" w:space="0" w:color="auto"/>
              <w:bottom w:val="single" w:sz="4" w:space="0" w:color="auto"/>
              <w:right w:val="single" w:sz="4" w:space="0" w:color="auto"/>
            </w:tcBorders>
            <w:shd w:val="clear" w:color="000000" w:fill="D9D9D9"/>
            <w:noWrap/>
            <w:hideMark/>
          </w:tcPr>
          <w:p w14:paraId="15D69DAF" w14:textId="77777777" w:rsidR="00FD3E38" w:rsidRPr="00FD3E38" w:rsidRDefault="00FD3E38"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Uprava</w:t>
            </w:r>
          </w:p>
        </w:tc>
        <w:tc>
          <w:tcPr>
            <w:tcW w:w="1176" w:type="pct"/>
            <w:tcBorders>
              <w:top w:val="nil"/>
              <w:left w:val="nil"/>
              <w:bottom w:val="single" w:sz="4" w:space="0" w:color="auto"/>
              <w:right w:val="single" w:sz="4" w:space="0" w:color="auto"/>
            </w:tcBorders>
            <w:shd w:val="clear" w:color="auto" w:fill="auto"/>
            <w:noWrap/>
            <w:hideMark/>
          </w:tcPr>
          <w:p w14:paraId="656BFAC5" w14:textId="687E80D0" w:rsidR="00FD3E38" w:rsidRPr="00FD3E38" w:rsidRDefault="009B4910" w:rsidP="00FD3E38">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4 858 </w:t>
            </w:r>
            <w:r w:rsidR="00FD3E38" w:rsidRPr="00FD3E38">
              <w:rPr>
                <w:rFonts w:ascii="Calibri" w:eastAsia="Times New Roman" w:hAnsi="Calibri" w:cs="Calibri"/>
                <w:sz w:val="20"/>
                <w:szCs w:val="20"/>
                <w:lang w:eastAsia="hr-HR"/>
              </w:rPr>
              <w:t>716,15</w:t>
            </w:r>
          </w:p>
        </w:tc>
        <w:tc>
          <w:tcPr>
            <w:tcW w:w="1423" w:type="pct"/>
            <w:tcBorders>
              <w:top w:val="nil"/>
              <w:left w:val="nil"/>
              <w:bottom w:val="single" w:sz="4" w:space="0" w:color="auto"/>
              <w:right w:val="single" w:sz="4" w:space="0" w:color="auto"/>
            </w:tcBorders>
            <w:shd w:val="clear" w:color="auto" w:fill="auto"/>
            <w:noWrap/>
            <w:hideMark/>
          </w:tcPr>
          <w:p w14:paraId="7A803A3E" w14:textId="77777777" w:rsidR="00FD3E38" w:rsidRPr="003A1FA6" w:rsidRDefault="00FD3E38" w:rsidP="00FD3E38">
            <w:pPr>
              <w:spacing w:after="0" w:line="240" w:lineRule="auto"/>
              <w:jc w:val="center"/>
              <w:rPr>
                <w:rFonts w:ascii="Calibri" w:eastAsia="Times New Roman" w:hAnsi="Calibri" w:cs="Calibri"/>
                <w:bCs/>
                <w:sz w:val="20"/>
                <w:szCs w:val="20"/>
                <w:lang w:eastAsia="hr-HR"/>
              </w:rPr>
            </w:pPr>
            <w:r w:rsidRPr="003A1FA6">
              <w:rPr>
                <w:rFonts w:ascii="Calibri" w:eastAsia="Times New Roman" w:hAnsi="Calibri" w:cs="Calibri"/>
                <w:bCs/>
                <w:sz w:val="20"/>
                <w:szCs w:val="20"/>
                <w:lang w:eastAsia="hr-HR"/>
              </w:rPr>
              <w:t>38,48</w:t>
            </w:r>
          </w:p>
        </w:tc>
      </w:tr>
      <w:tr w:rsidR="00E40A03" w:rsidRPr="00FD3E38" w14:paraId="4624E952" w14:textId="77777777" w:rsidTr="00E40A03">
        <w:trPr>
          <w:trHeight w:val="255"/>
        </w:trPr>
        <w:tc>
          <w:tcPr>
            <w:tcW w:w="2402" w:type="pct"/>
            <w:tcBorders>
              <w:top w:val="nil"/>
              <w:left w:val="single" w:sz="4" w:space="0" w:color="auto"/>
              <w:bottom w:val="single" w:sz="4" w:space="0" w:color="auto"/>
              <w:right w:val="single" w:sz="4" w:space="0" w:color="auto"/>
            </w:tcBorders>
            <w:shd w:val="clear" w:color="000000" w:fill="D9D9D9"/>
            <w:noWrap/>
            <w:hideMark/>
          </w:tcPr>
          <w:p w14:paraId="6201EEA0" w14:textId="77777777" w:rsidR="00FD3E38" w:rsidRPr="00FD3E38" w:rsidRDefault="00FD3E38"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Sport</w:t>
            </w:r>
          </w:p>
        </w:tc>
        <w:tc>
          <w:tcPr>
            <w:tcW w:w="1176" w:type="pct"/>
            <w:tcBorders>
              <w:top w:val="nil"/>
              <w:left w:val="nil"/>
              <w:bottom w:val="single" w:sz="4" w:space="0" w:color="auto"/>
              <w:right w:val="single" w:sz="4" w:space="0" w:color="auto"/>
            </w:tcBorders>
            <w:shd w:val="clear" w:color="auto" w:fill="auto"/>
            <w:noWrap/>
            <w:hideMark/>
          </w:tcPr>
          <w:p w14:paraId="7F2C6A8E" w14:textId="1A81081D" w:rsidR="00FD3E38" w:rsidRPr="003A1FA6" w:rsidRDefault="009B4910" w:rsidP="00FD3E38">
            <w:pPr>
              <w:spacing w:after="0" w:line="240" w:lineRule="auto"/>
              <w:jc w:val="center"/>
              <w:rPr>
                <w:rFonts w:ascii="Calibri" w:eastAsia="Times New Roman" w:hAnsi="Calibri" w:cs="Calibri"/>
                <w:bCs/>
                <w:sz w:val="20"/>
                <w:szCs w:val="20"/>
                <w:lang w:eastAsia="hr-HR"/>
              </w:rPr>
            </w:pPr>
            <w:r w:rsidRPr="003A1FA6">
              <w:rPr>
                <w:rFonts w:ascii="Calibri" w:eastAsia="Times New Roman" w:hAnsi="Calibri" w:cs="Calibri"/>
                <w:bCs/>
                <w:sz w:val="20"/>
                <w:szCs w:val="20"/>
                <w:lang w:eastAsia="hr-HR"/>
              </w:rPr>
              <w:t xml:space="preserve">7 650 </w:t>
            </w:r>
            <w:r w:rsidR="00FD3E38" w:rsidRPr="003A1FA6">
              <w:rPr>
                <w:rFonts w:ascii="Calibri" w:eastAsia="Times New Roman" w:hAnsi="Calibri" w:cs="Calibri"/>
                <w:bCs/>
                <w:sz w:val="20"/>
                <w:szCs w:val="20"/>
                <w:lang w:eastAsia="hr-HR"/>
              </w:rPr>
              <w:t>842,00</w:t>
            </w:r>
          </w:p>
        </w:tc>
        <w:tc>
          <w:tcPr>
            <w:tcW w:w="1423" w:type="pct"/>
            <w:tcBorders>
              <w:top w:val="nil"/>
              <w:left w:val="nil"/>
              <w:bottom w:val="single" w:sz="4" w:space="0" w:color="auto"/>
              <w:right w:val="single" w:sz="4" w:space="0" w:color="auto"/>
            </w:tcBorders>
            <w:shd w:val="clear" w:color="auto" w:fill="auto"/>
            <w:noWrap/>
            <w:hideMark/>
          </w:tcPr>
          <w:p w14:paraId="6600C225" w14:textId="77777777" w:rsidR="00FD3E38" w:rsidRPr="003A1FA6" w:rsidRDefault="00FD3E38" w:rsidP="00FD3E38">
            <w:pPr>
              <w:spacing w:after="0" w:line="240" w:lineRule="auto"/>
              <w:jc w:val="center"/>
              <w:rPr>
                <w:rFonts w:ascii="Calibri" w:eastAsia="Times New Roman" w:hAnsi="Calibri" w:cs="Calibri"/>
                <w:bCs/>
                <w:sz w:val="20"/>
                <w:szCs w:val="20"/>
                <w:lang w:eastAsia="hr-HR"/>
              </w:rPr>
            </w:pPr>
            <w:r w:rsidRPr="003A1FA6">
              <w:rPr>
                <w:rFonts w:ascii="Calibri" w:eastAsia="Times New Roman" w:hAnsi="Calibri" w:cs="Calibri"/>
                <w:bCs/>
                <w:sz w:val="20"/>
                <w:szCs w:val="20"/>
                <w:lang w:eastAsia="hr-HR"/>
              </w:rPr>
              <w:t>90,79</w:t>
            </w:r>
          </w:p>
        </w:tc>
      </w:tr>
      <w:tr w:rsidR="00E40A03" w:rsidRPr="00FD3E38" w14:paraId="7F754BEC" w14:textId="77777777" w:rsidTr="00E40A03">
        <w:trPr>
          <w:trHeight w:val="255"/>
        </w:trPr>
        <w:tc>
          <w:tcPr>
            <w:tcW w:w="2402" w:type="pct"/>
            <w:tcBorders>
              <w:top w:val="nil"/>
              <w:left w:val="single" w:sz="4" w:space="0" w:color="auto"/>
              <w:bottom w:val="single" w:sz="4" w:space="0" w:color="auto"/>
              <w:right w:val="single" w:sz="4" w:space="0" w:color="auto"/>
            </w:tcBorders>
            <w:shd w:val="clear" w:color="000000" w:fill="D9D9D9"/>
            <w:noWrap/>
            <w:hideMark/>
          </w:tcPr>
          <w:p w14:paraId="1117CD80" w14:textId="77777777" w:rsidR="00FD3E38" w:rsidRPr="00FD3E38" w:rsidRDefault="00FD3E38"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Ostalo</w:t>
            </w:r>
          </w:p>
        </w:tc>
        <w:tc>
          <w:tcPr>
            <w:tcW w:w="1176" w:type="pct"/>
            <w:tcBorders>
              <w:top w:val="nil"/>
              <w:left w:val="nil"/>
              <w:bottom w:val="single" w:sz="4" w:space="0" w:color="auto"/>
              <w:right w:val="single" w:sz="4" w:space="0" w:color="auto"/>
            </w:tcBorders>
            <w:shd w:val="clear" w:color="auto" w:fill="auto"/>
            <w:noWrap/>
            <w:hideMark/>
          </w:tcPr>
          <w:p w14:paraId="593371C1" w14:textId="04F7951F" w:rsidR="00FD3E38" w:rsidRPr="003A1FA6" w:rsidRDefault="009B4910" w:rsidP="00FD3E38">
            <w:pPr>
              <w:spacing w:after="0" w:line="240" w:lineRule="auto"/>
              <w:jc w:val="center"/>
              <w:rPr>
                <w:rFonts w:ascii="Calibri" w:eastAsia="Times New Roman" w:hAnsi="Calibri" w:cs="Calibri"/>
                <w:bCs/>
                <w:sz w:val="20"/>
                <w:szCs w:val="20"/>
                <w:lang w:eastAsia="hr-HR"/>
              </w:rPr>
            </w:pPr>
            <w:r w:rsidRPr="003A1FA6">
              <w:rPr>
                <w:rFonts w:ascii="Calibri" w:eastAsia="Times New Roman" w:hAnsi="Calibri" w:cs="Calibri"/>
                <w:bCs/>
                <w:sz w:val="20"/>
                <w:szCs w:val="20"/>
                <w:lang w:eastAsia="hr-HR"/>
              </w:rPr>
              <w:t xml:space="preserve">1 166 </w:t>
            </w:r>
            <w:r w:rsidR="00FD3E38" w:rsidRPr="003A1FA6">
              <w:rPr>
                <w:rFonts w:ascii="Calibri" w:eastAsia="Times New Roman" w:hAnsi="Calibri" w:cs="Calibri"/>
                <w:bCs/>
                <w:sz w:val="20"/>
                <w:szCs w:val="20"/>
                <w:lang w:eastAsia="hr-HR"/>
              </w:rPr>
              <w:t>075,62</w:t>
            </w:r>
          </w:p>
        </w:tc>
        <w:tc>
          <w:tcPr>
            <w:tcW w:w="1423" w:type="pct"/>
            <w:tcBorders>
              <w:top w:val="nil"/>
              <w:left w:val="nil"/>
              <w:bottom w:val="single" w:sz="4" w:space="0" w:color="auto"/>
              <w:right w:val="single" w:sz="4" w:space="0" w:color="auto"/>
            </w:tcBorders>
            <w:shd w:val="clear" w:color="auto" w:fill="auto"/>
            <w:noWrap/>
            <w:hideMark/>
          </w:tcPr>
          <w:p w14:paraId="259FD32E" w14:textId="77777777" w:rsidR="00FD3E38" w:rsidRPr="003A1FA6" w:rsidRDefault="00FD3E38" w:rsidP="00FD3E38">
            <w:pPr>
              <w:spacing w:after="0" w:line="240" w:lineRule="auto"/>
              <w:jc w:val="center"/>
              <w:rPr>
                <w:rFonts w:ascii="Calibri" w:eastAsia="Times New Roman" w:hAnsi="Calibri" w:cs="Calibri"/>
                <w:bCs/>
                <w:sz w:val="20"/>
                <w:szCs w:val="20"/>
                <w:lang w:eastAsia="hr-HR"/>
              </w:rPr>
            </w:pPr>
            <w:r w:rsidRPr="003A1FA6">
              <w:rPr>
                <w:rFonts w:ascii="Calibri" w:eastAsia="Times New Roman" w:hAnsi="Calibri" w:cs="Calibri"/>
                <w:bCs/>
                <w:sz w:val="20"/>
                <w:szCs w:val="20"/>
                <w:lang w:eastAsia="hr-HR"/>
              </w:rPr>
              <w:t>263,88</w:t>
            </w:r>
          </w:p>
        </w:tc>
      </w:tr>
      <w:tr w:rsidR="00E40A03" w:rsidRPr="00FD3E38" w14:paraId="4048399D" w14:textId="77777777" w:rsidTr="00E40A03">
        <w:trPr>
          <w:trHeight w:val="255"/>
        </w:trPr>
        <w:tc>
          <w:tcPr>
            <w:tcW w:w="2402" w:type="pct"/>
            <w:tcBorders>
              <w:top w:val="nil"/>
              <w:left w:val="single" w:sz="4" w:space="0" w:color="auto"/>
              <w:bottom w:val="single" w:sz="4" w:space="0" w:color="auto"/>
              <w:right w:val="single" w:sz="4" w:space="0" w:color="auto"/>
            </w:tcBorders>
            <w:shd w:val="clear" w:color="000000" w:fill="D9D9D9"/>
            <w:noWrap/>
            <w:hideMark/>
          </w:tcPr>
          <w:p w14:paraId="51EE9020" w14:textId="77777777" w:rsidR="00FD3E38" w:rsidRPr="00FD3E38" w:rsidRDefault="00FD3E38" w:rsidP="00FD3E38">
            <w:pPr>
              <w:spacing w:after="0" w:line="240" w:lineRule="auto"/>
              <w:rPr>
                <w:rFonts w:ascii="Calibri" w:eastAsia="Times New Roman" w:hAnsi="Calibri" w:cs="Calibri"/>
                <w:sz w:val="20"/>
                <w:szCs w:val="20"/>
                <w:lang w:eastAsia="hr-HR"/>
              </w:rPr>
            </w:pPr>
            <w:r w:rsidRPr="00FD3E38">
              <w:rPr>
                <w:rFonts w:ascii="Calibri" w:eastAsia="Times New Roman" w:hAnsi="Calibri" w:cs="Calibri"/>
                <w:sz w:val="20"/>
                <w:szCs w:val="20"/>
                <w:lang w:eastAsia="hr-HR"/>
              </w:rPr>
              <w:t>Poslovni prostori i stanovi u vlasništvu Grada Zagreba</w:t>
            </w:r>
          </w:p>
        </w:tc>
        <w:tc>
          <w:tcPr>
            <w:tcW w:w="1176" w:type="pct"/>
            <w:tcBorders>
              <w:top w:val="nil"/>
              <w:left w:val="nil"/>
              <w:bottom w:val="single" w:sz="4" w:space="0" w:color="auto"/>
              <w:right w:val="single" w:sz="4" w:space="0" w:color="auto"/>
            </w:tcBorders>
            <w:shd w:val="clear" w:color="auto" w:fill="auto"/>
            <w:noWrap/>
            <w:hideMark/>
          </w:tcPr>
          <w:p w14:paraId="481BEAF9" w14:textId="378F82F2" w:rsidR="00FD3E38" w:rsidRPr="003A1FA6" w:rsidRDefault="009B4910" w:rsidP="00FD3E38">
            <w:pPr>
              <w:spacing w:after="0" w:line="240" w:lineRule="auto"/>
              <w:jc w:val="center"/>
              <w:rPr>
                <w:rFonts w:ascii="Calibri" w:eastAsia="Times New Roman" w:hAnsi="Calibri" w:cs="Calibri"/>
                <w:bCs/>
                <w:sz w:val="20"/>
                <w:szCs w:val="20"/>
                <w:lang w:eastAsia="hr-HR"/>
              </w:rPr>
            </w:pPr>
            <w:r w:rsidRPr="003A1FA6">
              <w:rPr>
                <w:rFonts w:ascii="Calibri" w:eastAsia="Times New Roman" w:hAnsi="Calibri" w:cs="Calibri"/>
                <w:bCs/>
                <w:sz w:val="20"/>
                <w:szCs w:val="20"/>
                <w:lang w:eastAsia="hr-HR"/>
              </w:rPr>
              <w:t xml:space="preserve">24 048 </w:t>
            </w:r>
            <w:r w:rsidR="00FD3E38" w:rsidRPr="003A1FA6">
              <w:rPr>
                <w:rFonts w:ascii="Calibri" w:eastAsia="Times New Roman" w:hAnsi="Calibri" w:cs="Calibri"/>
                <w:bCs/>
                <w:sz w:val="20"/>
                <w:szCs w:val="20"/>
                <w:lang w:eastAsia="hr-HR"/>
              </w:rPr>
              <w:t>741,15</w:t>
            </w:r>
          </w:p>
        </w:tc>
        <w:tc>
          <w:tcPr>
            <w:tcW w:w="1423" w:type="pct"/>
            <w:tcBorders>
              <w:top w:val="nil"/>
              <w:left w:val="nil"/>
              <w:bottom w:val="single" w:sz="4" w:space="0" w:color="auto"/>
              <w:right w:val="single" w:sz="4" w:space="0" w:color="auto"/>
            </w:tcBorders>
            <w:shd w:val="clear" w:color="auto" w:fill="auto"/>
            <w:noWrap/>
            <w:hideMark/>
          </w:tcPr>
          <w:p w14:paraId="72123A01" w14:textId="77777777" w:rsidR="00FD3E38" w:rsidRPr="003A1FA6" w:rsidRDefault="00FD3E38" w:rsidP="00FD3E38">
            <w:pPr>
              <w:spacing w:after="0" w:line="240" w:lineRule="auto"/>
              <w:jc w:val="center"/>
              <w:rPr>
                <w:rFonts w:ascii="Calibri" w:eastAsia="Times New Roman" w:hAnsi="Calibri" w:cs="Calibri"/>
                <w:bCs/>
                <w:sz w:val="20"/>
                <w:szCs w:val="20"/>
                <w:lang w:eastAsia="hr-HR"/>
              </w:rPr>
            </w:pPr>
            <w:r w:rsidRPr="003A1FA6">
              <w:rPr>
                <w:rFonts w:ascii="Calibri" w:eastAsia="Times New Roman" w:hAnsi="Calibri" w:cs="Calibri"/>
                <w:bCs/>
                <w:sz w:val="20"/>
                <w:szCs w:val="20"/>
                <w:lang w:eastAsia="hr-HR"/>
              </w:rPr>
              <w:t>45,00</w:t>
            </w:r>
          </w:p>
        </w:tc>
      </w:tr>
      <w:tr w:rsidR="00E40A03" w:rsidRPr="00FD3E38" w14:paraId="7CC4EB71" w14:textId="77777777" w:rsidTr="00E40A03">
        <w:trPr>
          <w:trHeight w:val="255"/>
        </w:trPr>
        <w:tc>
          <w:tcPr>
            <w:tcW w:w="2402" w:type="pct"/>
            <w:tcBorders>
              <w:top w:val="nil"/>
              <w:left w:val="single" w:sz="4" w:space="0" w:color="auto"/>
              <w:bottom w:val="single" w:sz="4" w:space="0" w:color="auto"/>
              <w:right w:val="single" w:sz="4" w:space="0" w:color="auto"/>
            </w:tcBorders>
            <w:shd w:val="clear" w:color="000000" w:fill="D9D9D9"/>
            <w:noWrap/>
            <w:hideMark/>
          </w:tcPr>
          <w:p w14:paraId="2DD7229D" w14:textId="77777777" w:rsidR="00FD3E38" w:rsidRPr="00FD3E38" w:rsidRDefault="00FD3E38" w:rsidP="00FD3E38">
            <w:pPr>
              <w:spacing w:after="0" w:line="240" w:lineRule="auto"/>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UKUPNO</w:t>
            </w:r>
          </w:p>
        </w:tc>
        <w:tc>
          <w:tcPr>
            <w:tcW w:w="1176" w:type="pct"/>
            <w:tcBorders>
              <w:top w:val="nil"/>
              <w:left w:val="nil"/>
              <w:bottom w:val="single" w:sz="4" w:space="0" w:color="auto"/>
              <w:right w:val="single" w:sz="4" w:space="0" w:color="auto"/>
            </w:tcBorders>
            <w:shd w:val="clear" w:color="000000" w:fill="D9D9D9"/>
            <w:noWrap/>
            <w:hideMark/>
          </w:tcPr>
          <w:p w14:paraId="3157AE10" w14:textId="43508C60" w:rsidR="00FD3E38" w:rsidRPr="00FD3E38" w:rsidRDefault="009B4910" w:rsidP="00FD3E38">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 xml:space="preserve">92 897 </w:t>
            </w:r>
            <w:r w:rsidR="00FD3E38" w:rsidRPr="00FD3E38">
              <w:rPr>
                <w:rFonts w:ascii="Calibri" w:eastAsia="Times New Roman" w:hAnsi="Calibri" w:cs="Calibri"/>
                <w:b/>
                <w:bCs/>
                <w:sz w:val="20"/>
                <w:szCs w:val="20"/>
                <w:lang w:eastAsia="hr-HR"/>
              </w:rPr>
              <w:t>106,85</w:t>
            </w:r>
          </w:p>
        </w:tc>
        <w:tc>
          <w:tcPr>
            <w:tcW w:w="1423" w:type="pct"/>
            <w:tcBorders>
              <w:top w:val="nil"/>
              <w:left w:val="nil"/>
              <w:bottom w:val="single" w:sz="4" w:space="0" w:color="auto"/>
              <w:right w:val="single" w:sz="4" w:space="0" w:color="auto"/>
            </w:tcBorders>
            <w:shd w:val="clear" w:color="000000" w:fill="D9D9D9"/>
            <w:noWrap/>
            <w:hideMark/>
          </w:tcPr>
          <w:p w14:paraId="0BBD6B2A" w14:textId="77777777" w:rsidR="00FD3E38" w:rsidRPr="00FD3E38" w:rsidRDefault="00FD3E38" w:rsidP="00FD3E38">
            <w:pPr>
              <w:spacing w:after="0" w:line="240" w:lineRule="auto"/>
              <w:jc w:val="center"/>
              <w:rPr>
                <w:rFonts w:ascii="Calibri" w:eastAsia="Times New Roman" w:hAnsi="Calibri" w:cs="Calibri"/>
                <w:b/>
                <w:bCs/>
                <w:sz w:val="20"/>
                <w:szCs w:val="20"/>
                <w:lang w:eastAsia="hr-HR"/>
              </w:rPr>
            </w:pPr>
            <w:r w:rsidRPr="00FD3E38">
              <w:rPr>
                <w:rFonts w:ascii="Calibri" w:eastAsia="Times New Roman" w:hAnsi="Calibri" w:cs="Calibri"/>
                <w:b/>
                <w:bCs/>
                <w:sz w:val="20"/>
                <w:szCs w:val="20"/>
                <w:lang w:eastAsia="hr-HR"/>
              </w:rPr>
              <w:t>45,85</w:t>
            </w:r>
          </w:p>
        </w:tc>
      </w:tr>
    </w:tbl>
    <w:p w14:paraId="6268E057" w14:textId="3F3F722C" w:rsidR="003F51C9" w:rsidRDefault="003F51C9" w:rsidP="00FE28F0">
      <w:pPr>
        <w:spacing w:after="0" w:line="240" w:lineRule="auto"/>
        <w:jc w:val="center"/>
        <w:rPr>
          <w:noProof/>
          <w:lang w:eastAsia="hr-HR"/>
        </w:rPr>
      </w:pPr>
      <w:r>
        <w:rPr>
          <w:noProof/>
          <w:lang w:eastAsia="hr-HR"/>
        </w:rPr>
        <w:drawing>
          <wp:inline distT="0" distB="0" distL="0" distR="0" wp14:anchorId="000BE5B8" wp14:editId="4826C681">
            <wp:extent cx="5296204" cy="3430828"/>
            <wp:effectExtent l="0" t="0" r="0" b="0"/>
            <wp:docPr id="7" name="Chart 7">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89629F" w14:textId="1435CDDD" w:rsidR="00336E6F" w:rsidRPr="00B41600" w:rsidRDefault="00336E6F" w:rsidP="00E92750">
      <w:pPr>
        <w:spacing w:line="240" w:lineRule="auto"/>
        <w:jc w:val="center"/>
        <w:rPr>
          <w:b/>
          <w:bCs/>
        </w:rPr>
      </w:pPr>
      <w:bookmarkStart w:id="85" w:name="_Ref465086099"/>
      <w:bookmarkStart w:id="86" w:name="_Toc468277419"/>
      <w:r w:rsidRPr="00B41600">
        <w:rPr>
          <w:b/>
        </w:rPr>
        <w:t xml:space="preserve">Slika </w:t>
      </w:r>
      <w:r w:rsidRPr="00B41600">
        <w:rPr>
          <w:b/>
        </w:rPr>
        <w:fldChar w:fldCharType="begin"/>
      </w:r>
      <w:r w:rsidRPr="00B41600">
        <w:rPr>
          <w:b/>
        </w:rPr>
        <w:instrText xml:space="preserve"> STYLEREF 1 \s </w:instrText>
      </w:r>
      <w:r w:rsidRPr="00B41600">
        <w:rPr>
          <w:b/>
        </w:rPr>
        <w:fldChar w:fldCharType="separate"/>
      </w:r>
      <w:r w:rsidR="009C319B">
        <w:rPr>
          <w:b/>
          <w:noProof/>
        </w:rPr>
        <w:t>4</w:t>
      </w:r>
      <w:r w:rsidRPr="00B41600">
        <w:rPr>
          <w:b/>
          <w:noProof/>
        </w:rPr>
        <w:fldChar w:fldCharType="end"/>
      </w:r>
      <w:r w:rsidRPr="00B41600">
        <w:rPr>
          <w:b/>
        </w:rPr>
        <w:t>.</w:t>
      </w:r>
      <w:r w:rsidRPr="00B41600">
        <w:rPr>
          <w:b/>
        </w:rPr>
        <w:fldChar w:fldCharType="begin"/>
      </w:r>
      <w:r w:rsidRPr="00B41600">
        <w:rPr>
          <w:b/>
        </w:rPr>
        <w:instrText xml:space="preserve"> SEQ Slika \* ARABIC \s 1 </w:instrText>
      </w:r>
      <w:r w:rsidRPr="00B41600">
        <w:rPr>
          <w:b/>
        </w:rPr>
        <w:fldChar w:fldCharType="separate"/>
      </w:r>
      <w:r w:rsidR="009C319B">
        <w:rPr>
          <w:b/>
          <w:noProof/>
        </w:rPr>
        <w:t>15</w:t>
      </w:r>
      <w:r w:rsidRPr="00B41600">
        <w:rPr>
          <w:b/>
          <w:noProof/>
        </w:rPr>
        <w:fldChar w:fldCharType="end"/>
      </w:r>
      <w:bookmarkEnd w:id="85"/>
      <w:r w:rsidRPr="00B41600">
        <w:rPr>
          <w:b/>
        </w:rPr>
        <w:t xml:space="preserve"> </w:t>
      </w:r>
      <w:r w:rsidRPr="00B41600">
        <w:t xml:space="preserve">Potrošnja električne energije za ne-toplinske namjene u zgradama u vlasništvu Grada Zagreba </w:t>
      </w:r>
      <w:r w:rsidR="00610474" w:rsidRPr="00B41600">
        <w:t xml:space="preserve">u 2015. godini </w:t>
      </w:r>
      <w:r w:rsidRPr="00B41600">
        <w:t>prema podkategorijama</w:t>
      </w:r>
      <w:bookmarkEnd w:id="86"/>
    </w:p>
    <w:p w14:paraId="17EA32D7" w14:textId="788807F7" w:rsidR="001A5C99" w:rsidRDefault="009132C0" w:rsidP="001A5C99">
      <w:pPr>
        <w:spacing w:after="0" w:line="240" w:lineRule="auto"/>
        <w:jc w:val="both"/>
        <w:rPr>
          <w:bCs/>
        </w:rPr>
      </w:pPr>
      <w:r w:rsidRPr="00B41600">
        <w:rPr>
          <w:bCs/>
        </w:rPr>
        <w:t>Gledajući</w:t>
      </w:r>
      <w:r w:rsidR="00F32B78" w:rsidRPr="00B41600">
        <w:rPr>
          <w:bCs/>
        </w:rPr>
        <w:t xml:space="preserve"> udio potrošnje</w:t>
      </w:r>
      <w:r w:rsidRPr="00B41600">
        <w:rPr>
          <w:bCs/>
        </w:rPr>
        <w:t xml:space="preserve"> električne energije za ne-toplinske namjene</w:t>
      </w:r>
      <w:r w:rsidR="003669C7" w:rsidRPr="00B41600">
        <w:rPr>
          <w:bCs/>
        </w:rPr>
        <w:t xml:space="preserve"> u zgradama u vlasništvu Grada Zagreba</w:t>
      </w:r>
      <w:r w:rsidR="00610474" w:rsidRPr="00B41600">
        <w:rPr>
          <w:bCs/>
        </w:rPr>
        <w:t xml:space="preserve"> u 2015. godini</w:t>
      </w:r>
      <w:r w:rsidRPr="00B41600">
        <w:rPr>
          <w:bCs/>
        </w:rPr>
        <w:t>, najv</w:t>
      </w:r>
      <w:r w:rsidR="003F51C9">
        <w:rPr>
          <w:bCs/>
        </w:rPr>
        <w:t>eći udio se odnosi na obrazovne ustanove</w:t>
      </w:r>
      <w:r w:rsidR="00F32B78" w:rsidRPr="00B41600">
        <w:rPr>
          <w:bCs/>
        </w:rPr>
        <w:t xml:space="preserve"> </w:t>
      </w:r>
      <w:r w:rsidR="00FD3E38">
        <w:rPr>
          <w:bCs/>
        </w:rPr>
        <w:t>27</w:t>
      </w:r>
      <w:r w:rsidRPr="00B41600">
        <w:rPr>
          <w:bCs/>
        </w:rPr>
        <w:t>,</w:t>
      </w:r>
      <w:r w:rsidR="00FD3E38">
        <w:rPr>
          <w:bCs/>
        </w:rPr>
        <w:t>47</w:t>
      </w:r>
      <w:r w:rsidR="004C1921" w:rsidRPr="00B41600">
        <w:rPr>
          <w:bCs/>
        </w:rPr>
        <w:t>%, a najmanji na ostale objek</w:t>
      </w:r>
      <w:r w:rsidR="00FD3E38">
        <w:rPr>
          <w:bCs/>
        </w:rPr>
        <w:t>te 1,26</w:t>
      </w:r>
      <w:r w:rsidRPr="00B41600">
        <w:rPr>
          <w:bCs/>
        </w:rPr>
        <w:t>%.</w:t>
      </w:r>
      <w:r w:rsidR="001A5C99">
        <w:rPr>
          <w:bCs/>
        </w:rPr>
        <w:br w:type="page"/>
      </w:r>
    </w:p>
    <w:p w14:paraId="62579A7D" w14:textId="54FDA3AC" w:rsidR="001601D7" w:rsidRPr="00B41600" w:rsidRDefault="001601D7" w:rsidP="00E92750">
      <w:pPr>
        <w:spacing w:before="240" w:line="240" w:lineRule="auto"/>
        <w:jc w:val="both"/>
      </w:pPr>
      <w:bookmarkStart w:id="87" w:name="_Ref462296795"/>
      <w:r w:rsidRPr="00B41600">
        <w:rPr>
          <w:bCs/>
        </w:rPr>
        <w:lastRenderedPageBreak/>
        <w:t>Detaljan prikaz potrošnje toplinske energije u pojedinim zgradama u vlasništvu Grada Zagreba</w:t>
      </w:r>
      <w:r w:rsidR="00B41600" w:rsidRPr="00B41600">
        <w:rPr>
          <w:bCs/>
        </w:rPr>
        <w:t xml:space="preserve"> u 2015. godini</w:t>
      </w:r>
      <w:r w:rsidRPr="00B41600">
        <w:rPr>
          <w:bCs/>
        </w:rPr>
        <w:t xml:space="preserve"> dan je u </w:t>
      </w:r>
      <w:r w:rsidRPr="00B41600">
        <w:rPr>
          <w:b/>
          <w:bCs/>
        </w:rPr>
        <w:fldChar w:fldCharType="begin"/>
      </w:r>
      <w:r w:rsidRPr="00B41600">
        <w:rPr>
          <w:b/>
          <w:bCs/>
        </w:rPr>
        <w:instrText xml:space="preserve"> REF _Ref465087866 \h </w:instrText>
      </w:r>
      <w:r w:rsidR="00647399" w:rsidRPr="00B41600">
        <w:rPr>
          <w:b/>
          <w:bCs/>
        </w:rPr>
        <w:instrText xml:space="preserve"> \* MERGEFORMAT </w:instrText>
      </w:r>
      <w:r w:rsidRPr="00B41600">
        <w:rPr>
          <w:b/>
          <w:bCs/>
        </w:rPr>
      </w:r>
      <w:r w:rsidRPr="00B41600">
        <w:rPr>
          <w:b/>
          <w:bCs/>
        </w:rPr>
        <w:fldChar w:fldCharType="separate"/>
      </w:r>
      <w:r w:rsidR="0029508F">
        <w:rPr>
          <w:b/>
          <w:bCs/>
        </w:rPr>
        <w:t>Tablici</w:t>
      </w:r>
      <w:r w:rsidR="009C319B" w:rsidRPr="00B41600">
        <w:rPr>
          <w:b/>
          <w:bCs/>
        </w:rPr>
        <w:t xml:space="preserve"> </w:t>
      </w:r>
      <w:r w:rsidR="009C319B">
        <w:rPr>
          <w:b/>
          <w:bCs/>
          <w:noProof/>
        </w:rPr>
        <w:t>4</w:t>
      </w:r>
      <w:r w:rsidR="009C319B" w:rsidRPr="00B41600">
        <w:rPr>
          <w:b/>
          <w:bCs/>
          <w:noProof/>
        </w:rPr>
        <w:t>.</w:t>
      </w:r>
      <w:r w:rsidR="009C319B">
        <w:rPr>
          <w:b/>
          <w:bCs/>
          <w:noProof/>
        </w:rPr>
        <w:t>9</w:t>
      </w:r>
      <w:r w:rsidRPr="00B41600">
        <w:rPr>
          <w:b/>
          <w:bCs/>
        </w:rPr>
        <w:fldChar w:fldCharType="end"/>
      </w:r>
      <w:r w:rsidRPr="00B41600">
        <w:rPr>
          <w:b/>
          <w:bCs/>
        </w:rPr>
        <w:t xml:space="preserve"> </w:t>
      </w:r>
      <w:r w:rsidRPr="00B41600">
        <w:rPr>
          <w:bCs/>
        </w:rPr>
        <w:t>i</w:t>
      </w:r>
      <w:r w:rsidR="0029508F">
        <w:rPr>
          <w:bCs/>
        </w:rPr>
        <w:t xml:space="preserve"> na</w:t>
      </w:r>
      <w:r w:rsidRPr="00B41600">
        <w:rPr>
          <w:bCs/>
        </w:rPr>
        <w:t xml:space="preserve"> </w:t>
      </w:r>
      <w:r w:rsidRPr="00B41600">
        <w:rPr>
          <w:bCs/>
        </w:rPr>
        <w:fldChar w:fldCharType="begin"/>
      </w:r>
      <w:r w:rsidRPr="00B41600">
        <w:rPr>
          <w:bCs/>
        </w:rPr>
        <w:instrText xml:space="preserve"> REF _Ref462233259 \h </w:instrText>
      </w:r>
      <w:r w:rsidR="00647399" w:rsidRPr="00B41600">
        <w:rPr>
          <w:bCs/>
        </w:rPr>
        <w:instrText xml:space="preserve"> \* MERGEFORMAT </w:instrText>
      </w:r>
      <w:r w:rsidRPr="00B41600">
        <w:rPr>
          <w:bCs/>
        </w:rPr>
      </w:r>
      <w:r w:rsidRPr="00B41600">
        <w:rPr>
          <w:bCs/>
        </w:rPr>
        <w:fldChar w:fldCharType="separate"/>
      </w:r>
      <w:r w:rsidR="0029508F">
        <w:rPr>
          <w:b/>
        </w:rPr>
        <w:t>Slici</w:t>
      </w:r>
      <w:r w:rsidR="009C319B" w:rsidRPr="00B41600">
        <w:rPr>
          <w:b/>
        </w:rPr>
        <w:t xml:space="preserve"> </w:t>
      </w:r>
      <w:r w:rsidR="009C319B">
        <w:rPr>
          <w:b/>
          <w:noProof/>
        </w:rPr>
        <w:t>4</w:t>
      </w:r>
      <w:r w:rsidR="009C319B" w:rsidRPr="00B41600">
        <w:rPr>
          <w:b/>
          <w:noProof/>
        </w:rPr>
        <w:t>.</w:t>
      </w:r>
      <w:r w:rsidR="009C319B">
        <w:rPr>
          <w:b/>
          <w:noProof/>
        </w:rPr>
        <w:t>16</w:t>
      </w:r>
      <w:r w:rsidRPr="00B41600">
        <w:rPr>
          <w:bCs/>
        </w:rPr>
        <w:fldChar w:fldCharType="end"/>
      </w:r>
      <w:r w:rsidRPr="00B41600">
        <w:rPr>
          <w:bCs/>
        </w:rPr>
        <w:t>.</w:t>
      </w:r>
    </w:p>
    <w:p w14:paraId="6BE94D3A" w14:textId="44EA4675" w:rsidR="00FD566F" w:rsidRPr="00B41600" w:rsidRDefault="00FD566F" w:rsidP="00E92750">
      <w:pPr>
        <w:spacing w:after="0" w:line="240" w:lineRule="auto"/>
        <w:jc w:val="both"/>
      </w:pPr>
      <w:bookmarkStart w:id="88" w:name="_Ref465087866"/>
      <w:bookmarkStart w:id="89" w:name="_Toc468277501"/>
      <w:r w:rsidRPr="00B41600">
        <w:rPr>
          <w:b/>
          <w:bCs/>
        </w:rPr>
        <w:t xml:space="preserve">Tablica </w:t>
      </w:r>
      <w:r w:rsidR="000B3499" w:rsidRPr="00B41600">
        <w:rPr>
          <w:b/>
          <w:bCs/>
        </w:rPr>
        <w:fldChar w:fldCharType="begin"/>
      </w:r>
      <w:r w:rsidR="000B3499" w:rsidRPr="00B41600">
        <w:rPr>
          <w:b/>
          <w:bCs/>
        </w:rPr>
        <w:instrText xml:space="preserve"> STYLEREF 1 \s </w:instrText>
      </w:r>
      <w:r w:rsidR="000B3499" w:rsidRPr="00B41600">
        <w:rPr>
          <w:b/>
          <w:bCs/>
        </w:rPr>
        <w:fldChar w:fldCharType="separate"/>
      </w:r>
      <w:r w:rsidR="009C319B">
        <w:rPr>
          <w:b/>
          <w:bCs/>
          <w:noProof/>
        </w:rPr>
        <w:t>4</w:t>
      </w:r>
      <w:r w:rsidR="000B3499" w:rsidRPr="00B41600">
        <w:rPr>
          <w:b/>
          <w:bCs/>
        </w:rPr>
        <w:fldChar w:fldCharType="end"/>
      </w:r>
      <w:r w:rsidR="000B3499" w:rsidRPr="00B41600">
        <w:rPr>
          <w:b/>
          <w:bCs/>
        </w:rPr>
        <w:t>.</w:t>
      </w:r>
      <w:r w:rsidR="000B3499" w:rsidRPr="00B41600">
        <w:rPr>
          <w:b/>
          <w:bCs/>
        </w:rPr>
        <w:fldChar w:fldCharType="begin"/>
      </w:r>
      <w:r w:rsidR="000B3499" w:rsidRPr="00B41600">
        <w:rPr>
          <w:b/>
          <w:bCs/>
        </w:rPr>
        <w:instrText xml:space="preserve"> SEQ Tablica \* ARABIC \s 1 </w:instrText>
      </w:r>
      <w:r w:rsidR="000B3499" w:rsidRPr="00B41600">
        <w:rPr>
          <w:b/>
          <w:bCs/>
        </w:rPr>
        <w:fldChar w:fldCharType="separate"/>
      </w:r>
      <w:r w:rsidR="009C319B">
        <w:rPr>
          <w:b/>
          <w:bCs/>
          <w:noProof/>
        </w:rPr>
        <w:t>9</w:t>
      </w:r>
      <w:r w:rsidR="000B3499" w:rsidRPr="00B41600">
        <w:rPr>
          <w:b/>
          <w:bCs/>
        </w:rPr>
        <w:fldChar w:fldCharType="end"/>
      </w:r>
      <w:bookmarkEnd w:id="87"/>
      <w:bookmarkEnd w:id="88"/>
      <w:r w:rsidRPr="00B41600">
        <w:rPr>
          <w:b/>
          <w:bCs/>
        </w:rPr>
        <w:t xml:space="preserve"> </w:t>
      </w:r>
      <w:r w:rsidR="002550C6" w:rsidRPr="00B41600">
        <w:rPr>
          <w:bCs/>
        </w:rPr>
        <w:t>Potrošnja toplinske energije</w:t>
      </w:r>
      <w:r w:rsidRPr="00B41600">
        <w:rPr>
          <w:bCs/>
        </w:rPr>
        <w:t xml:space="preserve"> </w:t>
      </w:r>
      <w:r w:rsidR="002550C6" w:rsidRPr="00B41600">
        <w:rPr>
          <w:bCs/>
        </w:rPr>
        <w:t xml:space="preserve">u </w:t>
      </w:r>
      <w:r w:rsidRPr="00B41600">
        <w:rPr>
          <w:bCs/>
        </w:rPr>
        <w:t>zgrada</w:t>
      </w:r>
      <w:r w:rsidR="002550C6" w:rsidRPr="00B41600">
        <w:rPr>
          <w:bCs/>
        </w:rPr>
        <w:t>ma</w:t>
      </w:r>
      <w:r w:rsidRPr="00B41600">
        <w:rPr>
          <w:bCs/>
        </w:rPr>
        <w:t xml:space="preserve"> u vlasništvu Grada Zagreba</w:t>
      </w:r>
      <w:r w:rsidR="002550C6" w:rsidRPr="00B41600">
        <w:rPr>
          <w:bCs/>
        </w:rPr>
        <w:t xml:space="preserve"> prema podkategorijama</w:t>
      </w:r>
      <w:r w:rsidR="00610474" w:rsidRPr="00B41600">
        <w:rPr>
          <w:bCs/>
        </w:rPr>
        <w:t xml:space="preserve"> u 2015. godini</w:t>
      </w:r>
      <w:bookmarkEnd w:id="89"/>
    </w:p>
    <w:tbl>
      <w:tblPr>
        <w:tblW w:w="4942" w:type="pct"/>
        <w:tblInd w:w="108" w:type="dxa"/>
        <w:tblLook w:val="04A0" w:firstRow="1" w:lastRow="0" w:firstColumn="1" w:lastColumn="0" w:noHBand="0" w:noVBand="1"/>
      </w:tblPr>
      <w:tblGrid>
        <w:gridCol w:w="5073"/>
        <w:gridCol w:w="3884"/>
      </w:tblGrid>
      <w:tr w:rsidR="00E40A03" w:rsidRPr="00E40A03" w14:paraId="556A04B1" w14:textId="77777777" w:rsidTr="00A63A0D">
        <w:trPr>
          <w:trHeight w:val="92"/>
        </w:trPr>
        <w:tc>
          <w:tcPr>
            <w:tcW w:w="2832" w:type="pct"/>
            <w:tcBorders>
              <w:top w:val="single" w:sz="4" w:space="0" w:color="auto"/>
              <w:left w:val="single" w:sz="4" w:space="0" w:color="auto"/>
              <w:bottom w:val="single" w:sz="4" w:space="0" w:color="auto"/>
              <w:right w:val="single" w:sz="4" w:space="0" w:color="auto"/>
            </w:tcBorders>
            <w:shd w:val="clear" w:color="000000" w:fill="D9D9D9"/>
            <w:noWrap/>
            <w:hideMark/>
          </w:tcPr>
          <w:p w14:paraId="430C35A9" w14:textId="77777777" w:rsidR="00E40A03" w:rsidRPr="00E40A03" w:rsidRDefault="00E40A03" w:rsidP="00E40A03">
            <w:pPr>
              <w:spacing w:after="0" w:line="240" w:lineRule="auto"/>
              <w:rPr>
                <w:rFonts w:ascii="Calibri" w:eastAsia="Times New Roman" w:hAnsi="Calibri" w:cs="Calibri"/>
                <w:b/>
                <w:bCs/>
                <w:color w:val="000000"/>
                <w:sz w:val="20"/>
                <w:szCs w:val="20"/>
                <w:lang w:eastAsia="hr-HR"/>
              </w:rPr>
            </w:pPr>
            <w:r w:rsidRPr="00E40A03">
              <w:rPr>
                <w:rFonts w:ascii="Calibri" w:eastAsia="Times New Roman" w:hAnsi="Calibri" w:cs="Calibri"/>
                <w:b/>
                <w:bCs/>
                <w:color w:val="000000"/>
                <w:sz w:val="20"/>
                <w:szCs w:val="20"/>
                <w:lang w:eastAsia="hr-HR"/>
              </w:rPr>
              <w:t>KATEGORIJA</w:t>
            </w:r>
          </w:p>
        </w:tc>
        <w:tc>
          <w:tcPr>
            <w:tcW w:w="2168" w:type="pct"/>
            <w:tcBorders>
              <w:top w:val="single" w:sz="4" w:space="0" w:color="auto"/>
              <w:left w:val="nil"/>
              <w:bottom w:val="single" w:sz="4" w:space="0" w:color="auto"/>
              <w:right w:val="single" w:sz="4" w:space="0" w:color="auto"/>
            </w:tcBorders>
            <w:shd w:val="clear" w:color="000000" w:fill="D9D9D9"/>
            <w:hideMark/>
          </w:tcPr>
          <w:p w14:paraId="46736EAF" w14:textId="77777777" w:rsidR="00E40A03" w:rsidRPr="00E40A03" w:rsidRDefault="00E40A03" w:rsidP="00E40A03">
            <w:pPr>
              <w:spacing w:after="0" w:line="240" w:lineRule="auto"/>
              <w:jc w:val="center"/>
              <w:rPr>
                <w:rFonts w:ascii="Calibri" w:eastAsia="Times New Roman" w:hAnsi="Calibri" w:cs="Calibri"/>
                <w:b/>
                <w:bCs/>
                <w:color w:val="000000"/>
                <w:sz w:val="20"/>
                <w:szCs w:val="20"/>
                <w:lang w:eastAsia="hr-HR"/>
              </w:rPr>
            </w:pPr>
            <w:r w:rsidRPr="00E40A03">
              <w:rPr>
                <w:rFonts w:ascii="Calibri" w:eastAsia="Times New Roman" w:hAnsi="Calibri" w:cs="Calibri"/>
                <w:b/>
                <w:bCs/>
                <w:color w:val="000000"/>
                <w:sz w:val="20"/>
                <w:szCs w:val="20"/>
                <w:lang w:eastAsia="hr-HR"/>
              </w:rPr>
              <w:t>Potrošnja toplinske energije (MWh)</w:t>
            </w:r>
          </w:p>
        </w:tc>
      </w:tr>
      <w:tr w:rsidR="00E40A03" w:rsidRPr="00E40A03" w14:paraId="43307DE5" w14:textId="77777777" w:rsidTr="00A63A0D">
        <w:trPr>
          <w:trHeight w:val="255"/>
        </w:trPr>
        <w:tc>
          <w:tcPr>
            <w:tcW w:w="2832" w:type="pct"/>
            <w:tcBorders>
              <w:top w:val="nil"/>
              <w:left w:val="single" w:sz="4" w:space="0" w:color="auto"/>
              <w:bottom w:val="single" w:sz="4" w:space="0" w:color="auto"/>
              <w:right w:val="single" w:sz="4" w:space="0" w:color="auto"/>
            </w:tcBorders>
            <w:shd w:val="clear" w:color="000000" w:fill="D9D9D9"/>
            <w:noWrap/>
            <w:hideMark/>
          </w:tcPr>
          <w:p w14:paraId="5F42E153" w14:textId="28B4990F" w:rsidR="00E40A03" w:rsidRPr="00E40A03" w:rsidRDefault="00FE28F0" w:rsidP="00E40A03">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Obrazovne ustanove</w:t>
            </w:r>
          </w:p>
        </w:tc>
        <w:tc>
          <w:tcPr>
            <w:tcW w:w="2168" w:type="pct"/>
            <w:tcBorders>
              <w:top w:val="nil"/>
              <w:left w:val="nil"/>
              <w:bottom w:val="single" w:sz="4" w:space="0" w:color="auto"/>
              <w:right w:val="single" w:sz="4" w:space="0" w:color="auto"/>
            </w:tcBorders>
            <w:shd w:val="clear" w:color="auto" w:fill="auto"/>
            <w:noWrap/>
            <w:hideMark/>
          </w:tcPr>
          <w:p w14:paraId="23CB23FE" w14:textId="41597F1E" w:rsidR="00E40A03" w:rsidRPr="00E40A03" w:rsidRDefault="009B4910" w:rsidP="00E40A03">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135 </w:t>
            </w:r>
            <w:r w:rsidR="00E40A03" w:rsidRPr="00E40A03">
              <w:rPr>
                <w:rFonts w:ascii="Calibri" w:eastAsia="Times New Roman" w:hAnsi="Calibri" w:cs="Calibri"/>
                <w:color w:val="000000"/>
                <w:sz w:val="20"/>
                <w:szCs w:val="20"/>
                <w:lang w:eastAsia="hr-HR"/>
              </w:rPr>
              <w:t>256,21</w:t>
            </w:r>
          </w:p>
        </w:tc>
      </w:tr>
      <w:tr w:rsidR="00E40A03" w:rsidRPr="00E40A03" w14:paraId="3CCAC9DE" w14:textId="77777777" w:rsidTr="00A63A0D">
        <w:trPr>
          <w:trHeight w:val="255"/>
        </w:trPr>
        <w:tc>
          <w:tcPr>
            <w:tcW w:w="2832" w:type="pct"/>
            <w:tcBorders>
              <w:top w:val="nil"/>
              <w:left w:val="single" w:sz="4" w:space="0" w:color="auto"/>
              <w:bottom w:val="single" w:sz="4" w:space="0" w:color="auto"/>
              <w:right w:val="single" w:sz="4" w:space="0" w:color="auto"/>
            </w:tcBorders>
            <w:shd w:val="clear" w:color="000000" w:fill="D9D9D9"/>
            <w:hideMark/>
          </w:tcPr>
          <w:p w14:paraId="365AA3FE" w14:textId="77777777" w:rsidR="00E40A03" w:rsidRPr="00E40A03" w:rsidRDefault="00E40A03" w:rsidP="00E40A03">
            <w:pPr>
              <w:spacing w:after="0" w:line="240" w:lineRule="auto"/>
              <w:rPr>
                <w:rFonts w:ascii="Calibri" w:eastAsia="Times New Roman" w:hAnsi="Calibri" w:cs="Calibri"/>
                <w:color w:val="000000"/>
                <w:sz w:val="20"/>
                <w:szCs w:val="20"/>
                <w:lang w:eastAsia="hr-HR"/>
              </w:rPr>
            </w:pPr>
            <w:r w:rsidRPr="00E40A03">
              <w:rPr>
                <w:rFonts w:ascii="Calibri" w:eastAsia="Times New Roman" w:hAnsi="Calibri" w:cs="Calibri"/>
                <w:color w:val="000000"/>
                <w:sz w:val="20"/>
                <w:szCs w:val="20"/>
                <w:lang w:eastAsia="hr-HR"/>
              </w:rPr>
              <w:t>Zdravstvo</w:t>
            </w:r>
          </w:p>
        </w:tc>
        <w:tc>
          <w:tcPr>
            <w:tcW w:w="2168" w:type="pct"/>
            <w:tcBorders>
              <w:top w:val="nil"/>
              <w:left w:val="nil"/>
              <w:bottom w:val="single" w:sz="4" w:space="0" w:color="auto"/>
              <w:right w:val="single" w:sz="4" w:space="0" w:color="auto"/>
            </w:tcBorders>
            <w:shd w:val="clear" w:color="auto" w:fill="auto"/>
            <w:noWrap/>
            <w:hideMark/>
          </w:tcPr>
          <w:p w14:paraId="4E520D08" w14:textId="39FB8B57" w:rsidR="00E40A03" w:rsidRPr="00E40A03" w:rsidRDefault="009B4910" w:rsidP="00E40A03">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69 </w:t>
            </w:r>
            <w:r w:rsidR="00E40A03" w:rsidRPr="00E40A03">
              <w:rPr>
                <w:rFonts w:ascii="Calibri" w:eastAsia="Times New Roman" w:hAnsi="Calibri" w:cs="Calibri"/>
                <w:color w:val="000000"/>
                <w:sz w:val="20"/>
                <w:szCs w:val="20"/>
                <w:lang w:eastAsia="hr-HR"/>
              </w:rPr>
              <w:t>551,09</w:t>
            </w:r>
          </w:p>
        </w:tc>
      </w:tr>
      <w:tr w:rsidR="00E40A03" w:rsidRPr="00E40A03" w14:paraId="16728B7C" w14:textId="77777777" w:rsidTr="00A63A0D">
        <w:trPr>
          <w:trHeight w:val="255"/>
        </w:trPr>
        <w:tc>
          <w:tcPr>
            <w:tcW w:w="2832" w:type="pct"/>
            <w:tcBorders>
              <w:top w:val="nil"/>
              <w:left w:val="single" w:sz="4" w:space="0" w:color="auto"/>
              <w:bottom w:val="single" w:sz="4" w:space="0" w:color="auto"/>
              <w:right w:val="single" w:sz="4" w:space="0" w:color="auto"/>
            </w:tcBorders>
            <w:shd w:val="clear" w:color="000000" w:fill="D9D9D9"/>
            <w:hideMark/>
          </w:tcPr>
          <w:p w14:paraId="4AAF1AF2" w14:textId="77777777" w:rsidR="00E40A03" w:rsidRPr="00E40A03" w:rsidRDefault="00E40A03" w:rsidP="00E40A03">
            <w:pPr>
              <w:spacing w:after="0" w:line="240" w:lineRule="auto"/>
              <w:rPr>
                <w:rFonts w:ascii="Calibri" w:eastAsia="Times New Roman" w:hAnsi="Calibri" w:cs="Calibri"/>
                <w:color w:val="000000"/>
                <w:sz w:val="20"/>
                <w:szCs w:val="20"/>
                <w:lang w:eastAsia="hr-HR"/>
              </w:rPr>
            </w:pPr>
            <w:r w:rsidRPr="00E40A03">
              <w:rPr>
                <w:rFonts w:ascii="Calibri" w:eastAsia="Times New Roman" w:hAnsi="Calibri" w:cs="Calibri"/>
                <w:color w:val="000000"/>
                <w:sz w:val="20"/>
                <w:szCs w:val="20"/>
                <w:lang w:eastAsia="hr-HR"/>
              </w:rPr>
              <w:t>Kultura</w:t>
            </w:r>
          </w:p>
        </w:tc>
        <w:tc>
          <w:tcPr>
            <w:tcW w:w="2168" w:type="pct"/>
            <w:tcBorders>
              <w:top w:val="nil"/>
              <w:left w:val="nil"/>
              <w:bottom w:val="single" w:sz="4" w:space="0" w:color="auto"/>
              <w:right w:val="single" w:sz="4" w:space="0" w:color="auto"/>
            </w:tcBorders>
            <w:shd w:val="clear" w:color="auto" w:fill="auto"/>
            <w:noWrap/>
            <w:hideMark/>
          </w:tcPr>
          <w:p w14:paraId="3AA992D3" w14:textId="1344EDED" w:rsidR="00E40A03" w:rsidRPr="00E40A03" w:rsidRDefault="009B4910" w:rsidP="00E40A03">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15 </w:t>
            </w:r>
            <w:r w:rsidR="00E40A03" w:rsidRPr="00E40A03">
              <w:rPr>
                <w:rFonts w:ascii="Calibri" w:eastAsia="Times New Roman" w:hAnsi="Calibri" w:cs="Calibri"/>
                <w:color w:val="000000"/>
                <w:sz w:val="20"/>
                <w:szCs w:val="20"/>
                <w:lang w:eastAsia="hr-HR"/>
              </w:rPr>
              <w:t>498,30</w:t>
            </w:r>
          </w:p>
        </w:tc>
      </w:tr>
      <w:tr w:rsidR="00E40A03" w:rsidRPr="00E40A03" w14:paraId="3DFBD065" w14:textId="77777777" w:rsidTr="00A63A0D">
        <w:trPr>
          <w:trHeight w:val="255"/>
        </w:trPr>
        <w:tc>
          <w:tcPr>
            <w:tcW w:w="2832" w:type="pct"/>
            <w:tcBorders>
              <w:top w:val="nil"/>
              <w:left w:val="single" w:sz="4" w:space="0" w:color="auto"/>
              <w:bottom w:val="single" w:sz="4" w:space="0" w:color="auto"/>
              <w:right w:val="single" w:sz="4" w:space="0" w:color="auto"/>
            </w:tcBorders>
            <w:shd w:val="clear" w:color="000000" w:fill="D9D9D9"/>
            <w:hideMark/>
          </w:tcPr>
          <w:p w14:paraId="435DDDED" w14:textId="77777777" w:rsidR="00E40A03" w:rsidRPr="00E40A03" w:rsidRDefault="00E40A03" w:rsidP="00E40A03">
            <w:pPr>
              <w:spacing w:after="0" w:line="240" w:lineRule="auto"/>
              <w:rPr>
                <w:rFonts w:ascii="Calibri" w:eastAsia="Times New Roman" w:hAnsi="Calibri" w:cs="Calibri"/>
                <w:color w:val="000000"/>
                <w:sz w:val="20"/>
                <w:szCs w:val="20"/>
                <w:lang w:eastAsia="hr-HR"/>
              </w:rPr>
            </w:pPr>
            <w:r w:rsidRPr="00E40A03">
              <w:rPr>
                <w:rFonts w:ascii="Calibri" w:eastAsia="Times New Roman" w:hAnsi="Calibri" w:cs="Calibri"/>
                <w:color w:val="000000"/>
                <w:sz w:val="20"/>
                <w:szCs w:val="20"/>
                <w:lang w:eastAsia="hr-HR"/>
              </w:rPr>
              <w:t>Uprava</w:t>
            </w:r>
          </w:p>
        </w:tc>
        <w:tc>
          <w:tcPr>
            <w:tcW w:w="2168" w:type="pct"/>
            <w:tcBorders>
              <w:top w:val="nil"/>
              <w:left w:val="nil"/>
              <w:bottom w:val="single" w:sz="4" w:space="0" w:color="auto"/>
              <w:right w:val="single" w:sz="4" w:space="0" w:color="auto"/>
            </w:tcBorders>
            <w:shd w:val="clear" w:color="auto" w:fill="auto"/>
            <w:noWrap/>
            <w:hideMark/>
          </w:tcPr>
          <w:p w14:paraId="0317AAB0" w14:textId="2C9822B1" w:rsidR="00E40A03" w:rsidRPr="00E40A03" w:rsidRDefault="009B4910" w:rsidP="00E40A03">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17 </w:t>
            </w:r>
            <w:r w:rsidR="00E40A03" w:rsidRPr="00E40A03">
              <w:rPr>
                <w:rFonts w:ascii="Calibri" w:eastAsia="Times New Roman" w:hAnsi="Calibri" w:cs="Calibri"/>
                <w:color w:val="000000"/>
                <w:sz w:val="20"/>
                <w:szCs w:val="20"/>
                <w:lang w:eastAsia="hr-HR"/>
              </w:rPr>
              <w:t>444,51</w:t>
            </w:r>
          </w:p>
        </w:tc>
      </w:tr>
      <w:tr w:rsidR="00E40A03" w:rsidRPr="00E40A03" w14:paraId="4FAAB162" w14:textId="77777777" w:rsidTr="00A63A0D">
        <w:trPr>
          <w:trHeight w:val="255"/>
        </w:trPr>
        <w:tc>
          <w:tcPr>
            <w:tcW w:w="2832" w:type="pct"/>
            <w:tcBorders>
              <w:top w:val="nil"/>
              <w:left w:val="single" w:sz="4" w:space="0" w:color="auto"/>
              <w:bottom w:val="single" w:sz="4" w:space="0" w:color="auto"/>
              <w:right w:val="single" w:sz="4" w:space="0" w:color="auto"/>
            </w:tcBorders>
            <w:shd w:val="clear" w:color="000000" w:fill="D9D9D9"/>
            <w:hideMark/>
          </w:tcPr>
          <w:p w14:paraId="00767DDA" w14:textId="77777777" w:rsidR="00E40A03" w:rsidRPr="00E40A03" w:rsidRDefault="00E40A03" w:rsidP="00E40A03">
            <w:pPr>
              <w:spacing w:after="0" w:line="240" w:lineRule="auto"/>
              <w:rPr>
                <w:rFonts w:ascii="Calibri" w:eastAsia="Times New Roman" w:hAnsi="Calibri" w:cs="Calibri"/>
                <w:color w:val="000000"/>
                <w:sz w:val="20"/>
                <w:szCs w:val="20"/>
                <w:lang w:eastAsia="hr-HR"/>
              </w:rPr>
            </w:pPr>
            <w:r w:rsidRPr="00E40A03">
              <w:rPr>
                <w:rFonts w:ascii="Calibri" w:eastAsia="Times New Roman" w:hAnsi="Calibri" w:cs="Calibri"/>
                <w:color w:val="000000"/>
                <w:sz w:val="20"/>
                <w:szCs w:val="20"/>
                <w:lang w:eastAsia="hr-HR"/>
              </w:rPr>
              <w:t>Sport</w:t>
            </w:r>
          </w:p>
        </w:tc>
        <w:tc>
          <w:tcPr>
            <w:tcW w:w="2168" w:type="pct"/>
            <w:tcBorders>
              <w:top w:val="nil"/>
              <w:left w:val="nil"/>
              <w:bottom w:val="single" w:sz="4" w:space="0" w:color="auto"/>
              <w:right w:val="single" w:sz="4" w:space="0" w:color="auto"/>
            </w:tcBorders>
            <w:shd w:val="clear" w:color="auto" w:fill="auto"/>
            <w:noWrap/>
            <w:hideMark/>
          </w:tcPr>
          <w:p w14:paraId="5CC6BF6D" w14:textId="0A862067" w:rsidR="00E40A03" w:rsidRPr="00E40A03" w:rsidRDefault="009B4910" w:rsidP="00E40A03">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19 </w:t>
            </w:r>
            <w:r w:rsidR="00E40A03" w:rsidRPr="00E40A03">
              <w:rPr>
                <w:rFonts w:ascii="Calibri" w:eastAsia="Times New Roman" w:hAnsi="Calibri" w:cs="Calibri"/>
                <w:color w:val="000000"/>
                <w:sz w:val="20"/>
                <w:szCs w:val="20"/>
                <w:lang w:eastAsia="hr-HR"/>
              </w:rPr>
              <w:t>519,18</w:t>
            </w:r>
          </w:p>
        </w:tc>
      </w:tr>
      <w:tr w:rsidR="00E40A03" w:rsidRPr="00E40A03" w14:paraId="536C44CD" w14:textId="77777777" w:rsidTr="00A63A0D">
        <w:trPr>
          <w:trHeight w:val="255"/>
        </w:trPr>
        <w:tc>
          <w:tcPr>
            <w:tcW w:w="2832" w:type="pct"/>
            <w:tcBorders>
              <w:top w:val="nil"/>
              <w:left w:val="single" w:sz="4" w:space="0" w:color="auto"/>
              <w:bottom w:val="single" w:sz="4" w:space="0" w:color="auto"/>
              <w:right w:val="single" w:sz="4" w:space="0" w:color="auto"/>
            </w:tcBorders>
            <w:shd w:val="clear" w:color="000000" w:fill="D9D9D9"/>
            <w:hideMark/>
          </w:tcPr>
          <w:p w14:paraId="6263DA69" w14:textId="77777777" w:rsidR="00E40A03" w:rsidRPr="00E40A03" w:rsidRDefault="00E40A03" w:rsidP="00E40A03">
            <w:pPr>
              <w:spacing w:after="0" w:line="240" w:lineRule="auto"/>
              <w:rPr>
                <w:rFonts w:ascii="Calibri" w:eastAsia="Times New Roman" w:hAnsi="Calibri" w:cs="Calibri"/>
                <w:color w:val="000000"/>
                <w:sz w:val="20"/>
                <w:szCs w:val="20"/>
                <w:lang w:eastAsia="hr-HR"/>
              </w:rPr>
            </w:pPr>
            <w:r w:rsidRPr="00E40A03">
              <w:rPr>
                <w:rFonts w:ascii="Calibri" w:eastAsia="Times New Roman" w:hAnsi="Calibri" w:cs="Calibri"/>
                <w:color w:val="000000"/>
                <w:sz w:val="20"/>
                <w:szCs w:val="20"/>
                <w:lang w:eastAsia="hr-HR"/>
              </w:rPr>
              <w:t>Ostalo</w:t>
            </w:r>
          </w:p>
        </w:tc>
        <w:tc>
          <w:tcPr>
            <w:tcW w:w="2168" w:type="pct"/>
            <w:tcBorders>
              <w:top w:val="nil"/>
              <w:left w:val="nil"/>
              <w:bottom w:val="single" w:sz="4" w:space="0" w:color="auto"/>
              <w:right w:val="single" w:sz="4" w:space="0" w:color="auto"/>
            </w:tcBorders>
            <w:shd w:val="clear" w:color="auto" w:fill="auto"/>
            <w:noWrap/>
            <w:hideMark/>
          </w:tcPr>
          <w:p w14:paraId="2BBED7DF" w14:textId="570F9F7E" w:rsidR="00E40A03" w:rsidRPr="00E40A03" w:rsidRDefault="009B4910" w:rsidP="00E40A03">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 </w:t>
            </w:r>
            <w:r w:rsidR="00E40A03" w:rsidRPr="00E40A03">
              <w:rPr>
                <w:rFonts w:ascii="Calibri" w:eastAsia="Times New Roman" w:hAnsi="Calibri" w:cs="Calibri"/>
                <w:color w:val="000000"/>
                <w:sz w:val="20"/>
                <w:szCs w:val="20"/>
                <w:lang w:eastAsia="hr-HR"/>
              </w:rPr>
              <w:t>515,80</w:t>
            </w:r>
          </w:p>
        </w:tc>
      </w:tr>
      <w:tr w:rsidR="00E40A03" w:rsidRPr="00E40A03" w14:paraId="343E51A9" w14:textId="77777777" w:rsidTr="00A63A0D">
        <w:trPr>
          <w:trHeight w:val="71"/>
        </w:trPr>
        <w:tc>
          <w:tcPr>
            <w:tcW w:w="2832" w:type="pct"/>
            <w:tcBorders>
              <w:top w:val="nil"/>
              <w:left w:val="single" w:sz="4" w:space="0" w:color="auto"/>
              <w:bottom w:val="single" w:sz="4" w:space="0" w:color="auto"/>
              <w:right w:val="single" w:sz="4" w:space="0" w:color="auto"/>
            </w:tcBorders>
            <w:shd w:val="clear" w:color="000000" w:fill="D9D9D9"/>
            <w:hideMark/>
          </w:tcPr>
          <w:p w14:paraId="7B984E8D" w14:textId="77777777" w:rsidR="00E40A03" w:rsidRPr="00E40A03" w:rsidRDefault="00E40A03" w:rsidP="00E40A03">
            <w:pPr>
              <w:spacing w:after="0" w:line="240" w:lineRule="auto"/>
              <w:rPr>
                <w:rFonts w:ascii="Calibri" w:eastAsia="Times New Roman" w:hAnsi="Calibri" w:cs="Calibri"/>
                <w:color w:val="000000"/>
                <w:sz w:val="20"/>
                <w:szCs w:val="20"/>
                <w:lang w:eastAsia="hr-HR"/>
              </w:rPr>
            </w:pPr>
            <w:r w:rsidRPr="00E40A03">
              <w:rPr>
                <w:rFonts w:ascii="Calibri" w:eastAsia="Times New Roman" w:hAnsi="Calibri" w:cs="Calibri"/>
                <w:color w:val="000000"/>
                <w:sz w:val="20"/>
                <w:szCs w:val="20"/>
                <w:lang w:eastAsia="hr-HR"/>
              </w:rPr>
              <w:t>Poslovni prostori i stanovi u vlasništvu Grada</w:t>
            </w:r>
          </w:p>
        </w:tc>
        <w:tc>
          <w:tcPr>
            <w:tcW w:w="2168" w:type="pct"/>
            <w:tcBorders>
              <w:top w:val="nil"/>
              <w:left w:val="nil"/>
              <w:bottom w:val="single" w:sz="4" w:space="0" w:color="auto"/>
              <w:right w:val="single" w:sz="4" w:space="0" w:color="auto"/>
            </w:tcBorders>
            <w:shd w:val="clear" w:color="auto" w:fill="auto"/>
            <w:noWrap/>
            <w:hideMark/>
          </w:tcPr>
          <w:p w14:paraId="1D0A6E83" w14:textId="287EEB77" w:rsidR="00E40A03" w:rsidRPr="00E40A03" w:rsidRDefault="009B4910" w:rsidP="00E40A03">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85 </w:t>
            </w:r>
            <w:r w:rsidR="00E40A03" w:rsidRPr="00E40A03">
              <w:rPr>
                <w:rFonts w:ascii="Calibri" w:eastAsia="Times New Roman" w:hAnsi="Calibri" w:cs="Calibri"/>
                <w:color w:val="000000"/>
                <w:sz w:val="20"/>
                <w:szCs w:val="20"/>
                <w:lang w:eastAsia="hr-HR"/>
              </w:rPr>
              <w:t>506,64</w:t>
            </w:r>
          </w:p>
        </w:tc>
      </w:tr>
      <w:tr w:rsidR="00E40A03" w:rsidRPr="00E40A03" w14:paraId="53488CC6" w14:textId="77777777" w:rsidTr="00811078">
        <w:trPr>
          <w:trHeight w:val="255"/>
        </w:trPr>
        <w:tc>
          <w:tcPr>
            <w:tcW w:w="2832" w:type="pct"/>
            <w:tcBorders>
              <w:top w:val="nil"/>
              <w:left w:val="single" w:sz="4" w:space="0" w:color="auto"/>
              <w:bottom w:val="single" w:sz="4" w:space="0" w:color="auto"/>
              <w:right w:val="single" w:sz="4" w:space="0" w:color="auto"/>
            </w:tcBorders>
            <w:shd w:val="clear" w:color="000000" w:fill="D9D9D9"/>
            <w:noWrap/>
            <w:hideMark/>
          </w:tcPr>
          <w:p w14:paraId="55CF9177" w14:textId="77777777" w:rsidR="00E40A03" w:rsidRPr="000D053A" w:rsidRDefault="00E40A03" w:rsidP="00E40A03">
            <w:pPr>
              <w:spacing w:after="0" w:line="240" w:lineRule="auto"/>
              <w:rPr>
                <w:rFonts w:ascii="Calibri" w:eastAsia="Times New Roman" w:hAnsi="Calibri" w:cs="Calibri"/>
                <w:b/>
                <w:color w:val="000000"/>
                <w:sz w:val="20"/>
                <w:szCs w:val="20"/>
                <w:lang w:eastAsia="hr-HR"/>
              </w:rPr>
            </w:pPr>
            <w:r w:rsidRPr="000D053A">
              <w:rPr>
                <w:rFonts w:ascii="Calibri" w:eastAsia="Times New Roman" w:hAnsi="Calibri" w:cs="Calibri"/>
                <w:b/>
                <w:color w:val="000000"/>
                <w:sz w:val="20"/>
                <w:szCs w:val="20"/>
                <w:lang w:eastAsia="hr-HR"/>
              </w:rPr>
              <w:t>UKUPNO</w:t>
            </w:r>
          </w:p>
        </w:tc>
        <w:tc>
          <w:tcPr>
            <w:tcW w:w="2168" w:type="pct"/>
            <w:tcBorders>
              <w:top w:val="nil"/>
              <w:left w:val="nil"/>
              <w:bottom w:val="single" w:sz="4" w:space="0" w:color="auto"/>
              <w:right w:val="single" w:sz="4" w:space="0" w:color="auto"/>
            </w:tcBorders>
            <w:shd w:val="clear" w:color="auto" w:fill="D9D9D9" w:themeFill="background1" w:themeFillShade="D9"/>
            <w:noWrap/>
            <w:hideMark/>
          </w:tcPr>
          <w:p w14:paraId="170C709A" w14:textId="6022AD8B" w:rsidR="00E40A03" w:rsidRPr="000D053A" w:rsidRDefault="009B4910" w:rsidP="00E40A03">
            <w:pPr>
              <w:spacing w:after="0" w:line="240" w:lineRule="auto"/>
              <w:jc w:val="center"/>
              <w:rPr>
                <w:rFonts w:ascii="Calibri" w:eastAsia="Times New Roman" w:hAnsi="Calibri" w:cs="Calibri"/>
                <w:b/>
                <w:color w:val="000000"/>
                <w:sz w:val="20"/>
                <w:szCs w:val="20"/>
                <w:lang w:eastAsia="hr-HR"/>
              </w:rPr>
            </w:pPr>
            <w:r w:rsidRPr="000D053A">
              <w:rPr>
                <w:rFonts w:ascii="Calibri" w:eastAsia="Times New Roman" w:hAnsi="Calibri" w:cs="Calibri"/>
                <w:b/>
                <w:color w:val="000000"/>
                <w:sz w:val="20"/>
                <w:szCs w:val="20"/>
                <w:lang w:eastAsia="hr-HR"/>
              </w:rPr>
              <w:t xml:space="preserve">344 </w:t>
            </w:r>
            <w:r w:rsidR="00E40A03" w:rsidRPr="000D053A">
              <w:rPr>
                <w:rFonts w:ascii="Calibri" w:eastAsia="Times New Roman" w:hAnsi="Calibri" w:cs="Calibri"/>
                <w:b/>
                <w:color w:val="000000"/>
                <w:sz w:val="20"/>
                <w:szCs w:val="20"/>
                <w:lang w:eastAsia="hr-HR"/>
              </w:rPr>
              <w:t>291,73</w:t>
            </w:r>
          </w:p>
        </w:tc>
      </w:tr>
    </w:tbl>
    <w:p w14:paraId="3EAD960C" w14:textId="20003E88" w:rsidR="00D51C75" w:rsidRDefault="00D51C75" w:rsidP="00E92750">
      <w:pPr>
        <w:spacing w:line="240" w:lineRule="auto"/>
        <w:jc w:val="center"/>
        <w:rPr>
          <w:noProof/>
          <w:highlight w:val="yellow"/>
          <w:lang w:eastAsia="hr-HR"/>
        </w:rPr>
      </w:pPr>
    </w:p>
    <w:p w14:paraId="0DC6FACB" w14:textId="370283DA" w:rsidR="00E40A03" w:rsidRDefault="001A5C99" w:rsidP="001A5C99">
      <w:pPr>
        <w:spacing w:after="0" w:line="240" w:lineRule="auto"/>
        <w:jc w:val="center"/>
        <w:rPr>
          <w:noProof/>
          <w:lang w:eastAsia="hr-HR"/>
        </w:rPr>
      </w:pPr>
      <w:r>
        <w:rPr>
          <w:noProof/>
          <w:lang w:eastAsia="hr-HR"/>
        </w:rPr>
        <w:drawing>
          <wp:inline distT="0" distB="0" distL="0" distR="0" wp14:anchorId="76890780" wp14:editId="39D17677">
            <wp:extent cx="5114925" cy="3343275"/>
            <wp:effectExtent l="0" t="0" r="0" b="0"/>
            <wp:docPr id="23" name="Chart 2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2DECBA" w14:textId="66211EF9" w:rsidR="00FD566F" w:rsidRPr="00B41600" w:rsidRDefault="00220A5E" w:rsidP="001A5C99">
      <w:pPr>
        <w:spacing w:line="240" w:lineRule="auto"/>
        <w:jc w:val="center"/>
        <w:rPr>
          <w:noProof/>
        </w:rPr>
      </w:pPr>
      <w:bookmarkStart w:id="90" w:name="_Ref462233259"/>
      <w:bookmarkStart w:id="91" w:name="_Ref462234795"/>
      <w:bookmarkStart w:id="92" w:name="_Toc468277420"/>
      <w:r w:rsidRPr="00B41600">
        <w:rPr>
          <w:b/>
        </w:rPr>
        <w:t xml:space="preserve">Slika </w:t>
      </w:r>
      <w:r w:rsidRPr="00B41600">
        <w:rPr>
          <w:b/>
        </w:rPr>
        <w:fldChar w:fldCharType="begin"/>
      </w:r>
      <w:r w:rsidRPr="00B41600">
        <w:rPr>
          <w:b/>
        </w:rPr>
        <w:instrText xml:space="preserve"> STYLEREF 1 \s </w:instrText>
      </w:r>
      <w:r w:rsidRPr="00B41600">
        <w:rPr>
          <w:b/>
        </w:rPr>
        <w:fldChar w:fldCharType="separate"/>
      </w:r>
      <w:r w:rsidR="009C319B">
        <w:rPr>
          <w:b/>
          <w:noProof/>
        </w:rPr>
        <w:t>4</w:t>
      </w:r>
      <w:r w:rsidRPr="00B41600">
        <w:rPr>
          <w:b/>
          <w:noProof/>
        </w:rPr>
        <w:fldChar w:fldCharType="end"/>
      </w:r>
      <w:r w:rsidRPr="00B41600">
        <w:rPr>
          <w:b/>
        </w:rPr>
        <w:t>.</w:t>
      </w:r>
      <w:r w:rsidRPr="00B41600">
        <w:rPr>
          <w:b/>
        </w:rPr>
        <w:fldChar w:fldCharType="begin"/>
      </w:r>
      <w:r w:rsidRPr="00B41600">
        <w:rPr>
          <w:b/>
        </w:rPr>
        <w:instrText xml:space="preserve"> SEQ Slika \* ARABIC \s 1 </w:instrText>
      </w:r>
      <w:r w:rsidRPr="00B41600">
        <w:rPr>
          <w:b/>
        </w:rPr>
        <w:fldChar w:fldCharType="separate"/>
      </w:r>
      <w:r w:rsidR="009C319B">
        <w:rPr>
          <w:b/>
          <w:noProof/>
        </w:rPr>
        <w:t>16</w:t>
      </w:r>
      <w:r w:rsidRPr="00B41600">
        <w:rPr>
          <w:b/>
          <w:noProof/>
        </w:rPr>
        <w:fldChar w:fldCharType="end"/>
      </w:r>
      <w:bookmarkEnd w:id="90"/>
      <w:bookmarkEnd w:id="91"/>
      <w:r w:rsidR="000F0B1B" w:rsidRPr="00B41600">
        <w:rPr>
          <w:b/>
          <w:noProof/>
        </w:rPr>
        <w:t xml:space="preserve"> </w:t>
      </w:r>
      <w:r w:rsidR="000F0B1B" w:rsidRPr="00B41600">
        <w:rPr>
          <w:noProof/>
        </w:rPr>
        <w:t xml:space="preserve">Struktura potrošnje toplinske energije </w:t>
      </w:r>
      <w:r w:rsidR="006364C5" w:rsidRPr="00B41600">
        <w:rPr>
          <w:noProof/>
        </w:rPr>
        <w:t xml:space="preserve">u </w:t>
      </w:r>
      <w:r w:rsidR="000F0B1B" w:rsidRPr="00B41600">
        <w:rPr>
          <w:noProof/>
        </w:rPr>
        <w:t>zgrada</w:t>
      </w:r>
      <w:r w:rsidR="006364C5" w:rsidRPr="00B41600">
        <w:rPr>
          <w:noProof/>
        </w:rPr>
        <w:t>ma</w:t>
      </w:r>
      <w:r w:rsidR="000F0B1B" w:rsidRPr="00B41600">
        <w:rPr>
          <w:noProof/>
        </w:rPr>
        <w:t xml:space="preserve"> u vlasništvu Grada Zagreba</w:t>
      </w:r>
      <w:r w:rsidR="00610474" w:rsidRPr="00B41600">
        <w:rPr>
          <w:noProof/>
        </w:rPr>
        <w:t xml:space="preserve"> u 2015. godini prema podkategorijama</w:t>
      </w:r>
      <w:bookmarkEnd w:id="92"/>
    </w:p>
    <w:p w14:paraId="2B0C7284" w14:textId="6274D462" w:rsidR="001A5C99" w:rsidRDefault="0025413F" w:rsidP="001A5C99">
      <w:pPr>
        <w:spacing w:line="240" w:lineRule="auto"/>
        <w:jc w:val="both"/>
        <w:rPr>
          <w:bCs/>
        </w:rPr>
      </w:pPr>
      <w:r w:rsidRPr="00B41600">
        <w:rPr>
          <w:bCs/>
        </w:rPr>
        <w:t>Gledajući udio potrošnje toplinske energije</w:t>
      </w:r>
      <w:r w:rsidR="006364C5" w:rsidRPr="00B41600">
        <w:rPr>
          <w:bCs/>
        </w:rPr>
        <w:t xml:space="preserve"> u zgradama u vlasništvu Grada Zagreba</w:t>
      </w:r>
      <w:r w:rsidR="00610474" w:rsidRPr="00B41600">
        <w:rPr>
          <w:bCs/>
        </w:rPr>
        <w:t xml:space="preserve"> u 2015. godini</w:t>
      </w:r>
      <w:r w:rsidRPr="00B41600">
        <w:rPr>
          <w:bCs/>
        </w:rPr>
        <w:t>, najve</w:t>
      </w:r>
      <w:r w:rsidR="001A5C99">
        <w:rPr>
          <w:bCs/>
        </w:rPr>
        <w:t>ći udio se odnosi na obrazovne ustanove</w:t>
      </w:r>
      <w:r w:rsidR="00E40A03">
        <w:rPr>
          <w:bCs/>
        </w:rPr>
        <w:t xml:space="preserve"> 39,29</w:t>
      </w:r>
      <w:r w:rsidRPr="00B41600">
        <w:rPr>
          <w:bCs/>
        </w:rPr>
        <w:t>%, a</w:t>
      </w:r>
      <w:r w:rsidR="00E40A03">
        <w:rPr>
          <w:bCs/>
        </w:rPr>
        <w:t xml:space="preserve"> najmanji na ostale objekte 0,44</w:t>
      </w:r>
      <w:r w:rsidRPr="00B41600">
        <w:rPr>
          <w:bCs/>
        </w:rPr>
        <w:t>%.</w:t>
      </w:r>
      <w:r w:rsidR="001A5C99">
        <w:rPr>
          <w:bCs/>
        </w:rPr>
        <w:br w:type="page"/>
      </w:r>
    </w:p>
    <w:p w14:paraId="23FDD577" w14:textId="77777777" w:rsidR="00180DAE" w:rsidRPr="00180DAE" w:rsidRDefault="0039704A" w:rsidP="00E92750">
      <w:pPr>
        <w:spacing w:line="240" w:lineRule="auto"/>
        <w:jc w:val="both"/>
      </w:pPr>
      <w:r w:rsidRPr="00180DAE">
        <w:lastRenderedPageBreak/>
        <w:t xml:space="preserve">Nadalje, budući je za sve podkategorije izuzev poslovnih prostora i stanova u vlasništvu i korištenju Grada </w:t>
      </w:r>
      <w:r w:rsidR="00A640BD" w:rsidRPr="00180DAE">
        <w:t xml:space="preserve">Zagreba </w:t>
      </w:r>
      <w:r w:rsidRPr="00180DAE">
        <w:t xml:space="preserve">poznat podatak o glavnom energentu koji se koristi za grijanje prostora, napravljena je analiza </w:t>
      </w:r>
      <w:r w:rsidR="005111E7" w:rsidRPr="00180DAE">
        <w:t>zastupljenosti pojedinog energenta</w:t>
      </w:r>
      <w:r w:rsidR="00A640BD" w:rsidRPr="00180DAE">
        <w:t xml:space="preserve"> za grijanje prostora</w:t>
      </w:r>
      <w:r w:rsidR="00180DAE" w:rsidRPr="00180DAE">
        <w:t xml:space="preserve"> prema broju i površini objekata</w:t>
      </w:r>
      <w:r w:rsidR="00AA5B48" w:rsidRPr="00180DAE">
        <w:t xml:space="preserve">. </w:t>
      </w:r>
    </w:p>
    <w:p w14:paraId="3DC50001" w14:textId="6CE65191" w:rsidR="00040F79" w:rsidRPr="00180DAE" w:rsidRDefault="00AA5B48" w:rsidP="00E92750">
      <w:pPr>
        <w:spacing w:line="240" w:lineRule="auto"/>
        <w:jc w:val="both"/>
      </w:pPr>
      <w:r w:rsidRPr="00180DAE">
        <w:t>Prikaz zastupljenosti pojedinog energenta za grijanje prostora prema broju objekata dan je u</w:t>
      </w:r>
      <w:r w:rsidR="00A640BD" w:rsidRPr="00180DAE">
        <w:t xml:space="preserve"> </w:t>
      </w:r>
      <w:r w:rsidR="005111E7" w:rsidRPr="00180DAE">
        <w:fldChar w:fldCharType="begin"/>
      </w:r>
      <w:r w:rsidR="005111E7" w:rsidRPr="00180DAE">
        <w:instrText xml:space="preserve"> REF _Ref465090026 \h  \* MERGEFORMAT </w:instrText>
      </w:r>
      <w:r w:rsidR="005111E7" w:rsidRPr="00180DAE">
        <w:fldChar w:fldCharType="separate"/>
      </w:r>
      <w:r w:rsidR="00745023">
        <w:rPr>
          <w:b/>
          <w:bCs/>
        </w:rPr>
        <w:t>Tablici</w:t>
      </w:r>
      <w:r w:rsidR="009C319B" w:rsidRPr="00180DAE">
        <w:rPr>
          <w:b/>
          <w:bCs/>
        </w:rPr>
        <w:t xml:space="preserve"> </w:t>
      </w:r>
      <w:r w:rsidR="009C319B">
        <w:rPr>
          <w:b/>
          <w:bCs/>
          <w:noProof/>
        </w:rPr>
        <w:t>4</w:t>
      </w:r>
      <w:r w:rsidR="009C319B" w:rsidRPr="00180DAE">
        <w:rPr>
          <w:b/>
          <w:bCs/>
          <w:noProof/>
        </w:rPr>
        <w:t>.</w:t>
      </w:r>
      <w:r w:rsidR="009C319B">
        <w:rPr>
          <w:b/>
          <w:bCs/>
          <w:noProof/>
        </w:rPr>
        <w:t>10</w:t>
      </w:r>
      <w:r w:rsidR="005111E7" w:rsidRPr="00180DAE">
        <w:fldChar w:fldCharType="end"/>
      </w:r>
      <w:r w:rsidRPr="00180DAE">
        <w:t xml:space="preserve"> te prema grijanoj površini u </w:t>
      </w:r>
      <w:r w:rsidRPr="00180DAE">
        <w:fldChar w:fldCharType="begin"/>
      </w:r>
      <w:r w:rsidRPr="00180DAE">
        <w:instrText xml:space="preserve"> REF _Ref465151247 \h </w:instrText>
      </w:r>
      <w:r w:rsidR="00647399" w:rsidRPr="00180DAE">
        <w:instrText xml:space="preserve"> \* MERGEFORMAT </w:instrText>
      </w:r>
      <w:r w:rsidRPr="00180DAE">
        <w:fldChar w:fldCharType="separate"/>
      </w:r>
      <w:r w:rsidR="00745023">
        <w:rPr>
          <w:b/>
          <w:bCs/>
        </w:rPr>
        <w:t>Tablici</w:t>
      </w:r>
      <w:r w:rsidR="009C319B" w:rsidRPr="00180DAE">
        <w:rPr>
          <w:b/>
          <w:bCs/>
        </w:rPr>
        <w:t xml:space="preserve"> </w:t>
      </w:r>
      <w:r w:rsidR="009C319B">
        <w:rPr>
          <w:b/>
          <w:bCs/>
          <w:noProof/>
        </w:rPr>
        <w:t>4</w:t>
      </w:r>
      <w:r w:rsidR="009C319B" w:rsidRPr="00180DAE">
        <w:rPr>
          <w:b/>
          <w:bCs/>
          <w:noProof/>
        </w:rPr>
        <w:t>.</w:t>
      </w:r>
      <w:r w:rsidR="009C319B">
        <w:rPr>
          <w:b/>
          <w:bCs/>
          <w:noProof/>
        </w:rPr>
        <w:t>11</w:t>
      </w:r>
      <w:r w:rsidRPr="00180DAE">
        <w:fldChar w:fldCharType="end"/>
      </w:r>
      <w:r w:rsidRPr="00180DAE">
        <w:t>.</w:t>
      </w:r>
    </w:p>
    <w:p w14:paraId="2123B496" w14:textId="18510468" w:rsidR="0039704A" w:rsidRPr="00180DAE" w:rsidRDefault="005111E7" w:rsidP="00E92750">
      <w:pPr>
        <w:spacing w:after="0" w:line="240" w:lineRule="auto"/>
        <w:jc w:val="both"/>
        <w:rPr>
          <w:color w:val="FF0000"/>
        </w:rPr>
      </w:pPr>
      <w:bookmarkStart w:id="93" w:name="_Ref465090026"/>
      <w:bookmarkStart w:id="94" w:name="_Toc468277502"/>
      <w:r w:rsidRPr="00180DAE">
        <w:rPr>
          <w:b/>
          <w:bCs/>
        </w:rPr>
        <w:t xml:space="preserve">Tablica </w:t>
      </w:r>
      <w:r w:rsidRPr="00180DAE">
        <w:rPr>
          <w:b/>
          <w:bCs/>
        </w:rPr>
        <w:fldChar w:fldCharType="begin"/>
      </w:r>
      <w:r w:rsidRPr="00180DAE">
        <w:rPr>
          <w:b/>
          <w:bCs/>
        </w:rPr>
        <w:instrText xml:space="preserve"> STYLEREF 1 \s </w:instrText>
      </w:r>
      <w:r w:rsidRPr="00180DAE">
        <w:rPr>
          <w:b/>
          <w:bCs/>
        </w:rPr>
        <w:fldChar w:fldCharType="separate"/>
      </w:r>
      <w:r w:rsidR="009C319B">
        <w:rPr>
          <w:b/>
          <w:bCs/>
          <w:noProof/>
        </w:rPr>
        <w:t>4</w:t>
      </w:r>
      <w:r w:rsidRPr="00180DAE">
        <w:rPr>
          <w:b/>
          <w:bCs/>
        </w:rPr>
        <w:fldChar w:fldCharType="end"/>
      </w:r>
      <w:r w:rsidRPr="00180DAE">
        <w:rPr>
          <w:b/>
          <w:bCs/>
        </w:rPr>
        <w:t>.</w:t>
      </w:r>
      <w:r w:rsidRPr="00180DAE">
        <w:rPr>
          <w:b/>
          <w:bCs/>
        </w:rPr>
        <w:fldChar w:fldCharType="begin"/>
      </w:r>
      <w:r w:rsidRPr="00180DAE">
        <w:rPr>
          <w:b/>
          <w:bCs/>
        </w:rPr>
        <w:instrText xml:space="preserve"> SEQ Tablica \* ARABIC \s 1 </w:instrText>
      </w:r>
      <w:r w:rsidRPr="00180DAE">
        <w:rPr>
          <w:b/>
          <w:bCs/>
        </w:rPr>
        <w:fldChar w:fldCharType="separate"/>
      </w:r>
      <w:r w:rsidR="009C319B">
        <w:rPr>
          <w:b/>
          <w:bCs/>
          <w:noProof/>
        </w:rPr>
        <w:t>10</w:t>
      </w:r>
      <w:r w:rsidRPr="00180DAE">
        <w:rPr>
          <w:b/>
          <w:bCs/>
        </w:rPr>
        <w:fldChar w:fldCharType="end"/>
      </w:r>
      <w:bookmarkEnd w:id="93"/>
      <w:r w:rsidRPr="00180DAE">
        <w:rPr>
          <w:b/>
          <w:bCs/>
        </w:rPr>
        <w:t xml:space="preserve"> </w:t>
      </w:r>
      <w:r w:rsidRPr="00180DAE">
        <w:rPr>
          <w:bCs/>
        </w:rPr>
        <w:t>Zastupljenost pojedinog energenta za grijanje prostora</w:t>
      </w:r>
      <w:r w:rsidR="007944ED" w:rsidRPr="00180DAE">
        <w:rPr>
          <w:bCs/>
        </w:rPr>
        <w:t xml:space="preserve"> </w:t>
      </w:r>
      <w:r w:rsidR="00D12269" w:rsidRPr="00180DAE">
        <w:rPr>
          <w:bCs/>
        </w:rPr>
        <w:t xml:space="preserve">u 2015. godini </w:t>
      </w:r>
      <w:r w:rsidR="007944ED" w:rsidRPr="00180DAE">
        <w:rPr>
          <w:bCs/>
        </w:rPr>
        <w:t>prema broju objekata</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789"/>
        <w:gridCol w:w="729"/>
        <w:gridCol w:w="664"/>
        <w:gridCol w:w="829"/>
        <w:gridCol w:w="689"/>
        <w:gridCol w:w="688"/>
        <w:gridCol w:w="688"/>
        <w:gridCol w:w="552"/>
        <w:gridCol w:w="1104"/>
        <w:gridCol w:w="1070"/>
      </w:tblGrid>
      <w:tr w:rsidR="004445EF" w:rsidRPr="004445EF" w14:paraId="07835876" w14:textId="77777777" w:rsidTr="00A63A0D">
        <w:trPr>
          <w:trHeight w:val="1635"/>
        </w:trPr>
        <w:tc>
          <w:tcPr>
            <w:tcW w:w="678" w:type="pct"/>
            <w:shd w:val="clear" w:color="000000" w:fill="D9D9D9"/>
            <w:noWrap/>
            <w:hideMark/>
          </w:tcPr>
          <w:p w14:paraId="2CA0D5FB" w14:textId="77777777" w:rsidR="004445EF" w:rsidRPr="004445EF" w:rsidRDefault="004445EF" w:rsidP="004445EF">
            <w:pPr>
              <w:spacing w:after="0" w:line="240" w:lineRule="auto"/>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KATEGORIJA</w:t>
            </w:r>
          </w:p>
        </w:tc>
        <w:tc>
          <w:tcPr>
            <w:tcW w:w="437" w:type="pct"/>
            <w:shd w:val="clear" w:color="000000" w:fill="D9D9D9"/>
            <w:noWrap/>
            <w:textDirection w:val="btLr"/>
            <w:vAlign w:val="center"/>
            <w:hideMark/>
          </w:tcPr>
          <w:p w14:paraId="313DBFAC"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Bez grijanja</w:t>
            </w:r>
          </w:p>
        </w:tc>
        <w:tc>
          <w:tcPr>
            <w:tcW w:w="404" w:type="pct"/>
            <w:shd w:val="clear" w:color="000000" w:fill="D9D9D9"/>
            <w:noWrap/>
            <w:textDirection w:val="btLr"/>
            <w:vAlign w:val="center"/>
            <w:hideMark/>
          </w:tcPr>
          <w:p w14:paraId="28EEF9E2"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Toplana vrelovod</w:t>
            </w:r>
          </w:p>
        </w:tc>
        <w:tc>
          <w:tcPr>
            <w:tcW w:w="368" w:type="pct"/>
            <w:shd w:val="clear" w:color="000000" w:fill="D9D9D9"/>
            <w:noWrap/>
            <w:textDirection w:val="btLr"/>
            <w:vAlign w:val="center"/>
            <w:hideMark/>
          </w:tcPr>
          <w:p w14:paraId="72F5291E"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Toplana para</w:t>
            </w:r>
          </w:p>
        </w:tc>
        <w:tc>
          <w:tcPr>
            <w:tcW w:w="459" w:type="pct"/>
            <w:shd w:val="clear" w:color="000000" w:fill="D9D9D9"/>
            <w:noWrap/>
            <w:textDirection w:val="btLr"/>
            <w:vAlign w:val="center"/>
            <w:hideMark/>
          </w:tcPr>
          <w:p w14:paraId="423751D2"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Prirodni plin</w:t>
            </w:r>
          </w:p>
        </w:tc>
        <w:tc>
          <w:tcPr>
            <w:tcW w:w="382" w:type="pct"/>
            <w:shd w:val="clear" w:color="000000" w:fill="D9D9D9"/>
            <w:noWrap/>
            <w:textDirection w:val="btLr"/>
            <w:vAlign w:val="center"/>
            <w:hideMark/>
          </w:tcPr>
          <w:p w14:paraId="5F4AAABF"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Električna energija</w:t>
            </w:r>
          </w:p>
        </w:tc>
        <w:tc>
          <w:tcPr>
            <w:tcW w:w="381" w:type="pct"/>
            <w:shd w:val="clear" w:color="000000" w:fill="D9D9D9"/>
            <w:noWrap/>
            <w:textDirection w:val="btLr"/>
            <w:vAlign w:val="center"/>
            <w:hideMark/>
          </w:tcPr>
          <w:p w14:paraId="4E8549D6"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Lož ulje</w:t>
            </w:r>
          </w:p>
        </w:tc>
        <w:tc>
          <w:tcPr>
            <w:tcW w:w="381" w:type="pct"/>
            <w:shd w:val="clear" w:color="000000" w:fill="D9D9D9"/>
            <w:noWrap/>
            <w:textDirection w:val="btLr"/>
            <w:vAlign w:val="center"/>
            <w:hideMark/>
          </w:tcPr>
          <w:p w14:paraId="6A6E7885"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UNP</w:t>
            </w:r>
          </w:p>
        </w:tc>
        <w:tc>
          <w:tcPr>
            <w:tcW w:w="306" w:type="pct"/>
            <w:shd w:val="clear" w:color="000000" w:fill="D9D9D9"/>
            <w:noWrap/>
            <w:textDirection w:val="btLr"/>
            <w:vAlign w:val="center"/>
            <w:hideMark/>
          </w:tcPr>
          <w:p w14:paraId="2B128818"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Biomasa</w:t>
            </w:r>
          </w:p>
        </w:tc>
        <w:tc>
          <w:tcPr>
            <w:tcW w:w="611" w:type="pct"/>
            <w:shd w:val="clear" w:color="000000" w:fill="D9D9D9"/>
            <w:noWrap/>
            <w:textDirection w:val="btLr"/>
            <w:vAlign w:val="center"/>
            <w:hideMark/>
          </w:tcPr>
          <w:p w14:paraId="00FBCB47"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Geotermalna voda</w:t>
            </w:r>
          </w:p>
        </w:tc>
        <w:tc>
          <w:tcPr>
            <w:tcW w:w="592" w:type="pct"/>
            <w:shd w:val="clear" w:color="000000" w:fill="D9D9D9"/>
            <w:noWrap/>
            <w:textDirection w:val="btLr"/>
            <w:vAlign w:val="center"/>
            <w:hideMark/>
          </w:tcPr>
          <w:p w14:paraId="56B20C01"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Ukupno</w:t>
            </w:r>
          </w:p>
        </w:tc>
      </w:tr>
      <w:tr w:rsidR="004445EF" w:rsidRPr="004445EF" w14:paraId="5EA49F4C" w14:textId="77777777" w:rsidTr="00A63A0D">
        <w:trPr>
          <w:trHeight w:val="255"/>
        </w:trPr>
        <w:tc>
          <w:tcPr>
            <w:tcW w:w="678" w:type="pct"/>
            <w:shd w:val="clear" w:color="000000" w:fill="D9D9D9"/>
            <w:noWrap/>
            <w:hideMark/>
          </w:tcPr>
          <w:p w14:paraId="54E55A7E" w14:textId="3E97AA7F" w:rsidR="004445EF" w:rsidRPr="004445EF" w:rsidRDefault="009231FC" w:rsidP="004445EF">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Obrazovanje</w:t>
            </w:r>
          </w:p>
        </w:tc>
        <w:tc>
          <w:tcPr>
            <w:tcW w:w="437" w:type="pct"/>
            <w:shd w:val="clear" w:color="auto" w:fill="auto"/>
            <w:noWrap/>
            <w:hideMark/>
          </w:tcPr>
          <w:p w14:paraId="7DCD7361"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w:t>
            </w:r>
          </w:p>
        </w:tc>
        <w:tc>
          <w:tcPr>
            <w:tcW w:w="404" w:type="pct"/>
            <w:shd w:val="clear" w:color="auto" w:fill="auto"/>
            <w:noWrap/>
            <w:vAlign w:val="bottom"/>
            <w:hideMark/>
          </w:tcPr>
          <w:p w14:paraId="4DD047C0"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122</w:t>
            </w:r>
          </w:p>
        </w:tc>
        <w:tc>
          <w:tcPr>
            <w:tcW w:w="368" w:type="pct"/>
            <w:shd w:val="clear" w:color="auto" w:fill="auto"/>
            <w:noWrap/>
            <w:hideMark/>
          </w:tcPr>
          <w:p w14:paraId="4A5D5FCD"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11</w:t>
            </w:r>
          </w:p>
        </w:tc>
        <w:tc>
          <w:tcPr>
            <w:tcW w:w="459" w:type="pct"/>
            <w:shd w:val="clear" w:color="auto" w:fill="auto"/>
            <w:noWrap/>
            <w:hideMark/>
          </w:tcPr>
          <w:p w14:paraId="7B310726"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185</w:t>
            </w:r>
          </w:p>
        </w:tc>
        <w:tc>
          <w:tcPr>
            <w:tcW w:w="382" w:type="pct"/>
            <w:shd w:val="clear" w:color="auto" w:fill="auto"/>
            <w:noWrap/>
            <w:hideMark/>
          </w:tcPr>
          <w:p w14:paraId="22EC282E"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9</w:t>
            </w:r>
          </w:p>
        </w:tc>
        <w:tc>
          <w:tcPr>
            <w:tcW w:w="381" w:type="pct"/>
            <w:shd w:val="clear" w:color="auto" w:fill="auto"/>
            <w:noWrap/>
            <w:hideMark/>
          </w:tcPr>
          <w:p w14:paraId="58CE2B6D"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88</w:t>
            </w:r>
          </w:p>
        </w:tc>
        <w:tc>
          <w:tcPr>
            <w:tcW w:w="381" w:type="pct"/>
            <w:shd w:val="clear" w:color="auto" w:fill="auto"/>
            <w:noWrap/>
            <w:hideMark/>
          </w:tcPr>
          <w:p w14:paraId="7864CFB5"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2</w:t>
            </w:r>
          </w:p>
        </w:tc>
        <w:tc>
          <w:tcPr>
            <w:tcW w:w="306" w:type="pct"/>
            <w:shd w:val="clear" w:color="auto" w:fill="auto"/>
            <w:noWrap/>
            <w:hideMark/>
          </w:tcPr>
          <w:p w14:paraId="4E814E29"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w:t>
            </w:r>
          </w:p>
        </w:tc>
        <w:tc>
          <w:tcPr>
            <w:tcW w:w="611" w:type="pct"/>
            <w:shd w:val="clear" w:color="auto" w:fill="auto"/>
            <w:noWrap/>
            <w:hideMark/>
          </w:tcPr>
          <w:p w14:paraId="51A05B07"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592" w:type="pct"/>
            <w:shd w:val="clear" w:color="auto" w:fill="auto"/>
            <w:noWrap/>
            <w:hideMark/>
          </w:tcPr>
          <w:p w14:paraId="0FD0F71C"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418</w:t>
            </w:r>
          </w:p>
        </w:tc>
      </w:tr>
      <w:tr w:rsidR="004445EF" w:rsidRPr="004445EF" w14:paraId="15297687" w14:textId="77777777" w:rsidTr="00A63A0D">
        <w:trPr>
          <w:trHeight w:val="255"/>
        </w:trPr>
        <w:tc>
          <w:tcPr>
            <w:tcW w:w="678" w:type="pct"/>
            <w:shd w:val="clear" w:color="000000" w:fill="D9D9D9"/>
            <w:noWrap/>
            <w:hideMark/>
          </w:tcPr>
          <w:p w14:paraId="6C80144D" w14:textId="77777777" w:rsidR="004445EF" w:rsidRPr="004445EF" w:rsidRDefault="004445EF" w:rsidP="004445EF">
            <w:pPr>
              <w:spacing w:after="0" w:line="240" w:lineRule="auto"/>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Zdravstvo</w:t>
            </w:r>
          </w:p>
        </w:tc>
        <w:tc>
          <w:tcPr>
            <w:tcW w:w="437" w:type="pct"/>
            <w:shd w:val="clear" w:color="auto" w:fill="auto"/>
            <w:noWrap/>
            <w:hideMark/>
          </w:tcPr>
          <w:p w14:paraId="0897CB2E"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w:t>
            </w:r>
          </w:p>
        </w:tc>
        <w:tc>
          <w:tcPr>
            <w:tcW w:w="404" w:type="pct"/>
            <w:shd w:val="clear" w:color="auto" w:fill="auto"/>
            <w:noWrap/>
            <w:hideMark/>
          </w:tcPr>
          <w:p w14:paraId="425A6B45"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31</w:t>
            </w:r>
          </w:p>
        </w:tc>
        <w:tc>
          <w:tcPr>
            <w:tcW w:w="368" w:type="pct"/>
            <w:shd w:val="clear" w:color="auto" w:fill="auto"/>
            <w:noWrap/>
            <w:hideMark/>
          </w:tcPr>
          <w:p w14:paraId="21D1FB74"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2</w:t>
            </w:r>
          </w:p>
        </w:tc>
        <w:tc>
          <w:tcPr>
            <w:tcW w:w="459" w:type="pct"/>
            <w:shd w:val="clear" w:color="auto" w:fill="auto"/>
            <w:noWrap/>
            <w:hideMark/>
          </w:tcPr>
          <w:p w14:paraId="0FA84C43"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103</w:t>
            </w:r>
          </w:p>
        </w:tc>
        <w:tc>
          <w:tcPr>
            <w:tcW w:w="382" w:type="pct"/>
            <w:shd w:val="clear" w:color="auto" w:fill="auto"/>
            <w:noWrap/>
            <w:hideMark/>
          </w:tcPr>
          <w:p w14:paraId="468265E1"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w:t>
            </w:r>
          </w:p>
        </w:tc>
        <w:tc>
          <w:tcPr>
            <w:tcW w:w="381" w:type="pct"/>
            <w:shd w:val="clear" w:color="auto" w:fill="auto"/>
            <w:noWrap/>
            <w:hideMark/>
          </w:tcPr>
          <w:p w14:paraId="138B43C7"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5</w:t>
            </w:r>
          </w:p>
        </w:tc>
        <w:tc>
          <w:tcPr>
            <w:tcW w:w="381" w:type="pct"/>
            <w:shd w:val="clear" w:color="auto" w:fill="auto"/>
            <w:noWrap/>
            <w:hideMark/>
          </w:tcPr>
          <w:p w14:paraId="60B3F75E"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w:t>
            </w:r>
          </w:p>
        </w:tc>
        <w:tc>
          <w:tcPr>
            <w:tcW w:w="306" w:type="pct"/>
            <w:shd w:val="clear" w:color="auto" w:fill="auto"/>
            <w:noWrap/>
            <w:hideMark/>
          </w:tcPr>
          <w:p w14:paraId="7325B553"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w:t>
            </w:r>
          </w:p>
        </w:tc>
        <w:tc>
          <w:tcPr>
            <w:tcW w:w="611" w:type="pct"/>
            <w:shd w:val="clear" w:color="auto" w:fill="auto"/>
            <w:noWrap/>
            <w:hideMark/>
          </w:tcPr>
          <w:p w14:paraId="08AA2BBD"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592" w:type="pct"/>
            <w:shd w:val="clear" w:color="auto" w:fill="auto"/>
            <w:noWrap/>
            <w:hideMark/>
          </w:tcPr>
          <w:p w14:paraId="035CAB6F"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144</w:t>
            </w:r>
          </w:p>
        </w:tc>
      </w:tr>
      <w:tr w:rsidR="004445EF" w:rsidRPr="004445EF" w14:paraId="5CE7B9DC" w14:textId="77777777" w:rsidTr="00A63A0D">
        <w:trPr>
          <w:trHeight w:val="255"/>
        </w:trPr>
        <w:tc>
          <w:tcPr>
            <w:tcW w:w="678" w:type="pct"/>
            <w:shd w:val="clear" w:color="000000" w:fill="D9D9D9"/>
            <w:noWrap/>
            <w:hideMark/>
          </w:tcPr>
          <w:p w14:paraId="72B4CB2B" w14:textId="77777777" w:rsidR="004445EF" w:rsidRPr="004445EF" w:rsidRDefault="004445EF" w:rsidP="004445EF">
            <w:pPr>
              <w:spacing w:after="0" w:line="240" w:lineRule="auto"/>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Kultura</w:t>
            </w:r>
          </w:p>
        </w:tc>
        <w:tc>
          <w:tcPr>
            <w:tcW w:w="437" w:type="pct"/>
            <w:shd w:val="clear" w:color="auto" w:fill="auto"/>
            <w:noWrap/>
            <w:hideMark/>
          </w:tcPr>
          <w:p w14:paraId="1CE31E52"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w:t>
            </w:r>
          </w:p>
        </w:tc>
        <w:tc>
          <w:tcPr>
            <w:tcW w:w="404" w:type="pct"/>
            <w:shd w:val="clear" w:color="auto" w:fill="auto"/>
            <w:noWrap/>
            <w:hideMark/>
          </w:tcPr>
          <w:p w14:paraId="500EE044"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22</w:t>
            </w:r>
          </w:p>
        </w:tc>
        <w:tc>
          <w:tcPr>
            <w:tcW w:w="368" w:type="pct"/>
            <w:shd w:val="clear" w:color="auto" w:fill="auto"/>
            <w:noWrap/>
            <w:hideMark/>
          </w:tcPr>
          <w:p w14:paraId="65BE7E8C"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459" w:type="pct"/>
            <w:shd w:val="clear" w:color="auto" w:fill="auto"/>
            <w:noWrap/>
            <w:hideMark/>
          </w:tcPr>
          <w:p w14:paraId="5809A5A3"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69</w:t>
            </w:r>
          </w:p>
        </w:tc>
        <w:tc>
          <w:tcPr>
            <w:tcW w:w="382" w:type="pct"/>
            <w:shd w:val="clear" w:color="auto" w:fill="auto"/>
            <w:noWrap/>
            <w:hideMark/>
          </w:tcPr>
          <w:p w14:paraId="052443D2"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5</w:t>
            </w:r>
          </w:p>
        </w:tc>
        <w:tc>
          <w:tcPr>
            <w:tcW w:w="381" w:type="pct"/>
            <w:shd w:val="clear" w:color="auto" w:fill="auto"/>
            <w:noWrap/>
            <w:hideMark/>
          </w:tcPr>
          <w:p w14:paraId="5B4A8E74"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3</w:t>
            </w:r>
          </w:p>
        </w:tc>
        <w:tc>
          <w:tcPr>
            <w:tcW w:w="381" w:type="pct"/>
            <w:shd w:val="clear" w:color="auto" w:fill="auto"/>
            <w:noWrap/>
            <w:hideMark/>
          </w:tcPr>
          <w:p w14:paraId="5647D6B3"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306" w:type="pct"/>
            <w:shd w:val="clear" w:color="auto" w:fill="auto"/>
            <w:noWrap/>
            <w:hideMark/>
          </w:tcPr>
          <w:p w14:paraId="1D0473B6"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611" w:type="pct"/>
            <w:shd w:val="clear" w:color="auto" w:fill="auto"/>
            <w:noWrap/>
            <w:hideMark/>
          </w:tcPr>
          <w:p w14:paraId="4ED7C90F"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592" w:type="pct"/>
            <w:shd w:val="clear" w:color="auto" w:fill="auto"/>
            <w:noWrap/>
            <w:hideMark/>
          </w:tcPr>
          <w:p w14:paraId="47492A47"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100</w:t>
            </w:r>
          </w:p>
        </w:tc>
      </w:tr>
      <w:tr w:rsidR="004445EF" w:rsidRPr="004445EF" w14:paraId="745AD29D" w14:textId="77777777" w:rsidTr="00A63A0D">
        <w:trPr>
          <w:trHeight w:val="255"/>
        </w:trPr>
        <w:tc>
          <w:tcPr>
            <w:tcW w:w="678" w:type="pct"/>
            <w:shd w:val="clear" w:color="000000" w:fill="D9D9D9"/>
            <w:noWrap/>
            <w:hideMark/>
          </w:tcPr>
          <w:p w14:paraId="40D2257B" w14:textId="77777777" w:rsidR="004445EF" w:rsidRPr="004445EF" w:rsidRDefault="004445EF" w:rsidP="004445EF">
            <w:pPr>
              <w:spacing w:after="0" w:line="240" w:lineRule="auto"/>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Uprava</w:t>
            </w:r>
          </w:p>
        </w:tc>
        <w:tc>
          <w:tcPr>
            <w:tcW w:w="437" w:type="pct"/>
            <w:shd w:val="clear" w:color="auto" w:fill="auto"/>
            <w:noWrap/>
            <w:hideMark/>
          </w:tcPr>
          <w:p w14:paraId="58F4C37D"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w:t>
            </w:r>
          </w:p>
        </w:tc>
        <w:tc>
          <w:tcPr>
            <w:tcW w:w="404" w:type="pct"/>
            <w:shd w:val="clear" w:color="auto" w:fill="auto"/>
            <w:noWrap/>
            <w:hideMark/>
          </w:tcPr>
          <w:p w14:paraId="40FC6A27"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39</w:t>
            </w:r>
          </w:p>
        </w:tc>
        <w:tc>
          <w:tcPr>
            <w:tcW w:w="368" w:type="pct"/>
            <w:shd w:val="clear" w:color="auto" w:fill="auto"/>
            <w:noWrap/>
            <w:hideMark/>
          </w:tcPr>
          <w:p w14:paraId="2E81288B"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2</w:t>
            </w:r>
          </w:p>
        </w:tc>
        <w:tc>
          <w:tcPr>
            <w:tcW w:w="459" w:type="pct"/>
            <w:shd w:val="clear" w:color="auto" w:fill="auto"/>
            <w:noWrap/>
            <w:hideMark/>
          </w:tcPr>
          <w:p w14:paraId="2BFD3630"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167</w:t>
            </w:r>
          </w:p>
        </w:tc>
        <w:tc>
          <w:tcPr>
            <w:tcW w:w="382" w:type="pct"/>
            <w:shd w:val="clear" w:color="auto" w:fill="auto"/>
            <w:noWrap/>
            <w:hideMark/>
          </w:tcPr>
          <w:p w14:paraId="2C14932D"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16</w:t>
            </w:r>
          </w:p>
        </w:tc>
        <w:tc>
          <w:tcPr>
            <w:tcW w:w="381" w:type="pct"/>
            <w:shd w:val="clear" w:color="auto" w:fill="auto"/>
            <w:noWrap/>
            <w:hideMark/>
          </w:tcPr>
          <w:p w14:paraId="2C5EE09E"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22</w:t>
            </w:r>
          </w:p>
        </w:tc>
        <w:tc>
          <w:tcPr>
            <w:tcW w:w="381" w:type="pct"/>
            <w:shd w:val="clear" w:color="auto" w:fill="auto"/>
            <w:noWrap/>
            <w:hideMark/>
          </w:tcPr>
          <w:p w14:paraId="4EDBDAE0"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306" w:type="pct"/>
            <w:shd w:val="clear" w:color="auto" w:fill="auto"/>
            <w:noWrap/>
            <w:hideMark/>
          </w:tcPr>
          <w:p w14:paraId="6368962B"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4</w:t>
            </w:r>
          </w:p>
        </w:tc>
        <w:tc>
          <w:tcPr>
            <w:tcW w:w="611" w:type="pct"/>
            <w:shd w:val="clear" w:color="auto" w:fill="auto"/>
            <w:noWrap/>
            <w:hideMark/>
          </w:tcPr>
          <w:p w14:paraId="3E55E4CF"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592" w:type="pct"/>
            <w:shd w:val="clear" w:color="auto" w:fill="auto"/>
            <w:noWrap/>
            <w:hideMark/>
          </w:tcPr>
          <w:p w14:paraId="0037B657"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251</w:t>
            </w:r>
          </w:p>
        </w:tc>
      </w:tr>
      <w:tr w:rsidR="004445EF" w:rsidRPr="004445EF" w14:paraId="5ABCC8CC" w14:textId="77777777" w:rsidTr="00A63A0D">
        <w:trPr>
          <w:trHeight w:val="255"/>
        </w:trPr>
        <w:tc>
          <w:tcPr>
            <w:tcW w:w="678" w:type="pct"/>
            <w:shd w:val="clear" w:color="000000" w:fill="D9D9D9"/>
            <w:noWrap/>
            <w:hideMark/>
          </w:tcPr>
          <w:p w14:paraId="5B4EB4EA" w14:textId="77777777" w:rsidR="004445EF" w:rsidRPr="004445EF" w:rsidRDefault="004445EF" w:rsidP="004445EF">
            <w:pPr>
              <w:spacing w:after="0" w:line="240" w:lineRule="auto"/>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Sport</w:t>
            </w:r>
          </w:p>
        </w:tc>
        <w:tc>
          <w:tcPr>
            <w:tcW w:w="437" w:type="pct"/>
            <w:shd w:val="clear" w:color="auto" w:fill="auto"/>
            <w:noWrap/>
            <w:hideMark/>
          </w:tcPr>
          <w:p w14:paraId="757F622D"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w:t>
            </w:r>
          </w:p>
        </w:tc>
        <w:tc>
          <w:tcPr>
            <w:tcW w:w="404" w:type="pct"/>
            <w:shd w:val="clear" w:color="auto" w:fill="auto"/>
            <w:noWrap/>
            <w:hideMark/>
          </w:tcPr>
          <w:p w14:paraId="32E64B24"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3</w:t>
            </w:r>
          </w:p>
        </w:tc>
        <w:tc>
          <w:tcPr>
            <w:tcW w:w="368" w:type="pct"/>
            <w:shd w:val="clear" w:color="auto" w:fill="auto"/>
            <w:noWrap/>
            <w:hideMark/>
          </w:tcPr>
          <w:p w14:paraId="47DD620B"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459" w:type="pct"/>
            <w:shd w:val="clear" w:color="auto" w:fill="auto"/>
            <w:noWrap/>
            <w:hideMark/>
          </w:tcPr>
          <w:p w14:paraId="13072228"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w:t>
            </w:r>
          </w:p>
        </w:tc>
        <w:tc>
          <w:tcPr>
            <w:tcW w:w="382" w:type="pct"/>
            <w:shd w:val="clear" w:color="auto" w:fill="auto"/>
            <w:noWrap/>
            <w:hideMark/>
          </w:tcPr>
          <w:p w14:paraId="13B60A10"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5</w:t>
            </w:r>
          </w:p>
        </w:tc>
        <w:tc>
          <w:tcPr>
            <w:tcW w:w="381" w:type="pct"/>
            <w:shd w:val="clear" w:color="auto" w:fill="auto"/>
            <w:noWrap/>
            <w:hideMark/>
          </w:tcPr>
          <w:p w14:paraId="49ACBDC3"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381" w:type="pct"/>
            <w:shd w:val="clear" w:color="auto" w:fill="auto"/>
            <w:noWrap/>
            <w:hideMark/>
          </w:tcPr>
          <w:p w14:paraId="02F8B34A"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306" w:type="pct"/>
            <w:shd w:val="clear" w:color="auto" w:fill="auto"/>
            <w:noWrap/>
            <w:hideMark/>
          </w:tcPr>
          <w:p w14:paraId="1A02E25F"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611" w:type="pct"/>
            <w:shd w:val="clear" w:color="auto" w:fill="auto"/>
            <w:noWrap/>
            <w:hideMark/>
          </w:tcPr>
          <w:p w14:paraId="7BB30ABC"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w:t>
            </w:r>
          </w:p>
        </w:tc>
        <w:tc>
          <w:tcPr>
            <w:tcW w:w="592" w:type="pct"/>
            <w:shd w:val="clear" w:color="auto" w:fill="auto"/>
            <w:noWrap/>
            <w:hideMark/>
          </w:tcPr>
          <w:p w14:paraId="1EAFD64B"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10</w:t>
            </w:r>
          </w:p>
        </w:tc>
      </w:tr>
      <w:tr w:rsidR="004445EF" w:rsidRPr="004445EF" w14:paraId="638EDC79" w14:textId="77777777" w:rsidTr="00A63A0D">
        <w:trPr>
          <w:trHeight w:val="255"/>
        </w:trPr>
        <w:tc>
          <w:tcPr>
            <w:tcW w:w="678" w:type="pct"/>
            <w:shd w:val="clear" w:color="000000" w:fill="D9D9D9"/>
            <w:noWrap/>
            <w:hideMark/>
          </w:tcPr>
          <w:p w14:paraId="177013E0" w14:textId="77777777" w:rsidR="004445EF" w:rsidRPr="004445EF" w:rsidRDefault="004445EF" w:rsidP="004445EF">
            <w:pPr>
              <w:spacing w:after="0" w:line="240" w:lineRule="auto"/>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Ostalo</w:t>
            </w:r>
          </w:p>
        </w:tc>
        <w:tc>
          <w:tcPr>
            <w:tcW w:w="437" w:type="pct"/>
            <w:shd w:val="clear" w:color="auto" w:fill="auto"/>
            <w:noWrap/>
            <w:hideMark/>
          </w:tcPr>
          <w:p w14:paraId="41B74314"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404" w:type="pct"/>
            <w:shd w:val="clear" w:color="auto" w:fill="auto"/>
            <w:noWrap/>
            <w:hideMark/>
          </w:tcPr>
          <w:p w14:paraId="2E9533C7"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368" w:type="pct"/>
            <w:shd w:val="clear" w:color="auto" w:fill="auto"/>
            <w:noWrap/>
            <w:hideMark/>
          </w:tcPr>
          <w:p w14:paraId="2CF02725"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459" w:type="pct"/>
            <w:shd w:val="clear" w:color="auto" w:fill="auto"/>
            <w:noWrap/>
            <w:hideMark/>
          </w:tcPr>
          <w:p w14:paraId="141A85B8"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2</w:t>
            </w:r>
          </w:p>
        </w:tc>
        <w:tc>
          <w:tcPr>
            <w:tcW w:w="382" w:type="pct"/>
            <w:shd w:val="clear" w:color="auto" w:fill="auto"/>
            <w:noWrap/>
            <w:hideMark/>
          </w:tcPr>
          <w:p w14:paraId="58889E10"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w:t>
            </w:r>
          </w:p>
        </w:tc>
        <w:tc>
          <w:tcPr>
            <w:tcW w:w="381" w:type="pct"/>
            <w:shd w:val="clear" w:color="auto" w:fill="auto"/>
            <w:noWrap/>
            <w:hideMark/>
          </w:tcPr>
          <w:p w14:paraId="0C24AAD3"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1</w:t>
            </w:r>
          </w:p>
        </w:tc>
        <w:tc>
          <w:tcPr>
            <w:tcW w:w="381" w:type="pct"/>
            <w:shd w:val="clear" w:color="auto" w:fill="auto"/>
            <w:noWrap/>
            <w:hideMark/>
          </w:tcPr>
          <w:p w14:paraId="75BA206A"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306" w:type="pct"/>
            <w:shd w:val="clear" w:color="auto" w:fill="auto"/>
            <w:noWrap/>
            <w:hideMark/>
          </w:tcPr>
          <w:p w14:paraId="007A7274"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611" w:type="pct"/>
            <w:shd w:val="clear" w:color="auto" w:fill="auto"/>
            <w:noWrap/>
            <w:hideMark/>
          </w:tcPr>
          <w:p w14:paraId="74858E00"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 </w:t>
            </w:r>
          </w:p>
        </w:tc>
        <w:tc>
          <w:tcPr>
            <w:tcW w:w="592" w:type="pct"/>
            <w:shd w:val="clear" w:color="auto" w:fill="auto"/>
            <w:noWrap/>
            <w:hideMark/>
          </w:tcPr>
          <w:p w14:paraId="42A5893E" w14:textId="77777777" w:rsidR="004445EF" w:rsidRPr="004445EF" w:rsidRDefault="004445EF" w:rsidP="004445EF">
            <w:pPr>
              <w:spacing w:after="0" w:line="240" w:lineRule="auto"/>
              <w:jc w:val="center"/>
              <w:rPr>
                <w:rFonts w:ascii="Calibri" w:eastAsia="Times New Roman" w:hAnsi="Calibri" w:cs="Calibri"/>
                <w:color w:val="000000"/>
                <w:sz w:val="20"/>
                <w:szCs w:val="20"/>
                <w:lang w:eastAsia="hr-HR"/>
              </w:rPr>
            </w:pPr>
            <w:r w:rsidRPr="004445EF">
              <w:rPr>
                <w:rFonts w:ascii="Calibri" w:eastAsia="Times New Roman" w:hAnsi="Calibri" w:cs="Calibri"/>
                <w:color w:val="000000"/>
                <w:sz w:val="20"/>
                <w:szCs w:val="20"/>
                <w:lang w:eastAsia="hr-HR"/>
              </w:rPr>
              <w:t>4</w:t>
            </w:r>
          </w:p>
        </w:tc>
      </w:tr>
      <w:tr w:rsidR="004445EF" w:rsidRPr="004445EF" w14:paraId="0D6FD389" w14:textId="77777777" w:rsidTr="00A63A0D">
        <w:trPr>
          <w:trHeight w:val="255"/>
        </w:trPr>
        <w:tc>
          <w:tcPr>
            <w:tcW w:w="678" w:type="pct"/>
            <w:shd w:val="clear" w:color="000000" w:fill="D9D9D9"/>
            <w:noWrap/>
            <w:hideMark/>
          </w:tcPr>
          <w:p w14:paraId="7AACFCB3" w14:textId="77777777" w:rsidR="004445EF" w:rsidRPr="004445EF" w:rsidRDefault="004445EF" w:rsidP="004445EF">
            <w:pPr>
              <w:spacing w:after="0" w:line="240" w:lineRule="auto"/>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UKUPNO</w:t>
            </w:r>
          </w:p>
        </w:tc>
        <w:tc>
          <w:tcPr>
            <w:tcW w:w="437" w:type="pct"/>
            <w:shd w:val="clear" w:color="000000" w:fill="D9D9D9"/>
            <w:noWrap/>
            <w:hideMark/>
          </w:tcPr>
          <w:p w14:paraId="59674AB3"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2</w:t>
            </w:r>
          </w:p>
        </w:tc>
        <w:tc>
          <w:tcPr>
            <w:tcW w:w="404" w:type="pct"/>
            <w:shd w:val="clear" w:color="000000" w:fill="D9D9D9"/>
            <w:noWrap/>
            <w:hideMark/>
          </w:tcPr>
          <w:p w14:paraId="6AA98F9D"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217</w:t>
            </w:r>
          </w:p>
        </w:tc>
        <w:tc>
          <w:tcPr>
            <w:tcW w:w="368" w:type="pct"/>
            <w:shd w:val="clear" w:color="000000" w:fill="D9D9D9"/>
            <w:noWrap/>
            <w:hideMark/>
          </w:tcPr>
          <w:p w14:paraId="05F76B08"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15</w:t>
            </w:r>
          </w:p>
        </w:tc>
        <w:tc>
          <w:tcPr>
            <w:tcW w:w="459" w:type="pct"/>
            <w:shd w:val="clear" w:color="000000" w:fill="D9D9D9"/>
            <w:noWrap/>
            <w:hideMark/>
          </w:tcPr>
          <w:p w14:paraId="7FD1C215"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527</w:t>
            </w:r>
          </w:p>
        </w:tc>
        <w:tc>
          <w:tcPr>
            <w:tcW w:w="382" w:type="pct"/>
            <w:shd w:val="clear" w:color="000000" w:fill="D9D9D9"/>
            <w:noWrap/>
            <w:hideMark/>
          </w:tcPr>
          <w:p w14:paraId="2D0F97F7"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37</w:t>
            </w:r>
          </w:p>
        </w:tc>
        <w:tc>
          <w:tcPr>
            <w:tcW w:w="381" w:type="pct"/>
            <w:shd w:val="clear" w:color="000000" w:fill="D9D9D9"/>
            <w:noWrap/>
            <w:hideMark/>
          </w:tcPr>
          <w:p w14:paraId="4A45ADC8"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119</w:t>
            </w:r>
          </w:p>
        </w:tc>
        <w:tc>
          <w:tcPr>
            <w:tcW w:w="381" w:type="pct"/>
            <w:shd w:val="clear" w:color="000000" w:fill="D9D9D9"/>
            <w:noWrap/>
            <w:hideMark/>
          </w:tcPr>
          <w:p w14:paraId="6E289D55"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3</w:t>
            </w:r>
          </w:p>
        </w:tc>
        <w:tc>
          <w:tcPr>
            <w:tcW w:w="306" w:type="pct"/>
            <w:shd w:val="clear" w:color="000000" w:fill="D9D9D9"/>
            <w:noWrap/>
            <w:hideMark/>
          </w:tcPr>
          <w:p w14:paraId="2728B141"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6</w:t>
            </w:r>
          </w:p>
        </w:tc>
        <w:tc>
          <w:tcPr>
            <w:tcW w:w="611" w:type="pct"/>
            <w:shd w:val="clear" w:color="000000" w:fill="D9D9D9"/>
            <w:noWrap/>
            <w:hideMark/>
          </w:tcPr>
          <w:p w14:paraId="5F24C954"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1</w:t>
            </w:r>
          </w:p>
        </w:tc>
        <w:tc>
          <w:tcPr>
            <w:tcW w:w="592" w:type="pct"/>
            <w:shd w:val="clear" w:color="000000" w:fill="D9D9D9"/>
            <w:noWrap/>
            <w:hideMark/>
          </w:tcPr>
          <w:p w14:paraId="214C76A1" w14:textId="77777777" w:rsidR="004445EF" w:rsidRPr="004445EF" w:rsidRDefault="004445EF" w:rsidP="004445EF">
            <w:pPr>
              <w:spacing w:after="0" w:line="240" w:lineRule="auto"/>
              <w:jc w:val="center"/>
              <w:rPr>
                <w:rFonts w:ascii="Calibri" w:eastAsia="Times New Roman" w:hAnsi="Calibri" w:cs="Calibri"/>
                <w:b/>
                <w:bCs/>
                <w:color w:val="000000"/>
                <w:sz w:val="20"/>
                <w:szCs w:val="20"/>
                <w:lang w:eastAsia="hr-HR"/>
              </w:rPr>
            </w:pPr>
            <w:r w:rsidRPr="004445EF">
              <w:rPr>
                <w:rFonts w:ascii="Calibri" w:eastAsia="Times New Roman" w:hAnsi="Calibri" w:cs="Calibri"/>
                <w:b/>
                <w:bCs/>
                <w:color w:val="000000"/>
                <w:sz w:val="20"/>
                <w:szCs w:val="20"/>
                <w:lang w:eastAsia="hr-HR"/>
              </w:rPr>
              <w:t>927</w:t>
            </w:r>
          </w:p>
        </w:tc>
      </w:tr>
    </w:tbl>
    <w:p w14:paraId="41B36133" w14:textId="73456872" w:rsidR="00884361" w:rsidRPr="00180DAE" w:rsidRDefault="00884361" w:rsidP="00E92750">
      <w:pPr>
        <w:spacing w:before="240" w:line="240" w:lineRule="auto"/>
        <w:jc w:val="both"/>
        <w:rPr>
          <w:rFonts w:ascii="Calibri" w:eastAsia="Times New Roman" w:hAnsi="Calibri" w:cs="Calibri"/>
          <w:color w:val="000000"/>
          <w:lang w:eastAsia="hr-HR"/>
        </w:rPr>
      </w:pPr>
      <w:r w:rsidRPr="00180DAE">
        <w:rPr>
          <w:rFonts w:ascii="Calibri" w:eastAsia="Times New Roman" w:hAnsi="Calibri" w:cs="Calibri"/>
          <w:color w:val="000000"/>
          <w:lang w:eastAsia="hr-HR"/>
        </w:rPr>
        <w:t>Na osnovu provedene analize zastupljenosti pojedinog energenta za grijanje prostora prema broju objekata možemo zaključiti da n</w:t>
      </w:r>
      <w:r w:rsidR="006C5E36">
        <w:rPr>
          <w:rFonts w:ascii="Calibri" w:eastAsia="Times New Roman" w:hAnsi="Calibri" w:cs="Calibri"/>
          <w:color w:val="000000"/>
          <w:lang w:eastAsia="hr-HR"/>
        </w:rPr>
        <w:t>ajveći broj objekata, njih 56,85</w:t>
      </w:r>
      <w:r w:rsidRPr="00180DAE">
        <w:rPr>
          <w:rFonts w:ascii="Calibri" w:eastAsia="Times New Roman" w:hAnsi="Calibri" w:cs="Calibri"/>
          <w:color w:val="000000"/>
          <w:lang w:eastAsia="hr-HR"/>
        </w:rPr>
        <w:t>%</w:t>
      </w:r>
      <w:r w:rsidR="00B42024" w:rsidRPr="00180DAE">
        <w:rPr>
          <w:rFonts w:ascii="Calibri" w:eastAsia="Times New Roman" w:hAnsi="Calibri" w:cs="Calibri"/>
          <w:color w:val="000000"/>
          <w:lang w:eastAsia="hr-HR"/>
        </w:rPr>
        <w:t xml:space="preserve"> se grije se na prirodni plin</w:t>
      </w:r>
      <w:r w:rsidR="000805E9" w:rsidRPr="00180DAE">
        <w:rPr>
          <w:rFonts w:ascii="Calibri" w:eastAsia="Times New Roman" w:hAnsi="Calibri" w:cs="Calibri"/>
          <w:color w:val="000000"/>
          <w:lang w:eastAsia="hr-HR"/>
        </w:rPr>
        <w:t xml:space="preserve">, </w:t>
      </w:r>
      <w:r w:rsidR="000805E9" w:rsidRPr="00180DAE">
        <w:rPr>
          <w:rFonts w:ascii="Calibri" w:eastAsia="Times New Roman" w:hAnsi="Calibri" w:cs="Calibri"/>
          <w:color w:val="000000"/>
          <w:lang w:eastAsia="hr-HR"/>
        </w:rPr>
        <w:fldChar w:fldCharType="begin"/>
      </w:r>
      <w:r w:rsidR="000805E9" w:rsidRPr="00180DAE">
        <w:rPr>
          <w:rFonts w:ascii="Calibri" w:eastAsia="Times New Roman" w:hAnsi="Calibri" w:cs="Calibri"/>
          <w:color w:val="000000"/>
          <w:lang w:eastAsia="hr-HR"/>
        </w:rPr>
        <w:instrText xml:space="preserve"> REF _Ref465152001 \h </w:instrText>
      </w:r>
      <w:r w:rsidR="007C7920" w:rsidRPr="00180DAE">
        <w:rPr>
          <w:rFonts w:ascii="Calibri" w:eastAsia="Times New Roman" w:hAnsi="Calibri" w:cs="Calibri"/>
          <w:color w:val="000000"/>
          <w:lang w:eastAsia="hr-HR"/>
        </w:rPr>
        <w:instrText xml:space="preserve"> \* MERGEFORMAT </w:instrText>
      </w:r>
      <w:r w:rsidR="000805E9" w:rsidRPr="00180DAE">
        <w:rPr>
          <w:rFonts w:ascii="Calibri" w:eastAsia="Times New Roman" w:hAnsi="Calibri" w:cs="Calibri"/>
          <w:color w:val="000000"/>
          <w:lang w:eastAsia="hr-HR"/>
        </w:rPr>
      </w:r>
      <w:r w:rsidR="000805E9" w:rsidRPr="00180DAE">
        <w:rPr>
          <w:rFonts w:ascii="Calibri" w:eastAsia="Times New Roman" w:hAnsi="Calibri" w:cs="Calibri"/>
          <w:color w:val="000000"/>
          <w:lang w:eastAsia="hr-HR"/>
        </w:rPr>
        <w:fldChar w:fldCharType="separate"/>
      </w:r>
      <w:r w:rsidR="009C319B" w:rsidRPr="00180DAE">
        <w:rPr>
          <w:b/>
        </w:rPr>
        <w:t xml:space="preserve">Slika </w:t>
      </w:r>
      <w:r w:rsidR="009C319B">
        <w:rPr>
          <w:b/>
          <w:noProof/>
        </w:rPr>
        <w:t>4</w:t>
      </w:r>
      <w:r w:rsidR="009C319B" w:rsidRPr="00180DAE">
        <w:rPr>
          <w:b/>
          <w:noProof/>
        </w:rPr>
        <w:t>.</w:t>
      </w:r>
      <w:r w:rsidR="009C319B">
        <w:rPr>
          <w:b/>
          <w:noProof/>
        </w:rPr>
        <w:t>17</w:t>
      </w:r>
      <w:r w:rsidR="000805E9" w:rsidRPr="00180DAE">
        <w:rPr>
          <w:rFonts w:ascii="Calibri" w:eastAsia="Times New Roman" w:hAnsi="Calibri" w:cs="Calibri"/>
          <w:color w:val="000000"/>
          <w:lang w:eastAsia="hr-HR"/>
        </w:rPr>
        <w:fldChar w:fldCharType="end"/>
      </w:r>
      <w:r w:rsidR="000805E9" w:rsidRPr="00180DAE">
        <w:rPr>
          <w:rFonts w:ascii="Calibri" w:eastAsia="Times New Roman" w:hAnsi="Calibri" w:cs="Calibri"/>
          <w:color w:val="000000"/>
          <w:lang w:eastAsia="hr-HR"/>
        </w:rPr>
        <w:t>.</w:t>
      </w:r>
    </w:p>
    <w:p w14:paraId="4E01E8C9" w14:textId="255ABBA5" w:rsidR="00C25053" w:rsidRDefault="006C5E36" w:rsidP="00E92750">
      <w:pPr>
        <w:spacing w:after="0" w:line="240" w:lineRule="auto"/>
        <w:jc w:val="center"/>
        <w:rPr>
          <w:noProof/>
          <w:lang w:eastAsia="hr-HR"/>
        </w:rPr>
      </w:pPr>
      <w:r>
        <w:rPr>
          <w:noProof/>
          <w:lang w:eastAsia="hr-HR"/>
        </w:rPr>
        <w:drawing>
          <wp:inline distT="0" distB="0" distL="0" distR="0" wp14:anchorId="24DD5CCB" wp14:editId="414EE0FA">
            <wp:extent cx="4572000" cy="2918298"/>
            <wp:effectExtent l="0" t="0" r="0" b="0"/>
            <wp:docPr id="139" name="Chart 139">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D9764A" w14:textId="6C3C486B" w:rsidR="000805E9" w:rsidRPr="00180DAE" w:rsidRDefault="000805E9" w:rsidP="00E92750">
      <w:pPr>
        <w:spacing w:after="0" w:line="240" w:lineRule="auto"/>
        <w:jc w:val="center"/>
        <w:rPr>
          <w:rFonts w:ascii="Calibri" w:eastAsia="Times New Roman" w:hAnsi="Calibri" w:cs="Calibri"/>
          <w:color w:val="000000"/>
          <w:lang w:eastAsia="hr-HR"/>
        </w:rPr>
      </w:pPr>
      <w:bookmarkStart w:id="95" w:name="_Ref465152001"/>
      <w:bookmarkStart w:id="96" w:name="_Toc468277421"/>
      <w:r w:rsidRPr="00180DAE">
        <w:rPr>
          <w:b/>
        </w:rPr>
        <w:t xml:space="preserve">Slika </w:t>
      </w:r>
      <w:r w:rsidRPr="00180DAE">
        <w:rPr>
          <w:b/>
        </w:rPr>
        <w:fldChar w:fldCharType="begin"/>
      </w:r>
      <w:r w:rsidRPr="00180DAE">
        <w:rPr>
          <w:b/>
        </w:rPr>
        <w:instrText xml:space="preserve"> STYLEREF 1 \s </w:instrText>
      </w:r>
      <w:r w:rsidRPr="00180DAE">
        <w:rPr>
          <w:b/>
        </w:rPr>
        <w:fldChar w:fldCharType="separate"/>
      </w:r>
      <w:r w:rsidR="009C319B">
        <w:rPr>
          <w:b/>
          <w:noProof/>
        </w:rPr>
        <w:t>4</w:t>
      </w:r>
      <w:r w:rsidRPr="00180DAE">
        <w:rPr>
          <w:b/>
          <w:noProof/>
        </w:rPr>
        <w:fldChar w:fldCharType="end"/>
      </w:r>
      <w:r w:rsidRPr="00180DAE">
        <w:rPr>
          <w:b/>
        </w:rPr>
        <w:t>.</w:t>
      </w:r>
      <w:r w:rsidRPr="00180DAE">
        <w:rPr>
          <w:b/>
        </w:rPr>
        <w:fldChar w:fldCharType="begin"/>
      </w:r>
      <w:r w:rsidRPr="00180DAE">
        <w:rPr>
          <w:b/>
        </w:rPr>
        <w:instrText xml:space="preserve"> SEQ Slika \* ARABIC \s 1 </w:instrText>
      </w:r>
      <w:r w:rsidRPr="00180DAE">
        <w:rPr>
          <w:b/>
        </w:rPr>
        <w:fldChar w:fldCharType="separate"/>
      </w:r>
      <w:r w:rsidR="009C319B">
        <w:rPr>
          <w:b/>
          <w:noProof/>
        </w:rPr>
        <w:t>17</w:t>
      </w:r>
      <w:r w:rsidRPr="00180DAE">
        <w:rPr>
          <w:b/>
          <w:noProof/>
        </w:rPr>
        <w:fldChar w:fldCharType="end"/>
      </w:r>
      <w:bookmarkEnd w:id="95"/>
      <w:r w:rsidRPr="00180DAE">
        <w:rPr>
          <w:b/>
          <w:noProof/>
        </w:rPr>
        <w:t xml:space="preserve"> </w:t>
      </w:r>
      <w:r w:rsidR="007919FC" w:rsidRPr="00180DAE">
        <w:rPr>
          <w:bCs/>
        </w:rPr>
        <w:t>Zastupljenost pojedinog energenta za grijanje prostora</w:t>
      </w:r>
      <w:r w:rsidR="00B42024" w:rsidRPr="00180DAE">
        <w:rPr>
          <w:bCs/>
        </w:rPr>
        <w:t xml:space="preserve"> u 2015. godini</w:t>
      </w:r>
      <w:r w:rsidR="007919FC" w:rsidRPr="00180DAE">
        <w:rPr>
          <w:bCs/>
        </w:rPr>
        <w:t xml:space="preserve"> prema broju objekata</w:t>
      </w:r>
      <w:bookmarkEnd w:id="96"/>
    </w:p>
    <w:p w14:paraId="159BB4A6" w14:textId="77777777" w:rsidR="000805E9" w:rsidRDefault="000805E9" w:rsidP="00E92750">
      <w:pPr>
        <w:spacing w:before="240" w:line="240" w:lineRule="auto"/>
        <w:jc w:val="both"/>
        <w:rPr>
          <w:rFonts w:ascii="Calibri" w:eastAsia="Times New Roman" w:hAnsi="Calibri" w:cs="Calibri"/>
          <w:color w:val="000000"/>
          <w:highlight w:val="yellow"/>
          <w:lang w:eastAsia="hr-HR"/>
        </w:rPr>
      </w:pPr>
    </w:p>
    <w:p w14:paraId="3F6232B4" w14:textId="77777777" w:rsidR="006C5E36" w:rsidRPr="007C7920" w:rsidRDefault="006C5E36" w:rsidP="00E92750">
      <w:pPr>
        <w:spacing w:before="240" w:line="240" w:lineRule="auto"/>
        <w:jc w:val="both"/>
        <w:rPr>
          <w:rFonts w:ascii="Calibri" w:eastAsia="Times New Roman" w:hAnsi="Calibri" w:cs="Calibri"/>
          <w:color w:val="000000"/>
          <w:highlight w:val="yellow"/>
          <w:lang w:eastAsia="hr-HR"/>
        </w:rPr>
      </w:pPr>
    </w:p>
    <w:p w14:paraId="7D9FB970" w14:textId="76DCB8B0" w:rsidR="00AA5B48" w:rsidRPr="00180DAE" w:rsidRDefault="00AA5B48" w:rsidP="00E92750">
      <w:pPr>
        <w:spacing w:after="0" w:line="240" w:lineRule="auto"/>
        <w:jc w:val="both"/>
        <w:rPr>
          <w:color w:val="FF0000"/>
        </w:rPr>
      </w:pPr>
      <w:bookmarkStart w:id="97" w:name="_Ref465151247"/>
      <w:bookmarkStart w:id="98" w:name="_Toc468277503"/>
      <w:r w:rsidRPr="00180DAE">
        <w:rPr>
          <w:b/>
          <w:bCs/>
        </w:rPr>
        <w:lastRenderedPageBreak/>
        <w:t xml:space="preserve">Tablica </w:t>
      </w:r>
      <w:r w:rsidRPr="00180DAE">
        <w:rPr>
          <w:b/>
          <w:bCs/>
        </w:rPr>
        <w:fldChar w:fldCharType="begin"/>
      </w:r>
      <w:r w:rsidRPr="00180DAE">
        <w:rPr>
          <w:b/>
          <w:bCs/>
        </w:rPr>
        <w:instrText xml:space="preserve"> STYLEREF 1 \s </w:instrText>
      </w:r>
      <w:r w:rsidRPr="00180DAE">
        <w:rPr>
          <w:b/>
          <w:bCs/>
        </w:rPr>
        <w:fldChar w:fldCharType="separate"/>
      </w:r>
      <w:r w:rsidR="009C319B">
        <w:rPr>
          <w:b/>
          <w:bCs/>
          <w:noProof/>
        </w:rPr>
        <w:t>4</w:t>
      </w:r>
      <w:r w:rsidRPr="00180DAE">
        <w:rPr>
          <w:b/>
          <w:bCs/>
        </w:rPr>
        <w:fldChar w:fldCharType="end"/>
      </w:r>
      <w:r w:rsidRPr="00180DAE">
        <w:rPr>
          <w:b/>
          <w:bCs/>
        </w:rPr>
        <w:t>.</w:t>
      </w:r>
      <w:r w:rsidRPr="00180DAE">
        <w:rPr>
          <w:b/>
          <w:bCs/>
        </w:rPr>
        <w:fldChar w:fldCharType="begin"/>
      </w:r>
      <w:r w:rsidRPr="00180DAE">
        <w:rPr>
          <w:b/>
          <w:bCs/>
        </w:rPr>
        <w:instrText xml:space="preserve"> SEQ Tablica \* ARABIC \s 1 </w:instrText>
      </w:r>
      <w:r w:rsidRPr="00180DAE">
        <w:rPr>
          <w:b/>
          <w:bCs/>
        </w:rPr>
        <w:fldChar w:fldCharType="separate"/>
      </w:r>
      <w:r w:rsidR="009C319B">
        <w:rPr>
          <w:b/>
          <w:bCs/>
          <w:noProof/>
        </w:rPr>
        <w:t>11</w:t>
      </w:r>
      <w:r w:rsidRPr="00180DAE">
        <w:rPr>
          <w:b/>
          <w:bCs/>
        </w:rPr>
        <w:fldChar w:fldCharType="end"/>
      </w:r>
      <w:bookmarkEnd w:id="97"/>
      <w:r w:rsidR="007944ED" w:rsidRPr="00180DAE">
        <w:rPr>
          <w:b/>
          <w:bCs/>
        </w:rPr>
        <w:t xml:space="preserve"> </w:t>
      </w:r>
      <w:r w:rsidR="007944ED" w:rsidRPr="00180DAE">
        <w:rPr>
          <w:bCs/>
        </w:rPr>
        <w:t xml:space="preserve">Zastupljenost pojedinog energenta za grijanje prostora </w:t>
      </w:r>
      <w:r w:rsidR="00D343AB" w:rsidRPr="00180DAE">
        <w:rPr>
          <w:bCs/>
        </w:rPr>
        <w:t xml:space="preserve">u 2015. godini </w:t>
      </w:r>
      <w:r w:rsidR="007944ED" w:rsidRPr="00180DAE">
        <w:rPr>
          <w:bCs/>
        </w:rPr>
        <w:t>prema grijanoj površini</w:t>
      </w:r>
      <w:bookmarkEnd w:id="98"/>
    </w:p>
    <w:tbl>
      <w:tblPr>
        <w:tblW w:w="56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746"/>
        <w:gridCol w:w="988"/>
        <w:gridCol w:w="862"/>
        <w:gridCol w:w="988"/>
        <w:gridCol w:w="862"/>
        <w:gridCol w:w="988"/>
        <w:gridCol w:w="864"/>
        <w:gridCol w:w="862"/>
        <w:gridCol w:w="864"/>
        <w:gridCol w:w="1213"/>
      </w:tblGrid>
      <w:tr w:rsidR="005102CE" w:rsidRPr="00A63A0D" w14:paraId="1527FB5E" w14:textId="77777777" w:rsidTr="005102CE">
        <w:trPr>
          <w:trHeight w:val="1468"/>
        </w:trPr>
        <w:tc>
          <w:tcPr>
            <w:tcW w:w="521" w:type="pct"/>
            <w:shd w:val="clear" w:color="000000" w:fill="D9D9D9"/>
            <w:noWrap/>
            <w:hideMark/>
          </w:tcPr>
          <w:p w14:paraId="0F3F7874" w14:textId="77777777" w:rsidR="00A247AF" w:rsidRPr="00A63A0D" w:rsidRDefault="00A247AF" w:rsidP="00A247AF">
            <w:pPr>
              <w:spacing w:after="0" w:line="240" w:lineRule="auto"/>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KATEGORIJA</w:t>
            </w:r>
          </w:p>
        </w:tc>
        <w:tc>
          <w:tcPr>
            <w:tcW w:w="361" w:type="pct"/>
            <w:shd w:val="clear" w:color="000000" w:fill="D9D9D9"/>
            <w:noWrap/>
            <w:textDirection w:val="btLr"/>
            <w:vAlign w:val="center"/>
            <w:hideMark/>
          </w:tcPr>
          <w:p w14:paraId="10FCACB8"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Bez grijanja</w:t>
            </w:r>
          </w:p>
        </w:tc>
        <w:tc>
          <w:tcPr>
            <w:tcW w:w="479" w:type="pct"/>
            <w:shd w:val="clear" w:color="000000" w:fill="D9D9D9"/>
            <w:noWrap/>
            <w:textDirection w:val="btLr"/>
            <w:vAlign w:val="center"/>
            <w:hideMark/>
          </w:tcPr>
          <w:p w14:paraId="487AD99F"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Toplana vrelovod</w:t>
            </w:r>
          </w:p>
        </w:tc>
        <w:tc>
          <w:tcPr>
            <w:tcW w:w="418" w:type="pct"/>
            <w:shd w:val="clear" w:color="000000" w:fill="D9D9D9"/>
            <w:noWrap/>
            <w:textDirection w:val="btLr"/>
            <w:vAlign w:val="center"/>
            <w:hideMark/>
          </w:tcPr>
          <w:p w14:paraId="2BFB8D3E"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Toplana para</w:t>
            </w:r>
          </w:p>
        </w:tc>
        <w:tc>
          <w:tcPr>
            <w:tcW w:w="479" w:type="pct"/>
            <w:shd w:val="clear" w:color="000000" w:fill="D9D9D9"/>
            <w:noWrap/>
            <w:textDirection w:val="btLr"/>
            <w:vAlign w:val="center"/>
            <w:hideMark/>
          </w:tcPr>
          <w:p w14:paraId="6C664D40"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Prirodni plin</w:t>
            </w:r>
          </w:p>
        </w:tc>
        <w:tc>
          <w:tcPr>
            <w:tcW w:w="418" w:type="pct"/>
            <w:shd w:val="clear" w:color="000000" w:fill="D9D9D9"/>
            <w:noWrap/>
            <w:textDirection w:val="btLr"/>
            <w:vAlign w:val="center"/>
            <w:hideMark/>
          </w:tcPr>
          <w:p w14:paraId="2BAE8643"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Električna energija</w:t>
            </w:r>
          </w:p>
        </w:tc>
        <w:tc>
          <w:tcPr>
            <w:tcW w:w="479" w:type="pct"/>
            <w:shd w:val="clear" w:color="000000" w:fill="D9D9D9"/>
            <w:noWrap/>
            <w:textDirection w:val="btLr"/>
            <w:vAlign w:val="center"/>
            <w:hideMark/>
          </w:tcPr>
          <w:p w14:paraId="61619579"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Lož ulje</w:t>
            </w:r>
          </w:p>
        </w:tc>
        <w:tc>
          <w:tcPr>
            <w:tcW w:w="419" w:type="pct"/>
            <w:shd w:val="clear" w:color="000000" w:fill="D9D9D9"/>
            <w:noWrap/>
            <w:textDirection w:val="btLr"/>
            <w:vAlign w:val="center"/>
            <w:hideMark/>
          </w:tcPr>
          <w:p w14:paraId="77B03AB0"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UNP</w:t>
            </w:r>
          </w:p>
        </w:tc>
        <w:tc>
          <w:tcPr>
            <w:tcW w:w="418" w:type="pct"/>
            <w:shd w:val="clear" w:color="000000" w:fill="D9D9D9"/>
            <w:noWrap/>
            <w:textDirection w:val="btLr"/>
            <w:vAlign w:val="center"/>
            <w:hideMark/>
          </w:tcPr>
          <w:p w14:paraId="3EC87C2E"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Biomasa</w:t>
            </w:r>
          </w:p>
        </w:tc>
        <w:tc>
          <w:tcPr>
            <w:tcW w:w="419" w:type="pct"/>
            <w:shd w:val="clear" w:color="000000" w:fill="D9D9D9"/>
            <w:noWrap/>
            <w:textDirection w:val="btLr"/>
            <w:vAlign w:val="center"/>
            <w:hideMark/>
          </w:tcPr>
          <w:p w14:paraId="2C50CF7F"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Geotermalna voda</w:t>
            </w:r>
          </w:p>
        </w:tc>
        <w:tc>
          <w:tcPr>
            <w:tcW w:w="588" w:type="pct"/>
            <w:shd w:val="clear" w:color="000000" w:fill="D9D9D9"/>
            <w:noWrap/>
            <w:textDirection w:val="btLr"/>
            <w:vAlign w:val="center"/>
            <w:hideMark/>
          </w:tcPr>
          <w:p w14:paraId="33350C5C"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Ukupno</w:t>
            </w:r>
          </w:p>
        </w:tc>
      </w:tr>
      <w:tr w:rsidR="005102CE" w:rsidRPr="00A63A0D" w14:paraId="1712794F" w14:textId="77777777" w:rsidTr="005102CE">
        <w:trPr>
          <w:trHeight w:val="228"/>
        </w:trPr>
        <w:tc>
          <w:tcPr>
            <w:tcW w:w="521" w:type="pct"/>
            <w:shd w:val="clear" w:color="000000" w:fill="D9D9D9"/>
            <w:noWrap/>
            <w:hideMark/>
          </w:tcPr>
          <w:p w14:paraId="39E305BD" w14:textId="6124CEA0" w:rsidR="00A247AF" w:rsidRPr="00A63A0D" w:rsidRDefault="005102CE" w:rsidP="00A247AF">
            <w:pPr>
              <w:spacing w:after="0" w:line="240" w:lineRule="auto"/>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Obrazovanje</w:t>
            </w:r>
          </w:p>
        </w:tc>
        <w:tc>
          <w:tcPr>
            <w:tcW w:w="361" w:type="pct"/>
            <w:shd w:val="clear" w:color="auto" w:fill="auto"/>
            <w:noWrap/>
            <w:hideMark/>
          </w:tcPr>
          <w:p w14:paraId="555FED2A"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w:t>
            </w:r>
          </w:p>
        </w:tc>
        <w:tc>
          <w:tcPr>
            <w:tcW w:w="479" w:type="pct"/>
            <w:shd w:val="clear" w:color="auto" w:fill="auto"/>
            <w:noWrap/>
            <w:vAlign w:val="bottom"/>
            <w:hideMark/>
          </w:tcPr>
          <w:p w14:paraId="5C1A455D"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295.331,63</w:t>
            </w:r>
          </w:p>
        </w:tc>
        <w:tc>
          <w:tcPr>
            <w:tcW w:w="418" w:type="pct"/>
            <w:shd w:val="clear" w:color="auto" w:fill="auto"/>
            <w:noWrap/>
            <w:vAlign w:val="bottom"/>
            <w:hideMark/>
          </w:tcPr>
          <w:p w14:paraId="76E3EA35"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41.746,21</w:t>
            </w:r>
          </w:p>
        </w:tc>
        <w:tc>
          <w:tcPr>
            <w:tcW w:w="479" w:type="pct"/>
            <w:shd w:val="clear" w:color="auto" w:fill="auto"/>
            <w:noWrap/>
            <w:vAlign w:val="bottom"/>
            <w:hideMark/>
          </w:tcPr>
          <w:p w14:paraId="209CE2E6"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335.122,02</w:t>
            </w:r>
          </w:p>
        </w:tc>
        <w:tc>
          <w:tcPr>
            <w:tcW w:w="418" w:type="pct"/>
            <w:shd w:val="clear" w:color="auto" w:fill="auto"/>
            <w:noWrap/>
            <w:vAlign w:val="bottom"/>
            <w:hideMark/>
          </w:tcPr>
          <w:p w14:paraId="3DB95DE8"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1.149,87</w:t>
            </w:r>
          </w:p>
        </w:tc>
        <w:tc>
          <w:tcPr>
            <w:tcW w:w="479" w:type="pct"/>
            <w:shd w:val="clear" w:color="auto" w:fill="auto"/>
            <w:noWrap/>
            <w:vAlign w:val="bottom"/>
            <w:hideMark/>
          </w:tcPr>
          <w:p w14:paraId="0B546AA5"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193.270,27</w:t>
            </w:r>
          </w:p>
        </w:tc>
        <w:tc>
          <w:tcPr>
            <w:tcW w:w="419" w:type="pct"/>
            <w:shd w:val="clear" w:color="auto" w:fill="auto"/>
            <w:noWrap/>
            <w:vAlign w:val="bottom"/>
            <w:hideMark/>
          </w:tcPr>
          <w:p w14:paraId="408BFBDB"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461,02</w:t>
            </w:r>
          </w:p>
        </w:tc>
        <w:tc>
          <w:tcPr>
            <w:tcW w:w="418" w:type="pct"/>
            <w:shd w:val="clear" w:color="auto" w:fill="auto"/>
            <w:noWrap/>
            <w:hideMark/>
          </w:tcPr>
          <w:p w14:paraId="5549D813"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203,00</w:t>
            </w:r>
          </w:p>
        </w:tc>
        <w:tc>
          <w:tcPr>
            <w:tcW w:w="419" w:type="pct"/>
            <w:shd w:val="clear" w:color="auto" w:fill="auto"/>
            <w:noWrap/>
            <w:hideMark/>
          </w:tcPr>
          <w:p w14:paraId="0CF330BD"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588" w:type="pct"/>
            <w:shd w:val="clear" w:color="auto" w:fill="auto"/>
            <w:noWrap/>
            <w:hideMark/>
          </w:tcPr>
          <w:p w14:paraId="68A18259"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867.284,02</w:t>
            </w:r>
          </w:p>
        </w:tc>
      </w:tr>
      <w:tr w:rsidR="005102CE" w:rsidRPr="00A63A0D" w14:paraId="06B4CE97" w14:textId="77777777" w:rsidTr="005102CE">
        <w:trPr>
          <w:trHeight w:val="228"/>
        </w:trPr>
        <w:tc>
          <w:tcPr>
            <w:tcW w:w="521" w:type="pct"/>
            <w:shd w:val="clear" w:color="000000" w:fill="D9D9D9"/>
            <w:noWrap/>
            <w:hideMark/>
          </w:tcPr>
          <w:p w14:paraId="3AC49188" w14:textId="77777777" w:rsidR="00A247AF" w:rsidRPr="00A63A0D" w:rsidRDefault="00A247AF" w:rsidP="00A247AF">
            <w:pPr>
              <w:spacing w:after="0" w:line="240" w:lineRule="auto"/>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Zdravstvo</w:t>
            </w:r>
          </w:p>
        </w:tc>
        <w:tc>
          <w:tcPr>
            <w:tcW w:w="361" w:type="pct"/>
            <w:shd w:val="clear" w:color="auto" w:fill="auto"/>
            <w:noWrap/>
            <w:hideMark/>
          </w:tcPr>
          <w:p w14:paraId="220FF356"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w:t>
            </w:r>
          </w:p>
        </w:tc>
        <w:tc>
          <w:tcPr>
            <w:tcW w:w="479" w:type="pct"/>
            <w:shd w:val="clear" w:color="auto" w:fill="auto"/>
            <w:noWrap/>
            <w:vAlign w:val="bottom"/>
            <w:hideMark/>
          </w:tcPr>
          <w:p w14:paraId="58F6F76B"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92.199,38</w:t>
            </w:r>
          </w:p>
        </w:tc>
        <w:tc>
          <w:tcPr>
            <w:tcW w:w="418" w:type="pct"/>
            <w:shd w:val="clear" w:color="auto" w:fill="auto"/>
            <w:noWrap/>
            <w:vAlign w:val="bottom"/>
            <w:hideMark/>
          </w:tcPr>
          <w:p w14:paraId="157EA129"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30.616,15</w:t>
            </w:r>
          </w:p>
        </w:tc>
        <w:tc>
          <w:tcPr>
            <w:tcW w:w="479" w:type="pct"/>
            <w:shd w:val="clear" w:color="auto" w:fill="auto"/>
            <w:noWrap/>
            <w:vAlign w:val="bottom"/>
            <w:hideMark/>
          </w:tcPr>
          <w:p w14:paraId="35F95AD7"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164.870,34</w:t>
            </w:r>
          </w:p>
        </w:tc>
        <w:tc>
          <w:tcPr>
            <w:tcW w:w="418" w:type="pct"/>
            <w:shd w:val="clear" w:color="auto" w:fill="auto"/>
            <w:noWrap/>
            <w:vAlign w:val="bottom"/>
            <w:hideMark/>
          </w:tcPr>
          <w:p w14:paraId="3A1EC5BE"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44</w:t>
            </w:r>
          </w:p>
        </w:tc>
        <w:tc>
          <w:tcPr>
            <w:tcW w:w="479" w:type="pct"/>
            <w:shd w:val="clear" w:color="auto" w:fill="auto"/>
            <w:noWrap/>
            <w:vAlign w:val="bottom"/>
            <w:hideMark/>
          </w:tcPr>
          <w:p w14:paraId="4994E97B"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4.708,05</w:t>
            </w:r>
          </w:p>
        </w:tc>
        <w:tc>
          <w:tcPr>
            <w:tcW w:w="419" w:type="pct"/>
            <w:shd w:val="clear" w:color="auto" w:fill="auto"/>
            <w:noWrap/>
            <w:hideMark/>
          </w:tcPr>
          <w:p w14:paraId="70CDFD41"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2.060,00</w:t>
            </w:r>
          </w:p>
        </w:tc>
        <w:tc>
          <w:tcPr>
            <w:tcW w:w="418" w:type="pct"/>
            <w:shd w:val="clear" w:color="auto" w:fill="auto"/>
            <w:noWrap/>
            <w:vAlign w:val="bottom"/>
            <w:hideMark/>
          </w:tcPr>
          <w:p w14:paraId="2979A432"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3.300,00</w:t>
            </w:r>
          </w:p>
        </w:tc>
        <w:tc>
          <w:tcPr>
            <w:tcW w:w="419" w:type="pct"/>
            <w:shd w:val="clear" w:color="auto" w:fill="auto"/>
            <w:noWrap/>
            <w:hideMark/>
          </w:tcPr>
          <w:p w14:paraId="3A9CD620"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588" w:type="pct"/>
            <w:shd w:val="clear" w:color="auto" w:fill="auto"/>
            <w:noWrap/>
            <w:hideMark/>
          </w:tcPr>
          <w:p w14:paraId="2DCF59CD"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297.797,92</w:t>
            </w:r>
          </w:p>
        </w:tc>
      </w:tr>
      <w:tr w:rsidR="005102CE" w:rsidRPr="00A63A0D" w14:paraId="23CE2F63" w14:textId="77777777" w:rsidTr="005102CE">
        <w:trPr>
          <w:trHeight w:val="228"/>
        </w:trPr>
        <w:tc>
          <w:tcPr>
            <w:tcW w:w="521" w:type="pct"/>
            <w:shd w:val="clear" w:color="000000" w:fill="D9D9D9"/>
            <w:noWrap/>
            <w:hideMark/>
          </w:tcPr>
          <w:p w14:paraId="61662469" w14:textId="77777777" w:rsidR="00A247AF" w:rsidRPr="00A63A0D" w:rsidRDefault="00A247AF" w:rsidP="00A247AF">
            <w:pPr>
              <w:spacing w:after="0" w:line="240" w:lineRule="auto"/>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Kultura</w:t>
            </w:r>
          </w:p>
        </w:tc>
        <w:tc>
          <w:tcPr>
            <w:tcW w:w="361" w:type="pct"/>
            <w:shd w:val="clear" w:color="auto" w:fill="auto"/>
            <w:noWrap/>
            <w:vAlign w:val="bottom"/>
            <w:hideMark/>
          </w:tcPr>
          <w:p w14:paraId="268FBAC5"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913</w:t>
            </w:r>
          </w:p>
        </w:tc>
        <w:tc>
          <w:tcPr>
            <w:tcW w:w="479" w:type="pct"/>
            <w:shd w:val="clear" w:color="auto" w:fill="auto"/>
            <w:noWrap/>
            <w:vAlign w:val="bottom"/>
            <w:hideMark/>
          </w:tcPr>
          <w:p w14:paraId="72FCDD3F"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21.913,53</w:t>
            </w:r>
          </w:p>
        </w:tc>
        <w:tc>
          <w:tcPr>
            <w:tcW w:w="418" w:type="pct"/>
            <w:shd w:val="clear" w:color="auto" w:fill="auto"/>
            <w:noWrap/>
            <w:hideMark/>
          </w:tcPr>
          <w:p w14:paraId="69C0B73D"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479" w:type="pct"/>
            <w:shd w:val="clear" w:color="auto" w:fill="auto"/>
            <w:noWrap/>
            <w:vAlign w:val="bottom"/>
            <w:hideMark/>
          </w:tcPr>
          <w:p w14:paraId="21429B05"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84.706,06</w:t>
            </w:r>
          </w:p>
        </w:tc>
        <w:tc>
          <w:tcPr>
            <w:tcW w:w="418" w:type="pct"/>
            <w:shd w:val="clear" w:color="auto" w:fill="auto"/>
            <w:noWrap/>
            <w:vAlign w:val="bottom"/>
            <w:hideMark/>
          </w:tcPr>
          <w:p w14:paraId="1341CBF6"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1.163,00</w:t>
            </w:r>
          </w:p>
        </w:tc>
        <w:tc>
          <w:tcPr>
            <w:tcW w:w="479" w:type="pct"/>
            <w:shd w:val="clear" w:color="auto" w:fill="auto"/>
            <w:noWrap/>
            <w:vAlign w:val="bottom"/>
            <w:hideMark/>
          </w:tcPr>
          <w:p w14:paraId="5E3A583C"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2.941,71</w:t>
            </w:r>
          </w:p>
        </w:tc>
        <w:tc>
          <w:tcPr>
            <w:tcW w:w="419" w:type="pct"/>
            <w:shd w:val="clear" w:color="auto" w:fill="auto"/>
            <w:noWrap/>
            <w:hideMark/>
          </w:tcPr>
          <w:p w14:paraId="7F57D4A7"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418" w:type="pct"/>
            <w:shd w:val="clear" w:color="auto" w:fill="auto"/>
            <w:noWrap/>
            <w:hideMark/>
          </w:tcPr>
          <w:p w14:paraId="67860938"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419" w:type="pct"/>
            <w:shd w:val="clear" w:color="auto" w:fill="auto"/>
            <w:noWrap/>
            <w:hideMark/>
          </w:tcPr>
          <w:p w14:paraId="1C1CA19B"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588" w:type="pct"/>
            <w:shd w:val="clear" w:color="auto" w:fill="auto"/>
            <w:noWrap/>
            <w:hideMark/>
          </w:tcPr>
          <w:p w14:paraId="11707F3E"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111.637,30</w:t>
            </w:r>
          </w:p>
        </w:tc>
      </w:tr>
      <w:tr w:rsidR="005102CE" w:rsidRPr="00A63A0D" w14:paraId="52CC313C" w14:textId="77777777" w:rsidTr="005102CE">
        <w:trPr>
          <w:trHeight w:val="228"/>
        </w:trPr>
        <w:tc>
          <w:tcPr>
            <w:tcW w:w="521" w:type="pct"/>
            <w:shd w:val="clear" w:color="000000" w:fill="D9D9D9"/>
            <w:noWrap/>
            <w:hideMark/>
          </w:tcPr>
          <w:p w14:paraId="37FCB5D8" w14:textId="77777777" w:rsidR="00A247AF" w:rsidRPr="00A63A0D" w:rsidRDefault="00A247AF" w:rsidP="00A247AF">
            <w:pPr>
              <w:spacing w:after="0" w:line="240" w:lineRule="auto"/>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Uprava</w:t>
            </w:r>
          </w:p>
        </w:tc>
        <w:tc>
          <w:tcPr>
            <w:tcW w:w="361" w:type="pct"/>
            <w:shd w:val="clear" w:color="auto" w:fill="auto"/>
            <w:noWrap/>
            <w:vAlign w:val="bottom"/>
            <w:hideMark/>
          </w:tcPr>
          <w:p w14:paraId="74D8E0E1"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24,7</w:t>
            </w:r>
          </w:p>
        </w:tc>
        <w:tc>
          <w:tcPr>
            <w:tcW w:w="479" w:type="pct"/>
            <w:shd w:val="clear" w:color="auto" w:fill="auto"/>
            <w:noWrap/>
            <w:vAlign w:val="bottom"/>
            <w:hideMark/>
          </w:tcPr>
          <w:p w14:paraId="3F380788"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42.910,60</w:t>
            </w:r>
          </w:p>
        </w:tc>
        <w:tc>
          <w:tcPr>
            <w:tcW w:w="418" w:type="pct"/>
            <w:shd w:val="clear" w:color="auto" w:fill="auto"/>
            <w:noWrap/>
            <w:vAlign w:val="bottom"/>
            <w:hideMark/>
          </w:tcPr>
          <w:p w14:paraId="6385C68B"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5.050,41</w:t>
            </w:r>
          </w:p>
        </w:tc>
        <w:tc>
          <w:tcPr>
            <w:tcW w:w="479" w:type="pct"/>
            <w:shd w:val="clear" w:color="auto" w:fill="auto"/>
            <w:noWrap/>
            <w:vAlign w:val="bottom"/>
            <w:hideMark/>
          </w:tcPr>
          <w:p w14:paraId="1E1EB00B"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69.839,13</w:t>
            </w:r>
          </w:p>
        </w:tc>
        <w:tc>
          <w:tcPr>
            <w:tcW w:w="418" w:type="pct"/>
            <w:shd w:val="clear" w:color="auto" w:fill="auto"/>
            <w:noWrap/>
            <w:vAlign w:val="bottom"/>
            <w:hideMark/>
          </w:tcPr>
          <w:p w14:paraId="1A545EE7"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1.627,78</w:t>
            </w:r>
          </w:p>
        </w:tc>
        <w:tc>
          <w:tcPr>
            <w:tcW w:w="479" w:type="pct"/>
            <w:shd w:val="clear" w:color="auto" w:fill="auto"/>
            <w:noWrap/>
            <w:vAlign w:val="bottom"/>
            <w:hideMark/>
          </w:tcPr>
          <w:p w14:paraId="31C993A5"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6.165,34</w:t>
            </w:r>
          </w:p>
        </w:tc>
        <w:tc>
          <w:tcPr>
            <w:tcW w:w="419" w:type="pct"/>
            <w:shd w:val="clear" w:color="auto" w:fill="auto"/>
            <w:noWrap/>
            <w:hideMark/>
          </w:tcPr>
          <w:p w14:paraId="1D31DE9C"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418" w:type="pct"/>
            <w:shd w:val="clear" w:color="auto" w:fill="auto"/>
            <w:noWrap/>
            <w:vAlign w:val="bottom"/>
            <w:hideMark/>
          </w:tcPr>
          <w:p w14:paraId="1D35CCF5"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640,67</w:t>
            </w:r>
          </w:p>
        </w:tc>
        <w:tc>
          <w:tcPr>
            <w:tcW w:w="419" w:type="pct"/>
            <w:shd w:val="clear" w:color="auto" w:fill="auto"/>
            <w:noWrap/>
            <w:hideMark/>
          </w:tcPr>
          <w:p w14:paraId="34049504"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588" w:type="pct"/>
            <w:shd w:val="clear" w:color="auto" w:fill="auto"/>
            <w:noWrap/>
            <w:hideMark/>
          </w:tcPr>
          <w:p w14:paraId="2ED59545"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126.258,63</w:t>
            </w:r>
          </w:p>
        </w:tc>
      </w:tr>
      <w:tr w:rsidR="005102CE" w:rsidRPr="00A63A0D" w14:paraId="5FC41342" w14:textId="77777777" w:rsidTr="005102CE">
        <w:trPr>
          <w:trHeight w:val="228"/>
        </w:trPr>
        <w:tc>
          <w:tcPr>
            <w:tcW w:w="521" w:type="pct"/>
            <w:shd w:val="clear" w:color="000000" w:fill="D9D9D9"/>
            <w:noWrap/>
            <w:hideMark/>
          </w:tcPr>
          <w:p w14:paraId="7E89BB56" w14:textId="77777777" w:rsidR="00A247AF" w:rsidRPr="00A63A0D" w:rsidRDefault="00A247AF" w:rsidP="00A247AF">
            <w:pPr>
              <w:spacing w:after="0" w:line="240" w:lineRule="auto"/>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Sport</w:t>
            </w:r>
          </w:p>
        </w:tc>
        <w:tc>
          <w:tcPr>
            <w:tcW w:w="361" w:type="pct"/>
            <w:shd w:val="clear" w:color="auto" w:fill="auto"/>
            <w:noWrap/>
            <w:hideMark/>
          </w:tcPr>
          <w:p w14:paraId="04E4CBB4"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w:t>
            </w:r>
          </w:p>
        </w:tc>
        <w:tc>
          <w:tcPr>
            <w:tcW w:w="479" w:type="pct"/>
            <w:shd w:val="clear" w:color="auto" w:fill="auto"/>
            <w:noWrap/>
            <w:vAlign w:val="bottom"/>
            <w:hideMark/>
          </w:tcPr>
          <w:p w14:paraId="58677CCD"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41.490,28</w:t>
            </w:r>
          </w:p>
        </w:tc>
        <w:tc>
          <w:tcPr>
            <w:tcW w:w="418" w:type="pct"/>
            <w:shd w:val="clear" w:color="auto" w:fill="auto"/>
            <w:noWrap/>
            <w:hideMark/>
          </w:tcPr>
          <w:p w14:paraId="152B9818"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479" w:type="pct"/>
            <w:shd w:val="clear" w:color="auto" w:fill="auto"/>
            <w:noWrap/>
            <w:hideMark/>
          </w:tcPr>
          <w:p w14:paraId="44769F78"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4.542,81</w:t>
            </w:r>
          </w:p>
        </w:tc>
        <w:tc>
          <w:tcPr>
            <w:tcW w:w="418" w:type="pct"/>
            <w:shd w:val="clear" w:color="auto" w:fill="auto"/>
            <w:noWrap/>
            <w:vAlign w:val="bottom"/>
            <w:hideMark/>
          </w:tcPr>
          <w:p w14:paraId="15D094C4"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6.173,96</w:t>
            </w:r>
          </w:p>
        </w:tc>
        <w:tc>
          <w:tcPr>
            <w:tcW w:w="479" w:type="pct"/>
            <w:shd w:val="clear" w:color="auto" w:fill="auto"/>
            <w:noWrap/>
            <w:hideMark/>
          </w:tcPr>
          <w:p w14:paraId="7DE7D254"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419" w:type="pct"/>
            <w:shd w:val="clear" w:color="auto" w:fill="auto"/>
            <w:noWrap/>
            <w:hideMark/>
          </w:tcPr>
          <w:p w14:paraId="417CEA62"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418" w:type="pct"/>
            <w:shd w:val="clear" w:color="auto" w:fill="auto"/>
            <w:noWrap/>
            <w:hideMark/>
          </w:tcPr>
          <w:p w14:paraId="703893D4"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419" w:type="pct"/>
            <w:shd w:val="clear" w:color="auto" w:fill="auto"/>
            <w:noWrap/>
            <w:vAlign w:val="bottom"/>
            <w:hideMark/>
          </w:tcPr>
          <w:p w14:paraId="458C313D"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32.059,04</w:t>
            </w:r>
          </w:p>
        </w:tc>
        <w:tc>
          <w:tcPr>
            <w:tcW w:w="588" w:type="pct"/>
            <w:shd w:val="clear" w:color="auto" w:fill="auto"/>
            <w:noWrap/>
            <w:hideMark/>
          </w:tcPr>
          <w:p w14:paraId="2E49C981"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84.266,09</w:t>
            </w:r>
          </w:p>
        </w:tc>
      </w:tr>
      <w:tr w:rsidR="005102CE" w:rsidRPr="00A63A0D" w14:paraId="145E9B95" w14:textId="77777777" w:rsidTr="005102CE">
        <w:trPr>
          <w:trHeight w:val="228"/>
        </w:trPr>
        <w:tc>
          <w:tcPr>
            <w:tcW w:w="521" w:type="pct"/>
            <w:shd w:val="clear" w:color="000000" w:fill="D9D9D9"/>
            <w:noWrap/>
            <w:hideMark/>
          </w:tcPr>
          <w:p w14:paraId="0023AA11" w14:textId="77777777" w:rsidR="00A247AF" w:rsidRPr="00A63A0D" w:rsidRDefault="00A247AF" w:rsidP="00A247AF">
            <w:pPr>
              <w:spacing w:after="0" w:line="240" w:lineRule="auto"/>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Ostalo</w:t>
            </w:r>
          </w:p>
        </w:tc>
        <w:tc>
          <w:tcPr>
            <w:tcW w:w="361" w:type="pct"/>
            <w:shd w:val="clear" w:color="auto" w:fill="auto"/>
            <w:noWrap/>
            <w:hideMark/>
          </w:tcPr>
          <w:p w14:paraId="733FEE8B"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w:t>
            </w:r>
          </w:p>
        </w:tc>
        <w:tc>
          <w:tcPr>
            <w:tcW w:w="479" w:type="pct"/>
            <w:shd w:val="clear" w:color="auto" w:fill="auto"/>
            <w:noWrap/>
            <w:vAlign w:val="bottom"/>
            <w:hideMark/>
          </w:tcPr>
          <w:p w14:paraId="76AF3651"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w:t>
            </w:r>
          </w:p>
        </w:tc>
        <w:tc>
          <w:tcPr>
            <w:tcW w:w="418" w:type="pct"/>
            <w:shd w:val="clear" w:color="auto" w:fill="auto"/>
            <w:noWrap/>
            <w:hideMark/>
          </w:tcPr>
          <w:p w14:paraId="3AC3B856"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w:t>
            </w:r>
          </w:p>
        </w:tc>
        <w:tc>
          <w:tcPr>
            <w:tcW w:w="479" w:type="pct"/>
            <w:shd w:val="clear" w:color="auto" w:fill="auto"/>
            <w:noWrap/>
            <w:hideMark/>
          </w:tcPr>
          <w:p w14:paraId="01839F47"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868,98</w:t>
            </w:r>
          </w:p>
        </w:tc>
        <w:tc>
          <w:tcPr>
            <w:tcW w:w="418" w:type="pct"/>
            <w:shd w:val="clear" w:color="auto" w:fill="auto"/>
            <w:noWrap/>
            <w:vAlign w:val="bottom"/>
            <w:hideMark/>
          </w:tcPr>
          <w:p w14:paraId="318206B7"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50,00</w:t>
            </w:r>
          </w:p>
        </w:tc>
        <w:tc>
          <w:tcPr>
            <w:tcW w:w="479" w:type="pct"/>
            <w:shd w:val="clear" w:color="auto" w:fill="auto"/>
            <w:noWrap/>
            <w:hideMark/>
          </w:tcPr>
          <w:p w14:paraId="64485C7E"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3.500,00</w:t>
            </w:r>
          </w:p>
        </w:tc>
        <w:tc>
          <w:tcPr>
            <w:tcW w:w="419" w:type="pct"/>
            <w:shd w:val="clear" w:color="auto" w:fill="auto"/>
            <w:noWrap/>
            <w:hideMark/>
          </w:tcPr>
          <w:p w14:paraId="47113417"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418" w:type="pct"/>
            <w:shd w:val="clear" w:color="auto" w:fill="auto"/>
            <w:noWrap/>
            <w:hideMark/>
          </w:tcPr>
          <w:p w14:paraId="7A081E22"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419" w:type="pct"/>
            <w:shd w:val="clear" w:color="auto" w:fill="auto"/>
            <w:noWrap/>
            <w:vAlign w:val="bottom"/>
            <w:hideMark/>
          </w:tcPr>
          <w:p w14:paraId="2478FF01"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 </w:t>
            </w:r>
          </w:p>
        </w:tc>
        <w:tc>
          <w:tcPr>
            <w:tcW w:w="588" w:type="pct"/>
            <w:shd w:val="clear" w:color="auto" w:fill="auto"/>
            <w:noWrap/>
            <w:hideMark/>
          </w:tcPr>
          <w:p w14:paraId="50DB9E8E" w14:textId="77777777" w:rsidR="00A247AF" w:rsidRPr="00A63A0D" w:rsidRDefault="00A247AF" w:rsidP="00A247AF">
            <w:pPr>
              <w:spacing w:after="0" w:line="240" w:lineRule="auto"/>
              <w:jc w:val="center"/>
              <w:rPr>
                <w:rFonts w:ascii="Calibri" w:eastAsia="Times New Roman" w:hAnsi="Calibri" w:cs="Calibri"/>
                <w:sz w:val="16"/>
                <w:szCs w:val="16"/>
                <w:lang w:eastAsia="hr-HR"/>
              </w:rPr>
            </w:pPr>
            <w:r w:rsidRPr="00A63A0D">
              <w:rPr>
                <w:rFonts w:ascii="Calibri" w:eastAsia="Times New Roman" w:hAnsi="Calibri" w:cs="Calibri"/>
                <w:sz w:val="16"/>
                <w:szCs w:val="16"/>
                <w:lang w:eastAsia="hr-HR"/>
              </w:rPr>
              <w:t>4.418,98</w:t>
            </w:r>
          </w:p>
        </w:tc>
      </w:tr>
      <w:tr w:rsidR="005102CE" w:rsidRPr="00A63A0D" w14:paraId="526523F9" w14:textId="77777777" w:rsidTr="005102CE">
        <w:trPr>
          <w:trHeight w:val="228"/>
        </w:trPr>
        <w:tc>
          <w:tcPr>
            <w:tcW w:w="521" w:type="pct"/>
            <w:shd w:val="clear" w:color="000000" w:fill="D9D9D9"/>
            <w:noWrap/>
            <w:hideMark/>
          </w:tcPr>
          <w:p w14:paraId="0C836F7C" w14:textId="77777777" w:rsidR="00A247AF" w:rsidRPr="00A63A0D" w:rsidRDefault="00A247AF" w:rsidP="00A247AF">
            <w:pPr>
              <w:spacing w:after="0" w:line="240" w:lineRule="auto"/>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UKUPNO</w:t>
            </w:r>
          </w:p>
        </w:tc>
        <w:tc>
          <w:tcPr>
            <w:tcW w:w="361" w:type="pct"/>
            <w:shd w:val="clear" w:color="000000" w:fill="D9D9D9"/>
            <w:noWrap/>
            <w:hideMark/>
          </w:tcPr>
          <w:p w14:paraId="29589F0C"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937,70</w:t>
            </w:r>
          </w:p>
        </w:tc>
        <w:tc>
          <w:tcPr>
            <w:tcW w:w="479" w:type="pct"/>
            <w:shd w:val="clear" w:color="000000" w:fill="D9D9D9"/>
            <w:noWrap/>
            <w:hideMark/>
          </w:tcPr>
          <w:p w14:paraId="47DA4F46"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493.845,42</w:t>
            </w:r>
          </w:p>
        </w:tc>
        <w:tc>
          <w:tcPr>
            <w:tcW w:w="418" w:type="pct"/>
            <w:shd w:val="clear" w:color="000000" w:fill="D9D9D9"/>
            <w:noWrap/>
            <w:hideMark/>
          </w:tcPr>
          <w:p w14:paraId="1D2007F3"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77.412,77</w:t>
            </w:r>
          </w:p>
        </w:tc>
        <w:tc>
          <w:tcPr>
            <w:tcW w:w="479" w:type="pct"/>
            <w:shd w:val="clear" w:color="000000" w:fill="D9D9D9"/>
            <w:noWrap/>
            <w:hideMark/>
          </w:tcPr>
          <w:p w14:paraId="70DDAEBF"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659.949,34</w:t>
            </w:r>
          </w:p>
        </w:tc>
        <w:tc>
          <w:tcPr>
            <w:tcW w:w="418" w:type="pct"/>
            <w:shd w:val="clear" w:color="000000" w:fill="D9D9D9"/>
            <w:noWrap/>
            <w:hideMark/>
          </w:tcPr>
          <w:p w14:paraId="0385BB71"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10.208,61</w:t>
            </w:r>
          </w:p>
        </w:tc>
        <w:tc>
          <w:tcPr>
            <w:tcW w:w="479" w:type="pct"/>
            <w:shd w:val="clear" w:color="000000" w:fill="D9D9D9"/>
            <w:noWrap/>
            <w:hideMark/>
          </w:tcPr>
          <w:p w14:paraId="3C74A0D0"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210.585,37</w:t>
            </w:r>
          </w:p>
        </w:tc>
        <w:tc>
          <w:tcPr>
            <w:tcW w:w="419" w:type="pct"/>
            <w:shd w:val="clear" w:color="000000" w:fill="D9D9D9"/>
            <w:noWrap/>
            <w:hideMark/>
          </w:tcPr>
          <w:p w14:paraId="614A1F55"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2.521,02</w:t>
            </w:r>
          </w:p>
        </w:tc>
        <w:tc>
          <w:tcPr>
            <w:tcW w:w="418" w:type="pct"/>
            <w:shd w:val="clear" w:color="000000" w:fill="D9D9D9"/>
            <w:noWrap/>
            <w:hideMark/>
          </w:tcPr>
          <w:p w14:paraId="73A0DC90"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4.143,67</w:t>
            </w:r>
          </w:p>
        </w:tc>
        <w:tc>
          <w:tcPr>
            <w:tcW w:w="419" w:type="pct"/>
            <w:shd w:val="clear" w:color="000000" w:fill="D9D9D9"/>
            <w:noWrap/>
            <w:hideMark/>
          </w:tcPr>
          <w:p w14:paraId="7D3A7499"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32.059,04</w:t>
            </w:r>
          </w:p>
        </w:tc>
        <w:tc>
          <w:tcPr>
            <w:tcW w:w="588" w:type="pct"/>
            <w:shd w:val="clear" w:color="000000" w:fill="D9D9D9"/>
            <w:noWrap/>
            <w:hideMark/>
          </w:tcPr>
          <w:p w14:paraId="46980E30" w14:textId="77777777" w:rsidR="00A247AF" w:rsidRPr="00A63A0D" w:rsidRDefault="00A247AF" w:rsidP="00A247AF">
            <w:pPr>
              <w:spacing w:after="0" w:line="240" w:lineRule="auto"/>
              <w:jc w:val="center"/>
              <w:rPr>
                <w:rFonts w:ascii="Calibri" w:eastAsia="Times New Roman" w:hAnsi="Calibri" w:cs="Calibri"/>
                <w:b/>
                <w:bCs/>
                <w:sz w:val="16"/>
                <w:szCs w:val="16"/>
                <w:lang w:eastAsia="hr-HR"/>
              </w:rPr>
            </w:pPr>
            <w:r w:rsidRPr="00A63A0D">
              <w:rPr>
                <w:rFonts w:ascii="Calibri" w:eastAsia="Times New Roman" w:hAnsi="Calibri" w:cs="Calibri"/>
                <w:b/>
                <w:bCs/>
                <w:sz w:val="16"/>
                <w:szCs w:val="16"/>
                <w:lang w:eastAsia="hr-HR"/>
              </w:rPr>
              <w:t>1.491.662,94</w:t>
            </w:r>
          </w:p>
        </w:tc>
      </w:tr>
    </w:tbl>
    <w:p w14:paraId="2BE41C22" w14:textId="4FD54AA0" w:rsidR="00884361" w:rsidRPr="00180DAE" w:rsidRDefault="00884361" w:rsidP="00E92750">
      <w:pPr>
        <w:spacing w:before="240" w:line="240" w:lineRule="auto"/>
        <w:jc w:val="both"/>
        <w:rPr>
          <w:rFonts w:ascii="Calibri" w:eastAsia="Times New Roman" w:hAnsi="Calibri" w:cs="Calibri"/>
          <w:color w:val="000000"/>
          <w:lang w:eastAsia="hr-HR"/>
        </w:rPr>
      </w:pPr>
      <w:r w:rsidRPr="00180DAE">
        <w:rPr>
          <w:rFonts w:ascii="Calibri" w:eastAsia="Times New Roman" w:hAnsi="Calibri" w:cs="Calibri"/>
          <w:color w:val="000000"/>
          <w:lang w:eastAsia="hr-HR"/>
        </w:rPr>
        <w:t>Na osnovu provedene analize zastupljenosti pojedinog energenta za grijanje prostora prema grijanoj površini</w:t>
      </w:r>
      <w:r w:rsidR="00D12269" w:rsidRPr="00180DAE">
        <w:rPr>
          <w:rFonts w:ascii="Calibri" w:eastAsia="Times New Roman" w:hAnsi="Calibri" w:cs="Calibri"/>
          <w:color w:val="000000"/>
          <w:lang w:eastAsia="hr-HR"/>
        </w:rPr>
        <w:t xml:space="preserve"> u</w:t>
      </w:r>
      <w:r w:rsidR="00180DAE" w:rsidRPr="00180DAE">
        <w:rPr>
          <w:rFonts w:ascii="Calibri" w:eastAsia="Times New Roman" w:hAnsi="Calibri" w:cs="Calibri"/>
          <w:color w:val="000000"/>
          <w:lang w:eastAsia="hr-HR"/>
        </w:rPr>
        <w:t xml:space="preserve"> </w:t>
      </w:r>
      <w:r w:rsidR="00D12269" w:rsidRPr="00180DAE">
        <w:rPr>
          <w:rFonts w:ascii="Calibri" w:eastAsia="Times New Roman" w:hAnsi="Calibri" w:cs="Calibri"/>
          <w:color w:val="000000"/>
          <w:lang w:eastAsia="hr-HR"/>
        </w:rPr>
        <w:t xml:space="preserve">2015. godini </w:t>
      </w:r>
      <w:r w:rsidR="00A247AF">
        <w:rPr>
          <w:rFonts w:ascii="Calibri" w:eastAsia="Times New Roman" w:hAnsi="Calibri" w:cs="Calibri"/>
          <w:color w:val="000000"/>
          <w:lang w:eastAsia="hr-HR"/>
        </w:rPr>
        <w:t xml:space="preserve">možemo zaključiti da </w:t>
      </w:r>
      <w:r w:rsidR="00170A87">
        <w:rPr>
          <w:rFonts w:ascii="Calibri" w:eastAsia="Times New Roman" w:hAnsi="Calibri" w:cs="Calibri"/>
          <w:color w:val="000000"/>
          <w:lang w:eastAsia="hr-HR"/>
        </w:rPr>
        <w:t xml:space="preserve">je najveći dio površine </w:t>
      </w:r>
      <w:r w:rsidR="00A247AF">
        <w:rPr>
          <w:rFonts w:ascii="Calibri" w:eastAsia="Times New Roman" w:hAnsi="Calibri" w:cs="Calibri"/>
          <w:color w:val="000000"/>
          <w:lang w:eastAsia="hr-HR"/>
        </w:rPr>
        <w:t>44,24</w:t>
      </w:r>
      <w:r w:rsidRPr="00180DAE">
        <w:rPr>
          <w:rFonts w:ascii="Calibri" w:eastAsia="Times New Roman" w:hAnsi="Calibri" w:cs="Calibri"/>
          <w:color w:val="000000"/>
          <w:lang w:eastAsia="hr-HR"/>
        </w:rPr>
        <w:t xml:space="preserve">% </w:t>
      </w:r>
      <w:r w:rsidR="00170A87">
        <w:rPr>
          <w:rFonts w:ascii="Calibri" w:eastAsia="Times New Roman" w:hAnsi="Calibri" w:cs="Calibri"/>
          <w:color w:val="000000"/>
          <w:lang w:eastAsia="hr-HR"/>
        </w:rPr>
        <w:t>grijan</w:t>
      </w:r>
      <w:r w:rsidRPr="00180DAE">
        <w:rPr>
          <w:rFonts w:ascii="Calibri" w:eastAsia="Times New Roman" w:hAnsi="Calibri" w:cs="Calibri"/>
          <w:color w:val="000000"/>
          <w:lang w:eastAsia="hr-HR"/>
        </w:rPr>
        <w:t xml:space="preserve"> na prirodni plin, dok je najmanji udio grijane površine na UNP odnosno, 0,17%.</w:t>
      </w:r>
    </w:p>
    <w:p w14:paraId="31B0B35C" w14:textId="3030AD21" w:rsidR="005111E7" w:rsidRPr="007C7920" w:rsidRDefault="00A247AF" w:rsidP="00E92750">
      <w:pPr>
        <w:spacing w:after="0" w:line="240" w:lineRule="auto"/>
        <w:jc w:val="center"/>
        <w:rPr>
          <w:noProof/>
          <w:highlight w:val="yellow"/>
          <w:lang w:eastAsia="hr-HR"/>
        </w:rPr>
      </w:pPr>
      <w:r>
        <w:rPr>
          <w:noProof/>
          <w:lang w:eastAsia="hr-HR"/>
        </w:rPr>
        <w:drawing>
          <wp:inline distT="0" distB="0" distL="0" distR="0" wp14:anchorId="566E9CE2" wp14:editId="5768A2EA">
            <wp:extent cx="4572000" cy="2914650"/>
            <wp:effectExtent l="0" t="0" r="0" b="0"/>
            <wp:docPr id="144" name="Chart 144">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E39274" w14:textId="3FEC4620" w:rsidR="005111E7" w:rsidRPr="00180DAE" w:rsidRDefault="007919FC" w:rsidP="00E92750">
      <w:pPr>
        <w:spacing w:after="0" w:line="240" w:lineRule="auto"/>
        <w:jc w:val="center"/>
        <w:rPr>
          <w:color w:val="FF0000"/>
        </w:rPr>
      </w:pPr>
      <w:bookmarkStart w:id="99" w:name="_Toc468277422"/>
      <w:r w:rsidRPr="00180DAE">
        <w:rPr>
          <w:b/>
        </w:rPr>
        <w:t xml:space="preserve">Slika </w:t>
      </w:r>
      <w:r w:rsidRPr="00180DAE">
        <w:rPr>
          <w:b/>
        </w:rPr>
        <w:fldChar w:fldCharType="begin"/>
      </w:r>
      <w:r w:rsidRPr="00180DAE">
        <w:rPr>
          <w:b/>
        </w:rPr>
        <w:instrText xml:space="preserve"> STYLEREF 1 \s </w:instrText>
      </w:r>
      <w:r w:rsidRPr="00180DAE">
        <w:rPr>
          <w:b/>
        </w:rPr>
        <w:fldChar w:fldCharType="separate"/>
      </w:r>
      <w:r w:rsidR="009C319B">
        <w:rPr>
          <w:b/>
          <w:noProof/>
        </w:rPr>
        <w:t>4</w:t>
      </w:r>
      <w:r w:rsidRPr="00180DAE">
        <w:rPr>
          <w:b/>
          <w:noProof/>
        </w:rPr>
        <w:fldChar w:fldCharType="end"/>
      </w:r>
      <w:r w:rsidRPr="00180DAE">
        <w:rPr>
          <w:b/>
        </w:rPr>
        <w:t>.</w:t>
      </w:r>
      <w:r w:rsidRPr="00180DAE">
        <w:rPr>
          <w:b/>
        </w:rPr>
        <w:fldChar w:fldCharType="begin"/>
      </w:r>
      <w:r w:rsidRPr="00180DAE">
        <w:rPr>
          <w:b/>
        </w:rPr>
        <w:instrText xml:space="preserve"> SEQ Slika \* ARABIC \s 1 </w:instrText>
      </w:r>
      <w:r w:rsidRPr="00180DAE">
        <w:rPr>
          <w:b/>
        </w:rPr>
        <w:fldChar w:fldCharType="separate"/>
      </w:r>
      <w:r w:rsidR="009C319B">
        <w:rPr>
          <w:b/>
          <w:noProof/>
        </w:rPr>
        <w:t>18</w:t>
      </w:r>
      <w:r w:rsidRPr="00180DAE">
        <w:rPr>
          <w:b/>
          <w:noProof/>
        </w:rPr>
        <w:fldChar w:fldCharType="end"/>
      </w:r>
      <w:r w:rsidRPr="00180DAE">
        <w:rPr>
          <w:b/>
          <w:noProof/>
        </w:rPr>
        <w:t xml:space="preserve"> </w:t>
      </w:r>
      <w:r w:rsidRPr="00180DAE">
        <w:rPr>
          <w:bCs/>
        </w:rPr>
        <w:t xml:space="preserve">Zastupljenost pojedinog energenta za grijanje </w:t>
      </w:r>
      <w:r w:rsidR="002F4C09" w:rsidRPr="00180DAE">
        <w:rPr>
          <w:bCs/>
        </w:rPr>
        <w:t>prostora u 2015. godini</w:t>
      </w:r>
      <w:r w:rsidRPr="00180DAE">
        <w:rPr>
          <w:bCs/>
        </w:rPr>
        <w:t xml:space="preserve"> prema grijanoj površini</w:t>
      </w:r>
      <w:bookmarkEnd w:id="99"/>
      <w:r w:rsidR="003721FB" w:rsidRPr="00180DAE">
        <w:rPr>
          <w:bCs/>
        </w:rPr>
        <w:t xml:space="preserve"> </w:t>
      </w:r>
    </w:p>
    <w:p w14:paraId="4A76308D" w14:textId="77777777" w:rsidR="005111E7" w:rsidRPr="007C7920" w:rsidRDefault="005111E7" w:rsidP="00E92750">
      <w:pPr>
        <w:spacing w:line="240" w:lineRule="auto"/>
        <w:jc w:val="both"/>
        <w:rPr>
          <w:color w:val="FF0000"/>
          <w:highlight w:val="yellow"/>
        </w:rPr>
      </w:pPr>
    </w:p>
    <w:p w14:paraId="333164D8" w14:textId="77777777" w:rsidR="005111E7" w:rsidRPr="007C7920" w:rsidRDefault="005111E7" w:rsidP="00E92750">
      <w:pPr>
        <w:spacing w:line="240" w:lineRule="auto"/>
        <w:jc w:val="both"/>
        <w:rPr>
          <w:color w:val="FF0000"/>
          <w:highlight w:val="yellow"/>
        </w:rPr>
      </w:pPr>
    </w:p>
    <w:p w14:paraId="08F68139" w14:textId="77777777" w:rsidR="005111E7" w:rsidRPr="007C7920" w:rsidRDefault="005111E7" w:rsidP="00E92750">
      <w:pPr>
        <w:spacing w:line="240" w:lineRule="auto"/>
        <w:jc w:val="both"/>
        <w:rPr>
          <w:color w:val="FF0000"/>
          <w:highlight w:val="yellow"/>
        </w:rPr>
      </w:pPr>
    </w:p>
    <w:p w14:paraId="73C81782" w14:textId="77777777" w:rsidR="005111E7" w:rsidRPr="007C7920" w:rsidRDefault="005111E7" w:rsidP="00E92750">
      <w:pPr>
        <w:spacing w:line="240" w:lineRule="auto"/>
        <w:jc w:val="both"/>
        <w:rPr>
          <w:color w:val="FF0000"/>
          <w:highlight w:val="yellow"/>
        </w:rPr>
      </w:pPr>
    </w:p>
    <w:p w14:paraId="5E3AD215" w14:textId="5652EAB9" w:rsidR="005111E7" w:rsidRDefault="005111E7" w:rsidP="00E92750">
      <w:pPr>
        <w:spacing w:line="240" w:lineRule="auto"/>
        <w:jc w:val="both"/>
        <w:rPr>
          <w:color w:val="FF0000"/>
          <w:highlight w:val="yellow"/>
        </w:rPr>
      </w:pPr>
    </w:p>
    <w:p w14:paraId="4603B018" w14:textId="77777777" w:rsidR="005102CE" w:rsidRPr="007C7920" w:rsidRDefault="005102CE" w:rsidP="00E92750">
      <w:pPr>
        <w:spacing w:line="240" w:lineRule="auto"/>
        <w:jc w:val="both"/>
        <w:rPr>
          <w:color w:val="FF0000"/>
          <w:highlight w:val="yellow"/>
        </w:rPr>
      </w:pPr>
    </w:p>
    <w:p w14:paraId="7ED9F2D8" w14:textId="359FBCCF" w:rsidR="006F69D7" w:rsidRPr="00FB6CFB" w:rsidRDefault="006F69D7" w:rsidP="00E92750">
      <w:pPr>
        <w:spacing w:line="240" w:lineRule="auto"/>
        <w:jc w:val="both"/>
        <w:rPr>
          <w:bCs/>
        </w:rPr>
      </w:pPr>
      <w:r w:rsidRPr="00FB6CFB">
        <w:rPr>
          <w:bCs/>
        </w:rPr>
        <w:lastRenderedPageBreak/>
        <w:t>Nadalje,</w:t>
      </w:r>
      <w:r w:rsidR="00C45686" w:rsidRPr="00FB6CFB">
        <w:rPr>
          <w:bCs/>
        </w:rPr>
        <w:t xml:space="preserve"> izračunata je i </w:t>
      </w:r>
      <w:r w:rsidRPr="00FB6CFB">
        <w:rPr>
          <w:bCs/>
        </w:rPr>
        <w:t>specifična</w:t>
      </w:r>
      <w:r w:rsidR="00C45686" w:rsidRPr="00FB6CFB">
        <w:rPr>
          <w:bCs/>
        </w:rPr>
        <w:t xml:space="preserve"> korisna energija za grijanje</w:t>
      </w:r>
      <w:r w:rsidRPr="00FB6CFB">
        <w:rPr>
          <w:bCs/>
        </w:rPr>
        <w:t xml:space="preserve"> (kWh/m</w:t>
      </w:r>
      <w:r w:rsidRPr="00FB6CFB">
        <w:rPr>
          <w:bCs/>
          <w:vertAlign w:val="superscript"/>
        </w:rPr>
        <w:t>2</w:t>
      </w:r>
      <w:r w:rsidRPr="00FB6CFB">
        <w:rPr>
          <w:bCs/>
        </w:rPr>
        <w:t xml:space="preserve">) </w:t>
      </w:r>
      <w:r w:rsidR="00C45686" w:rsidRPr="00FB6CFB">
        <w:rPr>
          <w:bCs/>
        </w:rPr>
        <w:t>prema podkategoriji zgrada</w:t>
      </w:r>
      <w:r w:rsidR="007625B8" w:rsidRPr="00FB6CFB">
        <w:rPr>
          <w:bCs/>
        </w:rPr>
        <w:t xml:space="preserve"> u vlasništvu Grada Zagreba i prema pojedinom energentu za grijanje.</w:t>
      </w:r>
      <w:r w:rsidR="007E1C27" w:rsidRPr="00FB6CFB">
        <w:rPr>
          <w:bCs/>
        </w:rPr>
        <w:t xml:space="preserve"> Prikaz rezultata specifične korisne energije za grijanje (kWh/m</w:t>
      </w:r>
      <w:r w:rsidR="007E1C27" w:rsidRPr="00FB6CFB">
        <w:rPr>
          <w:bCs/>
          <w:vertAlign w:val="superscript"/>
        </w:rPr>
        <w:t>2</w:t>
      </w:r>
      <w:r w:rsidR="007E1C27" w:rsidRPr="00FB6CFB">
        <w:rPr>
          <w:bCs/>
        </w:rPr>
        <w:t xml:space="preserve">) prema podkategoriji zgrada u vlasništvu Grada Zagreba </w:t>
      </w:r>
      <w:r w:rsidR="00340080" w:rsidRPr="00FB6CFB">
        <w:rPr>
          <w:bCs/>
        </w:rPr>
        <w:t xml:space="preserve">u 2015. godini </w:t>
      </w:r>
      <w:r w:rsidR="007E1C27" w:rsidRPr="00FB6CFB">
        <w:rPr>
          <w:bCs/>
        </w:rPr>
        <w:t xml:space="preserve">dan je na </w:t>
      </w:r>
      <w:r w:rsidR="007E1C27" w:rsidRPr="00FB6CFB">
        <w:rPr>
          <w:bCs/>
        </w:rPr>
        <w:fldChar w:fldCharType="begin"/>
      </w:r>
      <w:r w:rsidR="007E1C27" w:rsidRPr="00FB6CFB">
        <w:rPr>
          <w:bCs/>
        </w:rPr>
        <w:instrText xml:space="preserve"> REF _Ref465089626 \h </w:instrText>
      </w:r>
      <w:r w:rsidR="007C7920" w:rsidRPr="00FB6CFB">
        <w:rPr>
          <w:bCs/>
        </w:rPr>
        <w:instrText xml:space="preserve"> \* MERGEFORMAT </w:instrText>
      </w:r>
      <w:r w:rsidR="007E1C27" w:rsidRPr="00FB6CFB">
        <w:rPr>
          <w:bCs/>
        </w:rPr>
      </w:r>
      <w:r w:rsidR="007E1C27" w:rsidRPr="00FB6CFB">
        <w:rPr>
          <w:bCs/>
        </w:rPr>
        <w:fldChar w:fldCharType="separate"/>
      </w:r>
      <w:r w:rsidR="005102CE">
        <w:rPr>
          <w:b/>
        </w:rPr>
        <w:t>Slici</w:t>
      </w:r>
      <w:r w:rsidR="009C319B" w:rsidRPr="00FB6CFB">
        <w:rPr>
          <w:b/>
        </w:rPr>
        <w:t xml:space="preserve"> </w:t>
      </w:r>
      <w:r w:rsidR="009C319B">
        <w:rPr>
          <w:b/>
          <w:noProof/>
        </w:rPr>
        <w:t>4</w:t>
      </w:r>
      <w:r w:rsidR="009C319B" w:rsidRPr="00FB6CFB">
        <w:rPr>
          <w:b/>
          <w:noProof/>
        </w:rPr>
        <w:t>.</w:t>
      </w:r>
      <w:r w:rsidR="009C319B">
        <w:rPr>
          <w:b/>
          <w:noProof/>
        </w:rPr>
        <w:t>19</w:t>
      </w:r>
      <w:r w:rsidR="007E1C27" w:rsidRPr="00FB6CFB">
        <w:rPr>
          <w:bCs/>
        </w:rPr>
        <w:fldChar w:fldCharType="end"/>
      </w:r>
      <w:r w:rsidR="007E1C27" w:rsidRPr="00FB6CFB">
        <w:rPr>
          <w:bCs/>
        </w:rPr>
        <w:t>.</w:t>
      </w:r>
    </w:p>
    <w:p w14:paraId="7A053867" w14:textId="7FA45628" w:rsidR="006E61C3" w:rsidRDefault="00C8710F" w:rsidP="00E92750">
      <w:pPr>
        <w:spacing w:after="0" w:line="240" w:lineRule="auto"/>
        <w:jc w:val="center"/>
        <w:rPr>
          <w:noProof/>
          <w:lang w:eastAsia="hr-HR"/>
        </w:rPr>
      </w:pPr>
      <w:r>
        <w:rPr>
          <w:noProof/>
          <w:lang w:eastAsia="hr-HR"/>
        </w:rPr>
        <w:drawing>
          <wp:inline distT="0" distB="0" distL="0" distR="0" wp14:anchorId="5E8A39A9" wp14:editId="0B2042B8">
            <wp:extent cx="5686425" cy="3429000"/>
            <wp:effectExtent l="0" t="0" r="0" b="0"/>
            <wp:docPr id="24" name="Chart 24">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51B9FC" w14:textId="427F6D68" w:rsidR="006E61C3" w:rsidRPr="00FB6CFB" w:rsidRDefault="006E61C3" w:rsidP="00E92750">
      <w:pPr>
        <w:spacing w:line="240" w:lineRule="auto"/>
        <w:jc w:val="center"/>
        <w:rPr>
          <w:bCs/>
        </w:rPr>
      </w:pPr>
      <w:bookmarkStart w:id="100" w:name="_Ref465089626"/>
      <w:bookmarkStart w:id="101" w:name="_Toc468277423"/>
      <w:r w:rsidRPr="00FB6CFB">
        <w:rPr>
          <w:b/>
        </w:rPr>
        <w:t xml:space="preserve">Slika </w:t>
      </w:r>
      <w:r w:rsidRPr="00FB6CFB">
        <w:rPr>
          <w:b/>
        </w:rPr>
        <w:fldChar w:fldCharType="begin"/>
      </w:r>
      <w:r w:rsidRPr="00FB6CFB">
        <w:rPr>
          <w:b/>
        </w:rPr>
        <w:instrText xml:space="preserve"> STYLEREF 1 \s </w:instrText>
      </w:r>
      <w:r w:rsidRPr="00FB6CFB">
        <w:rPr>
          <w:b/>
        </w:rPr>
        <w:fldChar w:fldCharType="separate"/>
      </w:r>
      <w:r w:rsidR="009C319B">
        <w:rPr>
          <w:b/>
          <w:noProof/>
        </w:rPr>
        <w:t>4</w:t>
      </w:r>
      <w:r w:rsidRPr="00FB6CFB">
        <w:rPr>
          <w:b/>
          <w:noProof/>
        </w:rPr>
        <w:fldChar w:fldCharType="end"/>
      </w:r>
      <w:r w:rsidRPr="00FB6CFB">
        <w:rPr>
          <w:b/>
        </w:rPr>
        <w:t>.</w:t>
      </w:r>
      <w:r w:rsidRPr="00FB6CFB">
        <w:rPr>
          <w:b/>
        </w:rPr>
        <w:fldChar w:fldCharType="begin"/>
      </w:r>
      <w:r w:rsidRPr="00FB6CFB">
        <w:rPr>
          <w:b/>
        </w:rPr>
        <w:instrText xml:space="preserve"> SEQ Slika \* ARABIC \s 1 </w:instrText>
      </w:r>
      <w:r w:rsidRPr="00FB6CFB">
        <w:rPr>
          <w:b/>
        </w:rPr>
        <w:fldChar w:fldCharType="separate"/>
      </w:r>
      <w:r w:rsidR="009C319B">
        <w:rPr>
          <w:b/>
          <w:noProof/>
        </w:rPr>
        <w:t>19</w:t>
      </w:r>
      <w:r w:rsidRPr="00FB6CFB">
        <w:rPr>
          <w:b/>
          <w:noProof/>
        </w:rPr>
        <w:fldChar w:fldCharType="end"/>
      </w:r>
      <w:bookmarkEnd w:id="100"/>
      <w:r w:rsidRPr="00FB6CFB">
        <w:rPr>
          <w:b/>
          <w:noProof/>
        </w:rPr>
        <w:t xml:space="preserve"> </w:t>
      </w:r>
      <w:r w:rsidR="007625B8" w:rsidRPr="00FB6CFB">
        <w:rPr>
          <w:noProof/>
        </w:rPr>
        <w:t>Us</w:t>
      </w:r>
      <w:r w:rsidR="007E1C27" w:rsidRPr="00FB6CFB">
        <w:rPr>
          <w:noProof/>
        </w:rPr>
        <w:t>poredba specifične korisne</w:t>
      </w:r>
      <w:r w:rsidR="00383199" w:rsidRPr="00FB6CFB">
        <w:rPr>
          <w:noProof/>
        </w:rPr>
        <w:t xml:space="preserve"> energije</w:t>
      </w:r>
      <w:r w:rsidR="007E1C27" w:rsidRPr="00FB6CFB">
        <w:rPr>
          <w:noProof/>
        </w:rPr>
        <w:t xml:space="preserve"> za grijanje</w:t>
      </w:r>
      <w:r w:rsidR="00340080" w:rsidRPr="00FB6CFB">
        <w:rPr>
          <w:noProof/>
        </w:rPr>
        <w:t xml:space="preserve"> prema </w:t>
      </w:r>
      <w:r w:rsidRPr="00FB6CFB">
        <w:rPr>
          <w:noProof/>
        </w:rPr>
        <w:t>podkategorijama zgrada u vlasništvu Grada Zagreba</w:t>
      </w:r>
      <w:r w:rsidR="00340080" w:rsidRPr="00FB6CFB">
        <w:rPr>
          <w:noProof/>
        </w:rPr>
        <w:t xml:space="preserve"> u 2015. godini</w:t>
      </w:r>
      <w:bookmarkEnd w:id="101"/>
    </w:p>
    <w:p w14:paraId="0906A843" w14:textId="740E8E99" w:rsidR="00C8710F" w:rsidRDefault="006E61C3" w:rsidP="00C8710F">
      <w:pPr>
        <w:spacing w:line="240" w:lineRule="auto"/>
        <w:jc w:val="both"/>
        <w:rPr>
          <w:bCs/>
        </w:rPr>
      </w:pPr>
      <w:r w:rsidRPr="00FB6CFB">
        <w:rPr>
          <w:bCs/>
        </w:rPr>
        <w:t>Gledajući dobivene rezultate, može se zaključiti da je</w:t>
      </w:r>
      <w:r w:rsidR="00383199" w:rsidRPr="00FB6CFB">
        <w:rPr>
          <w:bCs/>
        </w:rPr>
        <w:t xml:space="preserve"> specifična potrošnja korisne energije za grijanje u</w:t>
      </w:r>
      <w:r w:rsidRPr="00FB6CFB">
        <w:rPr>
          <w:bCs/>
        </w:rPr>
        <w:t xml:space="preserve"> </w:t>
      </w:r>
      <w:r w:rsidR="0026016D">
        <w:rPr>
          <w:bCs/>
        </w:rPr>
        <w:t>o</w:t>
      </w:r>
      <w:r w:rsidR="00170A87">
        <w:rPr>
          <w:bCs/>
        </w:rPr>
        <w:t>s</w:t>
      </w:r>
      <w:r w:rsidR="0026016D">
        <w:rPr>
          <w:bCs/>
        </w:rPr>
        <w:t>talim objektima od 343,02</w:t>
      </w:r>
      <w:r w:rsidR="00383199" w:rsidRPr="00FB6CFB">
        <w:rPr>
          <w:bCs/>
        </w:rPr>
        <w:t xml:space="preserve"> kWh/m</w:t>
      </w:r>
      <w:r w:rsidR="00383199" w:rsidRPr="00FB6CFB">
        <w:rPr>
          <w:bCs/>
          <w:vertAlign w:val="superscript"/>
        </w:rPr>
        <w:t>2</w:t>
      </w:r>
      <w:r w:rsidRPr="00FB6CFB">
        <w:rPr>
          <w:bCs/>
        </w:rPr>
        <w:t xml:space="preserve"> </w:t>
      </w:r>
      <w:r w:rsidR="00FB6CFB" w:rsidRPr="00FB6CFB">
        <w:rPr>
          <w:bCs/>
        </w:rPr>
        <w:t xml:space="preserve">i </w:t>
      </w:r>
      <w:r w:rsidRPr="00FB6CFB">
        <w:rPr>
          <w:bCs/>
        </w:rPr>
        <w:t>više nego dvostruko veća u u</w:t>
      </w:r>
      <w:r w:rsidR="00383199" w:rsidRPr="00FB6CFB">
        <w:rPr>
          <w:bCs/>
        </w:rPr>
        <w:t xml:space="preserve">sporedbi s potrošnjom </w:t>
      </w:r>
      <w:r w:rsidR="00170A87">
        <w:rPr>
          <w:bCs/>
        </w:rPr>
        <w:t>u objektima obrazovnih ustanova</w:t>
      </w:r>
      <w:r w:rsidR="00383199" w:rsidRPr="00FB6CFB">
        <w:rPr>
          <w:bCs/>
        </w:rPr>
        <w:t xml:space="preserve"> od 155</w:t>
      </w:r>
      <w:r w:rsidR="007E1C27" w:rsidRPr="00FB6CFB">
        <w:rPr>
          <w:bCs/>
        </w:rPr>
        <w:t>,95</w:t>
      </w:r>
      <w:r w:rsidR="00383199" w:rsidRPr="00FB6CFB">
        <w:rPr>
          <w:bCs/>
        </w:rPr>
        <w:t xml:space="preserve"> kWh/m</w:t>
      </w:r>
      <w:r w:rsidR="00383199" w:rsidRPr="00FB6CFB">
        <w:rPr>
          <w:bCs/>
          <w:vertAlign w:val="superscript"/>
        </w:rPr>
        <w:t>2</w:t>
      </w:r>
      <w:r w:rsidRPr="00FB6CFB">
        <w:rPr>
          <w:bCs/>
        </w:rPr>
        <w:t>.</w:t>
      </w:r>
      <w:r w:rsidR="007E1C27" w:rsidRPr="00FB6CFB">
        <w:rPr>
          <w:bCs/>
        </w:rPr>
        <w:t xml:space="preserve"> Dobiveni rezultati su očekivani s obzirom na namjenu i korištenje objekata.</w:t>
      </w:r>
      <w:r w:rsidR="00C8710F">
        <w:rPr>
          <w:bCs/>
        </w:rPr>
        <w:br w:type="page"/>
      </w:r>
    </w:p>
    <w:p w14:paraId="31CBEA6B" w14:textId="64052E72" w:rsidR="002B6EE1" w:rsidRPr="00FB6CFB" w:rsidRDefault="007E1C27" w:rsidP="006320E3">
      <w:pPr>
        <w:spacing w:line="240" w:lineRule="auto"/>
        <w:jc w:val="both"/>
        <w:rPr>
          <w:bCs/>
        </w:rPr>
      </w:pPr>
      <w:r w:rsidRPr="00FB6CFB">
        <w:lastRenderedPageBreak/>
        <w:t xml:space="preserve">Prikaz </w:t>
      </w:r>
      <w:r w:rsidRPr="00FB6CFB">
        <w:rPr>
          <w:bCs/>
        </w:rPr>
        <w:t>rezultata specifične korisne energije za grijanje (kWh/m</w:t>
      </w:r>
      <w:r w:rsidRPr="00FB6CFB">
        <w:rPr>
          <w:bCs/>
          <w:vertAlign w:val="superscript"/>
        </w:rPr>
        <w:t>2</w:t>
      </w:r>
      <w:r w:rsidRPr="00FB6CFB">
        <w:rPr>
          <w:bCs/>
        </w:rPr>
        <w:t xml:space="preserve">) prema energentu dan je na </w:t>
      </w:r>
      <w:r w:rsidRPr="00FB6CFB">
        <w:rPr>
          <w:bCs/>
        </w:rPr>
        <w:fldChar w:fldCharType="begin"/>
      </w:r>
      <w:r w:rsidRPr="00FB6CFB">
        <w:rPr>
          <w:bCs/>
        </w:rPr>
        <w:instrText xml:space="preserve"> REF _Ref465153477 \h  \* MERGEFORMAT </w:instrText>
      </w:r>
      <w:r w:rsidRPr="00FB6CFB">
        <w:rPr>
          <w:bCs/>
        </w:rPr>
      </w:r>
      <w:r w:rsidRPr="00FB6CFB">
        <w:rPr>
          <w:bCs/>
        </w:rPr>
        <w:fldChar w:fldCharType="separate"/>
      </w:r>
      <w:r w:rsidR="00666A47">
        <w:rPr>
          <w:b/>
        </w:rPr>
        <w:t xml:space="preserve">Slici </w:t>
      </w:r>
      <w:r w:rsidR="009C319B">
        <w:rPr>
          <w:b/>
          <w:noProof/>
        </w:rPr>
        <w:t>4</w:t>
      </w:r>
      <w:r w:rsidR="009C319B" w:rsidRPr="00FB6CFB">
        <w:rPr>
          <w:b/>
          <w:noProof/>
        </w:rPr>
        <w:t>.</w:t>
      </w:r>
      <w:r w:rsidR="009C319B">
        <w:rPr>
          <w:b/>
          <w:noProof/>
        </w:rPr>
        <w:t>20</w:t>
      </w:r>
      <w:r w:rsidRPr="00FB6CFB">
        <w:rPr>
          <w:bCs/>
        </w:rPr>
        <w:fldChar w:fldCharType="end"/>
      </w:r>
      <w:r w:rsidRPr="00FB6CFB">
        <w:rPr>
          <w:bCs/>
        </w:rPr>
        <w:t>.</w:t>
      </w:r>
    </w:p>
    <w:p w14:paraId="69DABA33" w14:textId="7BA79DD6" w:rsidR="007E1C27" w:rsidRDefault="0053767F" w:rsidP="0053767F">
      <w:pPr>
        <w:spacing w:after="0" w:line="240" w:lineRule="auto"/>
        <w:jc w:val="center"/>
        <w:rPr>
          <w:noProof/>
          <w:lang w:eastAsia="hr-HR"/>
        </w:rPr>
      </w:pPr>
      <w:r>
        <w:rPr>
          <w:noProof/>
          <w:lang w:eastAsia="hr-HR"/>
        </w:rPr>
        <w:drawing>
          <wp:inline distT="0" distB="0" distL="0" distR="0" wp14:anchorId="685F16BF" wp14:editId="10F1E5B0">
            <wp:extent cx="5964866" cy="4529469"/>
            <wp:effectExtent l="0" t="0" r="17145" b="4445"/>
            <wp:docPr id="33" name="Chart 33">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03EF3D" w14:textId="5F88B6C2" w:rsidR="007625B8" w:rsidRPr="007C7920" w:rsidRDefault="007E1C27" w:rsidP="00E92750">
      <w:pPr>
        <w:spacing w:line="240" w:lineRule="auto"/>
        <w:jc w:val="center"/>
        <w:rPr>
          <w:bCs/>
          <w:highlight w:val="yellow"/>
        </w:rPr>
      </w:pPr>
      <w:bookmarkStart w:id="102" w:name="_Ref465153477"/>
      <w:bookmarkStart w:id="103" w:name="_Toc468277424"/>
      <w:r w:rsidRPr="00FB6CFB">
        <w:rPr>
          <w:b/>
        </w:rPr>
        <w:t xml:space="preserve">Slika </w:t>
      </w:r>
      <w:r w:rsidRPr="00FB6CFB">
        <w:rPr>
          <w:b/>
        </w:rPr>
        <w:fldChar w:fldCharType="begin"/>
      </w:r>
      <w:r w:rsidRPr="00FB6CFB">
        <w:rPr>
          <w:b/>
        </w:rPr>
        <w:instrText xml:space="preserve"> STYLEREF 1 \s </w:instrText>
      </w:r>
      <w:r w:rsidRPr="00FB6CFB">
        <w:rPr>
          <w:b/>
        </w:rPr>
        <w:fldChar w:fldCharType="separate"/>
      </w:r>
      <w:r w:rsidR="009C319B">
        <w:rPr>
          <w:b/>
          <w:noProof/>
        </w:rPr>
        <w:t>4</w:t>
      </w:r>
      <w:r w:rsidRPr="00FB6CFB">
        <w:rPr>
          <w:b/>
          <w:noProof/>
        </w:rPr>
        <w:fldChar w:fldCharType="end"/>
      </w:r>
      <w:r w:rsidRPr="00FB6CFB">
        <w:rPr>
          <w:b/>
        </w:rPr>
        <w:t>.</w:t>
      </w:r>
      <w:r w:rsidRPr="00FB6CFB">
        <w:rPr>
          <w:b/>
        </w:rPr>
        <w:fldChar w:fldCharType="begin"/>
      </w:r>
      <w:r w:rsidRPr="00FB6CFB">
        <w:rPr>
          <w:b/>
        </w:rPr>
        <w:instrText xml:space="preserve"> SEQ Slika \* ARABIC \s 1 </w:instrText>
      </w:r>
      <w:r w:rsidRPr="00FB6CFB">
        <w:rPr>
          <w:b/>
        </w:rPr>
        <w:fldChar w:fldCharType="separate"/>
      </w:r>
      <w:r w:rsidR="009C319B">
        <w:rPr>
          <w:b/>
          <w:noProof/>
        </w:rPr>
        <w:t>20</w:t>
      </w:r>
      <w:r w:rsidRPr="00FB6CFB">
        <w:rPr>
          <w:b/>
          <w:noProof/>
        </w:rPr>
        <w:fldChar w:fldCharType="end"/>
      </w:r>
      <w:bookmarkEnd w:id="102"/>
      <w:r w:rsidRPr="00FB6CFB">
        <w:rPr>
          <w:b/>
          <w:noProof/>
        </w:rPr>
        <w:t xml:space="preserve"> </w:t>
      </w:r>
      <w:r w:rsidRPr="00FB6CFB">
        <w:rPr>
          <w:noProof/>
        </w:rPr>
        <w:t>Usporedba specifične korisne energije za grijanje</w:t>
      </w:r>
      <w:r w:rsidR="00FB6CFB">
        <w:rPr>
          <w:noProof/>
        </w:rPr>
        <w:t xml:space="preserve"> prema energentu</w:t>
      </w:r>
      <w:r w:rsidRPr="00FB6CFB">
        <w:rPr>
          <w:noProof/>
        </w:rPr>
        <w:t xml:space="preserve"> u podkategorijama zgrada u vlasništvu Grada Zagreba</w:t>
      </w:r>
      <w:r w:rsidR="00594601" w:rsidRPr="00FB6CFB">
        <w:rPr>
          <w:noProof/>
        </w:rPr>
        <w:t xml:space="preserve"> u 2015. godini</w:t>
      </w:r>
      <w:bookmarkEnd w:id="103"/>
      <w:r w:rsidR="007625B8" w:rsidRPr="007C7920">
        <w:rPr>
          <w:highlight w:val="yellow"/>
        </w:rPr>
        <w:br w:type="page"/>
      </w:r>
    </w:p>
    <w:p w14:paraId="3C613497" w14:textId="507FED11" w:rsidR="002D3AE9" w:rsidRPr="00400FAE" w:rsidRDefault="007F3936" w:rsidP="00E92750">
      <w:pPr>
        <w:pStyle w:val="Heading2"/>
        <w:spacing w:after="240"/>
      </w:pPr>
      <w:bookmarkStart w:id="104" w:name="_Toc468345355"/>
      <w:r w:rsidRPr="00400FAE">
        <w:lastRenderedPageBreak/>
        <w:t>ZGRADE U VLASNIŠTVU ZAGREBAČKOG HOLDINGA</w:t>
      </w:r>
      <w:r w:rsidR="00C564DD" w:rsidRPr="00400FAE">
        <w:t xml:space="preserve"> d.o.o.</w:t>
      </w:r>
      <w:bookmarkEnd w:id="104"/>
    </w:p>
    <w:p w14:paraId="3C7EBE16" w14:textId="01A29AA3" w:rsidR="00105D81" w:rsidRPr="00400FAE" w:rsidRDefault="00C564DD" w:rsidP="00E92750">
      <w:pPr>
        <w:spacing w:line="240" w:lineRule="auto"/>
        <w:jc w:val="both"/>
        <w:rPr>
          <w:lang w:eastAsia="hr-HR"/>
        </w:rPr>
      </w:pPr>
      <w:r w:rsidRPr="00400FAE">
        <w:rPr>
          <w:lang w:eastAsia="hr-HR"/>
        </w:rPr>
        <w:t>Zagrebački holding d.o.o. je u 100</w:t>
      </w:r>
      <w:r w:rsidR="00D50A6E">
        <w:rPr>
          <w:lang w:eastAsia="hr-HR"/>
        </w:rPr>
        <w:t>%-</w:t>
      </w:r>
      <w:r w:rsidRPr="00400FAE">
        <w:rPr>
          <w:lang w:eastAsia="hr-HR"/>
        </w:rPr>
        <w:t>tnom vlasništvu Grada Zagreba</w:t>
      </w:r>
      <w:r w:rsidR="00105D81" w:rsidRPr="00400FAE">
        <w:rPr>
          <w:lang w:eastAsia="hr-HR"/>
        </w:rPr>
        <w:t>, a</w:t>
      </w:r>
      <w:r w:rsidRPr="00400FAE">
        <w:rPr>
          <w:lang w:eastAsia="hr-HR"/>
        </w:rPr>
        <w:t xml:space="preserve"> osnovan je 2007. godine prema Zakonu o trgovačkim društvima (NN 111/93, 34/99, 121/99, 52/00, 118/03, 107/07, 146/08, 137/09, 125/11, 152/11, 111/12, 68/13, 110/15). </w:t>
      </w:r>
      <w:r w:rsidR="000009A3" w:rsidRPr="00400FAE">
        <w:rPr>
          <w:lang w:eastAsia="hr-HR"/>
        </w:rPr>
        <w:t>Sjedište Holdinga je u Zagrebu, Ulica grada Vukovara 41.</w:t>
      </w:r>
    </w:p>
    <w:p w14:paraId="73A780E4" w14:textId="57C3E03C" w:rsidR="00F40711" w:rsidRPr="00400FAE" w:rsidRDefault="00F40711" w:rsidP="00E92750">
      <w:pPr>
        <w:spacing w:line="240" w:lineRule="auto"/>
        <w:jc w:val="both"/>
        <w:rPr>
          <w:rFonts w:cstheme="minorHAnsi"/>
          <w:lang w:eastAsia="hr-HR"/>
        </w:rPr>
      </w:pPr>
      <w:r w:rsidRPr="00400FAE">
        <w:rPr>
          <w:rFonts w:cstheme="minorHAnsi"/>
        </w:rPr>
        <w:t>Sastoji se od 16 podružnica koje obavljaju djelatnosti nekadašnjih gradskih poduzeća, Zagrebački holding d.o.o. vla</w:t>
      </w:r>
      <w:r w:rsidR="00646958" w:rsidRPr="00400FAE">
        <w:rPr>
          <w:rFonts w:cstheme="minorHAnsi"/>
        </w:rPr>
        <w:t>snik je i 8 trgovačkih društava</w:t>
      </w:r>
      <w:r w:rsidRPr="00400FAE">
        <w:rPr>
          <w:rFonts w:cstheme="minorHAnsi"/>
        </w:rPr>
        <w:t xml:space="preserve"> te jedne ustanove, a u</w:t>
      </w:r>
      <w:r w:rsidR="00646958" w:rsidRPr="00400FAE">
        <w:rPr>
          <w:rFonts w:cstheme="minorHAnsi"/>
        </w:rPr>
        <w:t xml:space="preserve">kupni broj zaposlenih je oko 11 </w:t>
      </w:r>
      <w:r w:rsidRPr="00400FAE">
        <w:rPr>
          <w:rFonts w:cstheme="minorHAnsi"/>
        </w:rPr>
        <w:t>000.</w:t>
      </w:r>
    </w:p>
    <w:p w14:paraId="4D4EE57A" w14:textId="7787BA06" w:rsidR="0042557A" w:rsidRPr="00400FAE" w:rsidRDefault="00CB6E96" w:rsidP="00E92750">
      <w:pPr>
        <w:spacing w:line="240" w:lineRule="auto"/>
        <w:jc w:val="both"/>
        <w:rPr>
          <w:lang w:eastAsia="hr-HR"/>
        </w:rPr>
      </w:pPr>
      <w:r w:rsidRPr="00400FAE">
        <w:rPr>
          <w:lang w:eastAsia="hr-HR"/>
        </w:rPr>
        <w:t>Parametri potrošnje energije</w:t>
      </w:r>
      <w:r w:rsidR="006051D6" w:rsidRPr="00400FAE">
        <w:rPr>
          <w:lang w:eastAsia="hr-HR"/>
        </w:rPr>
        <w:t xml:space="preserve"> u zgradama u vlasništvu</w:t>
      </w:r>
      <w:r w:rsidR="00F40711" w:rsidRPr="00400FAE">
        <w:rPr>
          <w:lang w:eastAsia="hr-HR"/>
        </w:rPr>
        <w:t xml:space="preserve"> Holdinga dan</w:t>
      </w:r>
      <w:r w:rsidR="0047726F">
        <w:rPr>
          <w:lang w:eastAsia="hr-HR"/>
        </w:rPr>
        <w:t>i su</w:t>
      </w:r>
      <w:r w:rsidR="00F40711" w:rsidRPr="00400FAE">
        <w:rPr>
          <w:lang w:eastAsia="hr-HR"/>
        </w:rPr>
        <w:t xml:space="preserve"> u </w:t>
      </w:r>
      <w:r w:rsidR="000A4981" w:rsidRPr="00400FAE">
        <w:rPr>
          <w:lang w:eastAsia="hr-HR"/>
        </w:rPr>
        <w:fldChar w:fldCharType="begin"/>
      </w:r>
      <w:r w:rsidR="000A4981" w:rsidRPr="00400FAE">
        <w:rPr>
          <w:lang w:eastAsia="hr-HR"/>
        </w:rPr>
        <w:instrText xml:space="preserve"> REF _Ref462648544 \h  \* MERGEFORMAT </w:instrText>
      </w:r>
      <w:r w:rsidR="000A4981" w:rsidRPr="00400FAE">
        <w:rPr>
          <w:lang w:eastAsia="hr-HR"/>
        </w:rPr>
      </w:r>
      <w:r w:rsidR="000A4981" w:rsidRPr="00400FAE">
        <w:rPr>
          <w:lang w:eastAsia="hr-HR"/>
        </w:rPr>
        <w:fldChar w:fldCharType="separate"/>
      </w:r>
      <w:r w:rsidR="00B86B16">
        <w:rPr>
          <w:b/>
          <w:bCs/>
        </w:rPr>
        <w:t>Tablici</w:t>
      </w:r>
      <w:r w:rsidR="009C319B" w:rsidRPr="009C319B">
        <w:rPr>
          <w:b/>
          <w:bCs/>
        </w:rPr>
        <w:t xml:space="preserve"> </w:t>
      </w:r>
      <w:r w:rsidR="009C319B" w:rsidRPr="009C319B">
        <w:rPr>
          <w:b/>
          <w:bCs/>
          <w:noProof/>
        </w:rPr>
        <w:t>4.12</w:t>
      </w:r>
      <w:r w:rsidR="000A4981" w:rsidRPr="00400FAE">
        <w:rPr>
          <w:lang w:eastAsia="hr-HR"/>
        </w:rPr>
        <w:fldChar w:fldCharType="end"/>
      </w:r>
      <w:r w:rsidRPr="00400FAE">
        <w:rPr>
          <w:lang w:eastAsia="hr-HR"/>
        </w:rPr>
        <w:t>.</w:t>
      </w:r>
    </w:p>
    <w:p w14:paraId="0AAFC23D" w14:textId="4AAFBC2D" w:rsidR="009827D8" w:rsidRPr="00400FAE" w:rsidRDefault="00CB6E96" w:rsidP="00E92750">
      <w:pPr>
        <w:spacing w:after="0" w:line="240" w:lineRule="auto"/>
        <w:jc w:val="both"/>
        <w:rPr>
          <w:rFonts w:cstheme="minorHAnsi"/>
          <w:shd w:val="clear" w:color="auto" w:fill="FFFF00"/>
        </w:rPr>
      </w:pPr>
      <w:bookmarkStart w:id="105" w:name="_Ref462648544"/>
      <w:bookmarkStart w:id="106" w:name="_Toc468277504"/>
      <w:bookmarkStart w:id="107" w:name="_Toc258239069"/>
      <w:r w:rsidRPr="00400FAE">
        <w:rPr>
          <w:rFonts w:cstheme="minorHAnsi"/>
          <w:b/>
          <w:bCs/>
        </w:rPr>
        <w:t xml:space="preserve">Tablica </w:t>
      </w:r>
      <w:r w:rsidR="000B3499" w:rsidRPr="00400FAE">
        <w:rPr>
          <w:rFonts w:cstheme="minorHAnsi"/>
          <w:b/>
          <w:bCs/>
        </w:rPr>
        <w:fldChar w:fldCharType="begin"/>
      </w:r>
      <w:r w:rsidR="000B3499" w:rsidRPr="00400FAE">
        <w:rPr>
          <w:rFonts w:cstheme="minorHAnsi"/>
          <w:b/>
          <w:bCs/>
        </w:rPr>
        <w:instrText xml:space="preserve"> STYLEREF 1 \s </w:instrText>
      </w:r>
      <w:r w:rsidR="000B3499" w:rsidRPr="00400FAE">
        <w:rPr>
          <w:rFonts w:cstheme="minorHAnsi"/>
          <w:b/>
          <w:bCs/>
        </w:rPr>
        <w:fldChar w:fldCharType="separate"/>
      </w:r>
      <w:r w:rsidR="009C319B">
        <w:rPr>
          <w:rFonts w:cstheme="minorHAnsi"/>
          <w:b/>
          <w:bCs/>
          <w:noProof/>
        </w:rPr>
        <w:t>4</w:t>
      </w:r>
      <w:r w:rsidR="000B3499" w:rsidRPr="00400FAE">
        <w:rPr>
          <w:rFonts w:cstheme="minorHAnsi"/>
          <w:b/>
          <w:bCs/>
        </w:rPr>
        <w:fldChar w:fldCharType="end"/>
      </w:r>
      <w:r w:rsidR="000B3499" w:rsidRPr="00400FAE">
        <w:rPr>
          <w:rFonts w:cstheme="minorHAnsi"/>
          <w:b/>
          <w:bCs/>
        </w:rPr>
        <w:t>.</w:t>
      </w:r>
      <w:r w:rsidR="000B3499" w:rsidRPr="00400FAE">
        <w:rPr>
          <w:rFonts w:cstheme="minorHAnsi"/>
          <w:b/>
          <w:bCs/>
        </w:rPr>
        <w:fldChar w:fldCharType="begin"/>
      </w:r>
      <w:r w:rsidR="000B3499" w:rsidRPr="00400FAE">
        <w:rPr>
          <w:rFonts w:cstheme="minorHAnsi"/>
          <w:b/>
          <w:bCs/>
        </w:rPr>
        <w:instrText xml:space="preserve"> SEQ Tablica \* ARABIC \s 1 </w:instrText>
      </w:r>
      <w:r w:rsidR="000B3499" w:rsidRPr="00400FAE">
        <w:rPr>
          <w:rFonts w:cstheme="minorHAnsi"/>
          <w:b/>
          <w:bCs/>
        </w:rPr>
        <w:fldChar w:fldCharType="separate"/>
      </w:r>
      <w:r w:rsidR="009C319B">
        <w:rPr>
          <w:rFonts w:cstheme="minorHAnsi"/>
          <w:b/>
          <w:bCs/>
          <w:noProof/>
        </w:rPr>
        <w:t>12</w:t>
      </w:r>
      <w:r w:rsidR="000B3499" w:rsidRPr="00400FAE">
        <w:rPr>
          <w:rFonts w:cstheme="minorHAnsi"/>
          <w:b/>
          <w:bCs/>
        </w:rPr>
        <w:fldChar w:fldCharType="end"/>
      </w:r>
      <w:bookmarkEnd w:id="105"/>
      <w:r w:rsidRPr="00400FAE">
        <w:rPr>
          <w:rFonts w:cstheme="minorHAnsi"/>
          <w:b/>
          <w:bCs/>
        </w:rPr>
        <w:t xml:space="preserve"> </w:t>
      </w:r>
      <w:r w:rsidR="009827D8" w:rsidRPr="00400FAE">
        <w:rPr>
          <w:rFonts w:eastAsia="Times New Roman" w:cstheme="minorHAnsi"/>
        </w:rPr>
        <w:t>Parametri potro</w:t>
      </w:r>
      <w:r w:rsidR="0024589D" w:rsidRPr="00400FAE">
        <w:rPr>
          <w:rFonts w:eastAsia="Times New Roman" w:cstheme="minorHAnsi"/>
        </w:rPr>
        <w:t>šnje energije u zgradama u vlasništvu</w:t>
      </w:r>
      <w:r w:rsidR="009827D8" w:rsidRPr="00400FAE">
        <w:rPr>
          <w:rFonts w:eastAsia="Times New Roman" w:cstheme="minorHAnsi"/>
        </w:rPr>
        <w:t xml:space="preserve"> </w:t>
      </w:r>
      <w:r w:rsidR="00646958" w:rsidRPr="00400FAE">
        <w:rPr>
          <w:rFonts w:eastAsia="Times New Roman" w:cstheme="minorHAnsi"/>
        </w:rPr>
        <w:t>H</w:t>
      </w:r>
      <w:r w:rsidR="009827D8" w:rsidRPr="00400FAE">
        <w:rPr>
          <w:rFonts w:eastAsia="Times New Roman" w:cstheme="minorHAnsi"/>
        </w:rPr>
        <w:t>oldinga</w:t>
      </w:r>
      <w:r w:rsidR="001D78EB" w:rsidRPr="00400FAE">
        <w:rPr>
          <w:rFonts w:eastAsia="Times New Roman" w:cstheme="minorHAnsi"/>
        </w:rPr>
        <w:t xml:space="preserve"> u 2015. godini</w:t>
      </w:r>
      <w:bookmarkEnd w:id="106"/>
    </w:p>
    <w:tbl>
      <w:tblPr>
        <w:tblW w:w="997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935"/>
        <w:gridCol w:w="1276"/>
        <w:gridCol w:w="1276"/>
        <w:gridCol w:w="1134"/>
        <w:gridCol w:w="1417"/>
        <w:gridCol w:w="189"/>
        <w:gridCol w:w="1134"/>
      </w:tblGrid>
      <w:tr w:rsidR="00A40605" w:rsidRPr="00E16AF1" w14:paraId="6A3E67DC" w14:textId="77777777" w:rsidTr="00400FAE">
        <w:trPr>
          <w:trHeight w:val="975"/>
        </w:trPr>
        <w:tc>
          <w:tcPr>
            <w:tcW w:w="614" w:type="dxa"/>
            <w:shd w:val="clear" w:color="000000" w:fill="D9D9D9"/>
            <w:noWrap/>
            <w:hideMark/>
          </w:tcPr>
          <w:p w14:paraId="3D34EA80" w14:textId="77777777" w:rsidR="00A40605" w:rsidRPr="00E16AF1" w:rsidRDefault="00A40605"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R.br.</w:t>
            </w:r>
          </w:p>
        </w:tc>
        <w:tc>
          <w:tcPr>
            <w:tcW w:w="2935" w:type="dxa"/>
            <w:shd w:val="clear" w:color="000000" w:fill="D9D9D9"/>
            <w:noWrap/>
            <w:hideMark/>
          </w:tcPr>
          <w:p w14:paraId="3215040C" w14:textId="77777777" w:rsidR="00A40605" w:rsidRPr="00E16AF1" w:rsidRDefault="00A40605" w:rsidP="00E92750">
            <w:pPr>
              <w:spacing w:after="0" w:line="240" w:lineRule="auto"/>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Naziv članice</w:t>
            </w:r>
          </w:p>
        </w:tc>
        <w:tc>
          <w:tcPr>
            <w:tcW w:w="1276" w:type="dxa"/>
            <w:shd w:val="clear" w:color="000000" w:fill="D9D9D9"/>
            <w:hideMark/>
          </w:tcPr>
          <w:p w14:paraId="6B490823" w14:textId="77777777" w:rsidR="00A40605" w:rsidRPr="00E16AF1" w:rsidRDefault="00A40605"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Grijana površina (m</w:t>
            </w:r>
            <w:r w:rsidRPr="00E16AF1">
              <w:rPr>
                <w:rFonts w:ascii="Calibri" w:eastAsia="Times New Roman" w:hAnsi="Calibri" w:cs="Calibri"/>
                <w:b/>
                <w:bCs/>
                <w:sz w:val="20"/>
                <w:szCs w:val="20"/>
                <w:vertAlign w:val="superscript"/>
                <w:lang w:eastAsia="hr-HR"/>
              </w:rPr>
              <w:t>2</w:t>
            </w:r>
            <w:r w:rsidRPr="00E16AF1">
              <w:rPr>
                <w:rFonts w:ascii="Calibri" w:eastAsia="Times New Roman" w:hAnsi="Calibri" w:cs="Calibri"/>
                <w:b/>
                <w:bCs/>
                <w:sz w:val="20"/>
                <w:szCs w:val="20"/>
                <w:lang w:eastAsia="hr-HR"/>
              </w:rPr>
              <w:t>)</w:t>
            </w:r>
          </w:p>
        </w:tc>
        <w:tc>
          <w:tcPr>
            <w:tcW w:w="1276" w:type="dxa"/>
            <w:shd w:val="clear" w:color="000000" w:fill="D9D9D9"/>
            <w:hideMark/>
          </w:tcPr>
          <w:p w14:paraId="6BCA275D" w14:textId="77777777" w:rsidR="00A40605" w:rsidRPr="00E16AF1" w:rsidRDefault="00A40605"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Ukupna potrošnja električne energije (MWh)</w:t>
            </w:r>
          </w:p>
        </w:tc>
        <w:tc>
          <w:tcPr>
            <w:tcW w:w="1134" w:type="dxa"/>
            <w:shd w:val="clear" w:color="000000" w:fill="D9D9D9"/>
            <w:hideMark/>
          </w:tcPr>
          <w:p w14:paraId="45551658" w14:textId="2E3BD408" w:rsidR="00A40605" w:rsidRPr="00E16AF1" w:rsidRDefault="00A40605"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Specifična potrošnja električne energije (kWh/m</w:t>
            </w:r>
            <w:r w:rsidRPr="00E16AF1">
              <w:rPr>
                <w:rFonts w:ascii="Calibri" w:eastAsia="Times New Roman" w:hAnsi="Calibri" w:cs="Calibri"/>
                <w:b/>
                <w:bCs/>
                <w:sz w:val="20"/>
                <w:szCs w:val="20"/>
                <w:vertAlign w:val="superscript"/>
                <w:lang w:eastAsia="hr-HR"/>
              </w:rPr>
              <w:t xml:space="preserve">2 </w:t>
            </w:r>
            <w:r w:rsidRPr="00E16AF1">
              <w:rPr>
                <w:rFonts w:ascii="Calibri" w:eastAsia="Times New Roman" w:hAnsi="Calibri" w:cs="Calibri"/>
                <w:b/>
                <w:bCs/>
                <w:sz w:val="20"/>
                <w:szCs w:val="20"/>
                <w:lang w:eastAsia="hr-HR"/>
              </w:rPr>
              <w:t>)</w:t>
            </w:r>
          </w:p>
        </w:tc>
        <w:tc>
          <w:tcPr>
            <w:tcW w:w="1417" w:type="dxa"/>
            <w:shd w:val="clear" w:color="000000" w:fill="D9D9D9"/>
            <w:hideMark/>
          </w:tcPr>
          <w:p w14:paraId="6C46F5AC" w14:textId="21B2865C" w:rsidR="00A40605" w:rsidRPr="00E16AF1" w:rsidRDefault="00A40605"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Ukupna potrošnja toplinske energije MWh</w:t>
            </w:r>
          </w:p>
        </w:tc>
        <w:tc>
          <w:tcPr>
            <w:tcW w:w="1323" w:type="dxa"/>
            <w:gridSpan w:val="2"/>
            <w:shd w:val="clear" w:color="000000" w:fill="D9D9D9"/>
            <w:hideMark/>
          </w:tcPr>
          <w:p w14:paraId="794BC12A" w14:textId="0E966972" w:rsidR="00A40605" w:rsidRPr="00E16AF1" w:rsidRDefault="00131530"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Specifična korisna energija za grijanje</w:t>
            </w:r>
            <w:r w:rsidR="00A40605" w:rsidRPr="00E16AF1">
              <w:rPr>
                <w:rFonts w:ascii="Calibri" w:eastAsia="Times New Roman" w:hAnsi="Calibri" w:cs="Calibri"/>
                <w:b/>
                <w:bCs/>
                <w:sz w:val="20"/>
                <w:szCs w:val="20"/>
                <w:lang w:eastAsia="hr-HR"/>
              </w:rPr>
              <w:t xml:space="preserve"> (kWh/m</w:t>
            </w:r>
            <w:r w:rsidR="00A40605" w:rsidRPr="00E16AF1">
              <w:rPr>
                <w:rFonts w:ascii="Calibri" w:eastAsia="Times New Roman" w:hAnsi="Calibri" w:cs="Calibri"/>
                <w:b/>
                <w:bCs/>
                <w:sz w:val="20"/>
                <w:szCs w:val="20"/>
                <w:vertAlign w:val="superscript"/>
                <w:lang w:eastAsia="hr-HR"/>
              </w:rPr>
              <w:t>2</w:t>
            </w:r>
            <w:r w:rsidR="00A40605" w:rsidRPr="00E16AF1">
              <w:rPr>
                <w:rFonts w:ascii="Calibri" w:eastAsia="Times New Roman" w:hAnsi="Calibri" w:cs="Calibri"/>
                <w:b/>
                <w:bCs/>
                <w:sz w:val="20"/>
                <w:szCs w:val="20"/>
                <w:lang w:eastAsia="hr-HR"/>
              </w:rPr>
              <w:t>)</w:t>
            </w:r>
          </w:p>
        </w:tc>
      </w:tr>
      <w:tr w:rsidR="00A40605" w:rsidRPr="00E16AF1" w14:paraId="0A9C8541" w14:textId="77777777" w:rsidTr="00400FAE">
        <w:trPr>
          <w:trHeight w:val="240"/>
        </w:trPr>
        <w:tc>
          <w:tcPr>
            <w:tcW w:w="614" w:type="dxa"/>
            <w:shd w:val="clear" w:color="auto" w:fill="auto"/>
            <w:noWrap/>
            <w:vAlign w:val="bottom"/>
            <w:hideMark/>
          </w:tcPr>
          <w:p w14:paraId="772349A5" w14:textId="1D2E55DC"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1FCD4045"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AGM</w:t>
            </w:r>
          </w:p>
        </w:tc>
        <w:tc>
          <w:tcPr>
            <w:tcW w:w="1276" w:type="dxa"/>
            <w:shd w:val="clear" w:color="auto" w:fill="auto"/>
            <w:noWrap/>
            <w:vAlign w:val="bottom"/>
            <w:hideMark/>
          </w:tcPr>
          <w:p w14:paraId="20275E2D"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839,97</w:t>
            </w:r>
          </w:p>
        </w:tc>
        <w:tc>
          <w:tcPr>
            <w:tcW w:w="1276" w:type="dxa"/>
            <w:shd w:val="clear" w:color="auto" w:fill="auto"/>
            <w:noWrap/>
            <w:vAlign w:val="bottom"/>
            <w:hideMark/>
          </w:tcPr>
          <w:p w14:paraId="2154A649"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69,34</w:t>
            </w:r>
          </w:p>
        </w:tc>
        <w:tc>
          <w:tcPr>
            <w:tcW w:w="1134" w:type="dxa"/>
            <w:shd w:val="clear" w:color="auto" w:fill="auto"/>
            <w:noWrap/>
            <w:vAlign w:val="bottom"/>
            <w:hideMark/>
          </w:tcPr>
          <w:p w14:paraId="477C125D"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82,55</w:t>
            </w:r>
          </w:p>
        </w:tc>
        <w:tc>
          <w:tcPr>
            <w:tcW w:w="1417" w:type="dxa"/>
            <w:shd w:val="clear" w:color="auto" w:fill="auto"/>
            <w:noWrap/>
            <w:vAlign w:val="bottom"/>
            <w:hideMark/>
          </w:tcPr>
          <w:p w14:paraId="7DD95D70"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106,18</w:t>
            </w:r>
          </w:p>
        </w:tc>
        <w:tc>
          <w:tcPr>
            <w:tcW w:w="1323" w:type="dxa"/>
            <w:gridSpan w:val="2"/>
            <w:shd w:val="clear" w:color="auto" w:fill="auto"/>
            <w:noWrap/>
            <w:vAlign w:val="bottom"/>
            <w:hideMark/>
          </w:tcPr>
          <w:p w14:paraId="16E281DC"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126,41</w:t>
            </w:r>
          </w:p>
        </w:tc>
      </w:tr>
      <w:tr w:rsidR="00A40605" w:rsidRPr="00E16AF1" w14:paraId="655DA328" w14:textId="77777777" w:rsidTr="00400FAE">
        <w:trPr>
          <w:trHeight w:val="240"/>
        </w:trPr>
        <w:tc>
          <w:tcPr>
            <w:tcW w:w="614" w:type="dxa"/>
            <w:shd w:val="clear" w:color="auto" w:fill="auto"/>
            <w:noWrap/>
            <w:vAlign w:val="bottom"/>
            <w:hideMark/>
          </w:tcPr>
          <w:p w14:paraId="31B0C829" w14:textId="15A08D26"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65FB938D"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Autobusni kolodvor Zagreb</w:t>
            </w:r>
          </w:p>
        </w:tc>
        <w:tc>
          <w:tcPr>
            <w:tcW w:w="1276" w:type="dxa"/>
            <w:shd w:val="clear" w:color="auto" w:fill="auto"/>
            <w:noWrap/>
            <w:vAlign w:val="bottom"/>
            <w:hideMark/>
          </w:tcPr>
          <w:p w14:paraId="7F586D13" w14:textId="6712C634"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21 </w:t>
            </w:r>
            <w:r w:rsidR="00A40605" w:rsidRPr="00E16AF1">
              <w:rPr>
                <w:rFonts w:ascii="Calibri" w:eastAsia="Times New Roman" w:hAnsi="Calibri" w:cs="Calibri"/>
                <w:sz w:val="20"/>
                <w:szCs w:val="20"/>
                <w:lang w:eastAsia="hr-HR"/>
              </w:rPr>
              <w:t>141,00</w:t>
            </w:r>
          </w:p>
        </w:tc>
        <w:tc>
          <w:tcPr>
            <w:tcW w:w="1276" w:type="dxa"/>
            <w:shd w:val="clear" w:color="auto" w:fill="auto"/>
            <w:noWrap/>
            <w:vAlign w:val="bottom"/>
            <w:hideMark/>
          </w:tcPr>
          <w:p w14:paraId="7E5D5E78" w14:textId="30DAA0C1"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2 </w:t>
            </w:r>
            <w:r w:rsidR="00A40605" w:rsidRPr="00E16AF1">
              <w:rPr>
                <w:rFonts w:ascii="Calibri" w:eastAsia="Times New Roman" w:hAnsi="Calibri" w:cs="Calibri"/>
                <w:sz w:val="20"/>
                <w:szCs w:val="20"/>
                <w:lang w:eastAsia="hr-HR"/>
              </w:rPr>
              <w:t>738,15</w:t>
            </w:r>
          </w:p>
        </w:tc>
        <w:tc>
          <w:tcPr>
            <w:tcW w:w="1134" w:type="dxa"/>
            <w:shd w:val="clear" w:color="auto" w:fill="auto"/>
            <w:noWrap/>
            <w:vAlign w:val="bottom"/>
            <w:hideMark/>
          </w:tcPr>
          <w:p w14:paraId="5EFE2970"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129,52</w:t>
            </w:r>
          </w:p>
        </w:tc>
        <w:tc>
          <w:tcPr>
            <w:tcW w:w="1417" w:type="dxa"/>
            <w:shd w:val="clear" w:color="auto" w:fill="auto"/>
            <w:noWrap/>
            <w:vAlign w:val="bottom"/>
            <w:hideMark/>
          </w:tcPr>
          <w:p w14:paraId="578893AA" w14:textId="782C8800"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 </w:t>
            </w:r>
            <w:r w:rsidR="00A40605" w:rsidRPr="00E16AF1">
              <w:rPr>
                <w:rFonts w:ascii="Calibri" w:eastAsia="Times New Roman" w:hAnsi="Calibri" w:cs="Calibri"/>
                <w:sz w:val="20"/>
                <w:szCs w:val="20"/>
                <w:lang w:eastAsia="hr-HR"/>
              </w:rPr>
              <w:t>863,48</w:t>
            </w:r>
          </w:p>
        </w:tc>
        <w:tc>
          <w:tcPr>
            <w:tcW w:w="1323" w:type="dxa"/>
            <w:gridSpan w:val="2"/>
            <w:shd w:val="clear" w:color="auto" w:fill="auto"/>
            <w:noWrap/>
            <w:vAlign w:val="bottom"/>
            <w:hideMark/>
          </w:tcPr>
          <w:p w14:paraId="2D95C2C4"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88,15</w:t>
            </w:r>
          </w:p>
        </w:tc>
      </w:tr>
      <w:tr w:rsidR="00A40605" w:rsidRPr="00E16AF1" w14:paraId="23EE5934" w14:textId="77777777" w:rsidTr="00400FAE">
        <w:trPr>
          <w:trHeight w:val="240"/>
        </w:trPr>
        <w:tc>
          <w:tcPr>
            <w:tcW w:w="614" w:type="dxa"/>
            <w:shd w:val="clear" w:color="auto" w:fill="auto"/>
            <w:noWrap/>
            <w:vAlign w:val="bottom"/>
            <w:hideMark/>
          </w:tcPr>
          <w:p w14:paraId="54491A16" w14:textId="4B53B56F"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3</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137A8EB1"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Čistoća</w:t>
            </w:r>
          </w:p>
        </w:tc>
        <w:tc>
          <w:tcPr>
            <w:tcW w:w="1276" w:type="dxa"/>
            <w:shd w:val="clear" w:color="auto" w:fill="auto"/>
            <w:noWrap/>
            <w:vAlign w:val="bottom"/>
            <w:hideMark/>
          </w:tcPr>
          <w:p w14:paraId="5FC0E7D4" w14:textId="4686233A"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14 </w:t>
            </w:r>
            <w:r w:rsidR="00A40605" w:rsidRPr="00E16AF1">
              <w:rPr>
                <w:rFonts w:ascii="Calibri" w:eastAsia="Times New Roman" w:hAnsi="Calibri" w:cs="Calibri"/>
                <w:sz w:val="20"/>
                <w:szCs w:val="20"/>
                <w:lang w:eastAsia="hr-HR"/>
              </w:rPr>
              <w:t>222,00</w:t>
            </w:r>
          </w:p>
        </w:tc>
        <w:tc>
          <w:tcPr>
            <w:tcW w:w="1276" w:type="dxa"/>
            <w:shd w:val="clear" w:color="auto" w:fill="auto"/>
            <w:noWrap/>
            <w:vAlign w:val="bottom"/>
            <w:hideMark/>
          </w:tcPr>
          <w:p w14:paraId="068A8D74"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869,45</w:t>
            </w:r>
          </w:p>
        </w:tc>
        <w:tc>
          <w:tcPr>
            <w:tcW w:w="1134" w:type="dxa"/>
            <w:shd w:val="clear" w:color="auto" w:fill="auto"/>
            <w:noWrap/>
            <w:vAlign w:val="bottom"/>
            <w:hideMark/>
          </w:tcPr>
          <w:p w14:paraId="0C616207"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61,13</w:t>
            </w:r>
          </w:p>
        </w:tc>
        <w:tc>
          <w:tcPr>
            <w:tcW w:w="1417" w:type="dxa"/>
            <w:shd w:val="clear" w:color="auto" w:fill="auto"/>
            <w:noWrap/>
            <w:vAlign w:val="bottom"/>
            <w:hideMark/>
          </w:tcPr>
          <w:p w14:paraId="0EFA5394" w14:textId="595E7175"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2 </w:t>
            </w:r>
            <w:r w:rsidR="00A40605" w:rsidRPr="00E16AF1">
              <w:rPr>
                <w:rFonts w:ascii="Calibri" w:eastAsia="Times New Roman" w:hAnsi="Calibri" w:cs="Calibri"/>
                <w:sz w:val="20"/>
                <w:szCs w:val="20"/>
                <w:lang w:eastAsia="hr-HR"/>
              </w:rPr>
              <w:t>810,67</w:t>
            </w:r>
          </w:p>
        </w:tc>
        <w:tc>
          <w:tcPr>
            <w:tcW w:w="1323" w:type="dxa"/>
            <w:gridSpan w:val="2"/>
            <w:shd w:val="clear" w:color="auto" w:fill="auto"/>
            <w:noWrap/>
            <w:vAlign w:val="bottom"/>
            <w:hideMark/>
          </w:tcPr>
          <w:p w14:paraId="34650E9C"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197,63</w:t>
            </w:r>
          </w:p>
        </w:tc>
      </w:tr>
      <w:tr w:rsidR="00A40605" w:rsidRPr="00E16AF1" w14:paraId="7F7FEF3A" w14:textId="77777777" w:rsidTr="00400FAE">
        <w:trPr>
          <w:trHeight w:val="240"/>
        </w:trPr>
        <w:tc>
          <w:tcPr>
            <w:tcW w:w="614" w:type="dxa"/>
            <w:shd w:val="clear" w:color="auto" w:fill="auto"/>
            <w:noWrap/>
            <w:vAlign w:val="bottom"/>
            <w:hideMark/>
          </w:tcPr>
          <w:p w14:paraId="09E0F443" w14:textId="656439DD"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4</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1607760D"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Gradska groblja</w:t>
            </w:r>
          </w:p>
        </w:tc>
        <w:tc>
          <w:tcPr>
            <w:tcW w:w="1276" w:type="dxa"/>
            <w:shd w:val="clear" w:color="auto" w:fill="auto"/>
            <w:noWrap/>
            <w:vAlign w:val="bottom"/>
            <w:hideMark/>
          </w:tcPr>
          <w:p w14:paraId="37487DAE" w14:textId="5275795A"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8 </w:t>
            </w:r>
            <w:r w:rsidR="00A40605" w:rsidRPr="00E16AF1">
              <w:rPr>
                <w:rFonts w:ascii="Calibri" w:eastAsia="Times New Roman" w:hAnsi="Calibri" w:cs="Calibri"/>
                <w:sz w:val="20"/>
                <w:szCs w:val="20"/>
                <w:lang w:eastAsia="hr-HR"/>
              </w:rPr>
              <w:t>996,98</w:t>
            </w:r>
          </w:p>
        </w:tc>
        <w:tc>
          <w:tcPr>
            <w:tcW w:w="1276" w:type="dxa"/>
            <w:shd w:val="clear" w:color="auto" w:fill="auto"/>
            <w:noWrap/>
            <w:vAlign w:val="bottom"/>
            <w:hideMark/>
          </w:tcPr>
          <w:p w14:paraId="730A5573" w14:textId="1A226B08"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 </w:t>
            </w:r>
            <w:r w:rsidR="00A40605" w:rsidRPr="00E16AF1">
              <w:rPr>
                <w:rFonts w:ascii="Calibri" w:eastAsia="Times New Roman" w:hAnsi="Calibri" w:cs="Calibri"/>
                <w:sz w:val="20"/>
                <w:szCs w:val="20"/>
                <w:lang w:eastAsia="hr-HR"/>
              </w:rPr>
              <w:t>086,61</w:t>
            </w:r>
          </w:p>
        </w:tc>
        <w:tc>
          <w:tcPr>
            <w:tcW w:w="1134" w:type="dxa"/>
            <w:shd w:val="clear" w:color="auto" w:fill="auto"/>
            <w:noWrap/>
            <w:vAlign w:val="bottom"/>
            <w:hideMark/>
          </w:tcPr>
          <w:p w14:paraId="6E7D036D"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120,78</w:t>
            </w:r>
          </w:p>
        </w:tc>
        <w:tc>
          <w:tcPr>
            <w:tcW w:w="1417" w:type="dxa"/>
            <w:shd w:val="clear" w:color="auto" w:fill="auto"/>
            <w:noWrap/>
            <w:vAlign w:val="bottom"/>
            <w:hideMark/>
          </w:tcPr>
          <w:p w14:paraId="4CF966F5" w14:textId="173E9AC4"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3 </w:t>
            </w:r>
            <w:r w:rsidR="00A40605" w:rsidRPr="00E16AF1">
              <w:rPr>
                <w:rFonts w:ascii="Calibri" w:eastAsia="Times New Roman" w:hAnsi="Calibri" w:cs="Calibri"/>
                <w:sz w:val="20"/>
                <w:szCs w:val="20"/>
                <w:lang w:eastAsia="hr-HR"/>
              </w:rPr>
              <w:t>338,49</w:t>
            </w:r>
          </w:p>
        </w:tc>
        <w:tc>
          <w:tcPr>
            <w:tcW w:w="1323" w:type="dxa"/>
            <w:gridSpan w:val="2"/>
            <w:shd w:val="clear" w:color="auto" w:fill="auto"/>
            <w:noWrap/>
            <w:vAlign w:val="bottom"/>
            <w:hideMark/>
          </w:tcPr>
          <w:p w14:paraId="16EF904F"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371,07</w:t>
            </w:r>
          </w:p>
        </w:tc>
      </w:tr>
      <w:tr w:rsidR="00A40605" w:rsidRPr="00E16AF1" w14:paraId="033DCFF2" w14:textId="77777777" w:rsidTr="00400FAE">
        <w:trPr>
          <w:trHeight w:val="240"/>
        </w:trPr>
        <w:tc>
          <w:tcPr>
            <w:tcW w:w="614" w:type="dxa"/>
            <w:shd w:val="clear" w:color="auto" w:fill="auto"/>
            <w:noWrap/>
            <w:vAlign w:val="bottom"/>
            <w:hideMark/>
          </w:tcPr>
          <w:p w14:paraId="6A097DAD" w14:textId="510CCB9F"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5</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09274E90"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Gradsko stambeno komunalno gospodarstvo</w:t>
            </w:r>
          </w:p>
        </w:tc>
        <w:tc>
          <w:tcPr>
            <w:tcW w:w="1276" w:type="dxa"/>
            <w:shd w:val="clear" w:color="auto" w:fill="auto"/>
            <w:noWrap/>
            <w:vAlign w:val="bottom"/>
            <w:hideMark/>
          </w:tcPr>
          <w:p w14:paraId="43FD8F54" w14:textId="21C1E11F"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2 </w:t>
            </w:r>
            <w:r w:rsidR="00A40605" w:rsidRPr="00E16AF1">
              <w:rPr>
                <w:rFonts w:ascii="Calibri" w:eastAsia="Times New Roman" w:hAnsi="Calibri" w:cs="Calibri"/>
                <w:sz w:val="20"/>
                <w:szCs w:val="20"/>
                <w:lang w:eastAsia="hr-HR"/>
              </w:rPr>
              <w:t>521,66</w:t>
            </w:r>
          </w:p>
        </w:tc>
        <w:tc>
          <w:tcPr>
            <w:tcW w:w="1276" w:type="dxa"/>
            <w:shd w:val="clear" w:color="auto" w:fill="auto"/>
            <w:noWrap/>
            <w:vAlign w:val="bottom"/>
            <w:hideMark/>
          </w:tcPr>
          <w:p w14:paraId="71705903"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201,11</w:t>
            </w:r>
          </w:p>
        </w:tc>
        <w:tc>
          <w:tcPr>
            <w:tcW w:w="1134" w:type="dxa"/>
            <w:shd w:val="clear" w:color="auto" w:fill="auto"/>
            <w:noWrap/>
            <w:vAlign w:val="bottom"/>
            <w:hideMark/>
          </w:tcPr>
          <w:p w14:paraId="7E13BD93"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79,75</w:t>
            </w:r>
          </w:p>
        </w:tc>
        <w:tc>
          <w:tcPr>
            <w:tcW w:w="1417" w:type="dxa"/>
            <w:shd w:val="clear" w:color="auto" w:fill="auto"/>
            <w:noWrap/>
            <w:vAlign w:val="bottom"/>
            <w:hideMark/>
          </w:tcPr>
          <w:p w14:paraId="565CA969"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395,51</w:t>
            </w:r>
          </w:p>
        </w:tc>
        <w:tc>
          <w:tcPr>
            <w:tcW w:w="1323" w:type="dxa"/>
            <w:gridSpan w:val="2"/>
            <w:shd w:val="clear" w:color="auto" w:fill="auto"/>
            <w:noWrap/>
            <w:vAlign w:val="bottom"/>
            <w:hideMark/>
          </w:tcPr>
          <w:p w14:paraId="3BDC0879"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156,84</w:t>
            </w:r>
          </w:p>
        </w:tc>
      </w:tr>
      <w:tr w:rsidR="00A40605" w:rsidRPr="00E16AF1" w14:paraId="682940AA" w14:textId="77777777" w:rsidTr="00400FAE">
        <w:trPr>
          <w:trHeight w:val="240"/>
        </w:trPr>
        <w:tc>
          <w:tcPr>
            <w:tcW w:w="614" w:type="dxa"/>
            <w:shd w:val="clear" w:color="auto" w:fill="auto"/>
            <w:noWrap/>
            <w:vAlign w:val="bottom"/>
            <w:hideMark/>
          </w:tcPr>
          <w:p w14:paraId="755F1D0D" w14:textId="72EC61A9"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6</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5CEA6705"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Robni terminali Zagreb</w:t>
            </w:r>
          </w:p>
        </w:tc>
        <w:tc>
          <w:tcPr>
            <w:tcW w:w="1276" w:type="dxa"/>
            <w:shd w:val="clear" w:color="auto" w:fill="auto"/>
            <w:noWrap/>
            <w:vAlign w:val="bottom"/>
            <w:hideMark/>
          </w:tcPr>
          <w:p w14:paraId="277F1FC8" w14:textId="57BE751D"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116 </w:t>
            </w:r>
            <w:r w:rsidR="00A40605" w:rsidRPr="00E16AF1">
              <w:rPr>
                <w:rFonts w:ascii="Calibri" w:eastAsia="Times New Roman" w:hAnsi="Calibri" w:cs="Calibri"/>
                <w:sz w:val="20"/>
                <w:szCs w:val="20"/>
                <w:lang w:eastAsia="hr-HR"/>
              </w:rPr>
              <w:t>077,64</w:t>
            </w:r>
          </w:p>
        </w:tc>
        <w:tc>
          <w:tcPr>
            <w:tcW w:w="1276" w:type="dxa"/>
            <w:shd w:val="clear" w:color="auto" w:fill="auto"/>
            <w:noWrap/>
            <w:vAlign w:val="bottom"/>
            <w:hideMark/>
          </w:tcPr>
          <w:p w14:paraId="52F303E3" w14:textId="1C00E7C1"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9 </w:t>
            </w:r>
            <w:r w:rsidR="00A40605" w:rsidRPr="00E16AF1">
              <w:rPr>
                <w:rFonts w:ascii="Calibri" w:eastAsia="Times New Roman" w:hAnsi="Calibri" w:cs="Calibri"/>
                <w:sz w:val="20"/>
                <w:szCs w:val="20"/>
                <w:lang w:eastAsia="hr-HR"/>
              </w:rPr>
              <w:t>089,44</w:t>
            </w:r>
          </w:p>
        </w:tc>
        <w:tc>
          <w:tcPr>
            <w:tcW w:w="1134" w:type="dxa"/>
            <w:shd w:val="clear" w:color="auto" w:fill="auto"/>
            <w:noWrap/>
            <w:vAlign w:val="bottom"/>
            <w:hideMark/>
          </w:tcPr>
          <w:p w14:paraId="4FE8F933"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78,30</w:t>
            </w:r>
          </w:p>
        </w:tc>
        <w:tc>
          <w:tcPr>
            <w:tcW w:w="1417" w:type="dxa"/>
            <w:shd w:val="clear" w:color="auto" w:fill="auto"/>
            <w:noWrap/>
            <w:vAlign w:val="bottom"/>
            <w:hideMark/>
          </w:tcPr>
          <w:p w14:paraId="37ACFC49" w14:textId="4DBF8B5C"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9 </w:t>
            </w:r>
            <w:r w:rsidR="00A40605" w:rsidRPr="00E16AF1">
              <w:rPr>
                <w:rFonts w:ascii="Calibri" w:eastAsia="Times New Roman" w:hAnsi="Calibri" w:cs="Calibri"/>
                <w:sz w:val="20"/>
                <w:szCs w:val="20"/>
                <w:lang w:eastAsia="hr-HR"/>
              </w:rPr>
              <w:t>002,03</w:t>
            </w:r>
          </w:p>
        </w:tc>
        <w:tc>
          <w:tcPr>
            <w:tcW w:w="1323" w:type="dxa"/>
            <w:gridSpan w:val="2"/>
            <w:shd w:val="clear" w:color="auto" w:fill="auto"/>
            <w:noWrap/>
            <w:vAlign w:val="bottom"/>
            <w:hideMark/>
          </w:tcPr>
          <w:p w14:paraId="02573F6F"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77,55</w:t>
            </w:r>
          </w:p>
        </w:tc>
      </w:tr>
      <w:tr w:rsidR="00A40605" w:rsidRPr="00E16AF1" w14:paraId="6226258A" w14:textId="77777777" w:rsidTr="00400FAE">
        <w:trPr>
          <w:trHeight w:val="240"/>
        </w:trPr>
        <w:tc>
          <w:tcPr>
            <w:tcW w:w="614" w:type="dxa"/>
            <w:shd w:val="clear" w:color="auto" w:fill="auto"/>
            <w:noWrap/>
            <w:vAlign w:val="bottom"/>
            <w:hideMark/>
          </w:tcPr>
          <w:p w14:paraId="11A2B492" w14:textId="716B747F"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7</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29F6045B"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Tržnice Zagreb</w:t>
            </w:r>
          </w:p>
        </w:tc>
        <w:tc>
          <w:tcPr>
            <w:tcW w:w="1276" w:type="dxa"/>
            <w:shd w:val="clear" w:color="auto" w:fill="auto"/>
            <w:noWrap/>
            <w:vAlign w:val="bottom"/>
            <w:hideMark/>
          </w:tcPr>
          <w:p w14:paraId="5E11DD31" w14:textId="15558B5A"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67 </w:t>
            </w:r>
            <w:r w:rsidR="00A40605" w:rsidRPr="00E16AF1">
              <w:rPr>
                <w:rFonts w:ascii="Calibri" w:eastAsia="Times New Roman" w:hAnsi="Calibri" w:cs="Calibri"/>
                <w:sz w:val="20"/>
                <w:szCs w:val="20"/>
                <w:lang w:eastAsia="hr-HR"/>
              </w:rPr>
              <w:t>677,91</w:t>
            </w:r>
          </w:p>
        </w:tc>
        <w:tc>
          <w:tcPr>
            <w:tcW w:w="1276" w:type="dxa"/>
            <w:shd w:val="clear" w:color="auto" w:fill="auto"/>
            <w:noWrap/>
            <w:vAlign w:val="bottom"/>
            <w:hideMark/>
          </w:tcPr>
          <w:p w14:paraId="6E5F7B3D" w14:textId="7DA933D0"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11 </w:t>
            </w:r>
            <w:r w:rsidR="00A40605" w:rsidRPr="00E16AF1">
              <w:rPr>
                <w:rFonts w:ascii="Calibri" w:eastAsia="Times New Roman" w:hAnsi="Calibri" w:cs="Calibri"/>
                <w:sz w:val="20"/>
                <w:szCs w:val="20"/>
                <w:lang w:eastAsia="hr-HR"/>
              </w:rPr>
              <w:t>983,14</w:t>
            </w:r>
          </w:p>
        </w:tc>
        <w:tc>
          <w:tcPr>
            <w:tcW w:w="1134" w:type="dxa"/>
            <w:shd w:val="clear" w:color="auto" w:fill="auto"/>
            <w:noWrap/>
            <w:vAlign w:val="bottom"/>
            <w:hideMark/>
          </w:tcPr>
          <w:p w14:paraId="6007B637"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177,06</w:t>
            </w:r>
          </w:p>
        </w:tc>
        <w:tc>
          <w:tcPr>
            <w:tcW w:w="1417" w:type="dxa"/>
            <w:shd w:val="clear" w:color="auto" w:fill="auto"/>
            <w:noWrap/>
            <w:vAlign w:val="bottom"/>
            <w:hideMark/>
          </w:tcPr>
          <w:p w14:paraId="22E63AC4" w14:textId="050088BC"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6 </w:t>
            </w:r>
            <w:r w:rsidR="00A40605" w:rsidRPr="00E16AF1">
              <w:rPr>
                <w:rFonts w:ascii="Calibri" w:eastAsia="Times New Roman" w:hAnsi="Calibri" w:cs="Calibri"/>
                <w:sz w:val="20"/>
                <w:szCs w:val="20"/>
                <w:lang w:eastAsia="hr-HR"/>
              </w:rPr>
              <w:t>323,75</w:t>
            </w:r>
          </w:p>
        </w:tc>
        <w:tc>
          <w:tcPr>
            <w:tcW w:w="1323" w:type="dxa"/>
            <w:gridSpan w:val="2"/>
            <w:shd w:val="clear" w:color="auto" w:fill="auto"/>
            <w:noWrap/>
            <w:vAlign w:val="bottom"/>
            <w:hideMark/>
          </w:tcPr>
          <w:p w14:paraId="7569426C"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93,44</w:t>
            </w:r>
          </w:p>
        </w:tc>
      </w:tr>
      <w:tr w:rsidR="00A40605" w:rsidRPr="00E16AF1" w14:paraId="2B22534D" w14:textId="77777777" w:rsidTr="00400FAE">
        <w:trPr>
          <w:trHeight w:val="240"/>
        </w:trPr>
        <w:tc>
          <w:tcPr>
            <w:tcW w:w="614" w:type="dxa"/>
            <w:shd w:val="clear" w:color="auto" w:fill="auto"/>
            <w:noWrap/>
            <w:vAlign w:val="bottom"/>
            <w:hideMark/>
          </w:tcPr>
          <w:p w14:paraId="6C7B0628" w14:textId="42611FC0"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8</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46A8235E"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Vladimir Nazor</w:t>
            </w:r>
          </w:p>
        </w:tc>
        <w:tc>
          <w:tcPr>
            <w:tcW w:w="1276" w:type="dxa"/>
            <w:shd w:val="clear" w:color="auto" w:fill="auto"/>
            <w:noWrap/>
            <w:vAlign w:val="bottom"/>
            <w:hideMark/>
          </w:tcPr>
          <w:p w14:paraId="3B61AA23" w14:textId="3CE315DA"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16 </w:t>
            </w:r>
            <w:r w:rsidR="00A40605" w:rsidRPr="00E16AF1">
              <w:rPr>
                <w:rFonts w:ascii="Calibri" w:eastAsia="Times New Roman" w:hAnsi="Calibri" w:cs="Calibri"/>
                <w:sz w:val="20"/>
                <w:szCs w:val="20"/>
                <w:lang w:eastAsia="hr-HR"/>
              </w:rPr>
              <w:t>788,11</w:t>
            </w:r>
          </w:p>
        </w:tc>
        <w:tc>
          <w:tcPr>
            <w:tcW w:w="1276" w:type="dxa"/>
            <w:shd w:val="clear" w:color="auto" w:fill="auto"/>
            <w:noWrap/>
            <w:vAlign w:val="bottom"/>
            <w:hideMark/>
          </w:tcPr>
          <w:p w14:paraId="2CC8C427"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979,73</w:t>
            </w:r>
          </w:p>
        </w:tc>
        <w:tc>
          <w:tcPr>
            <w:tcW w:w="1134" w:type="dxa"/>
            <w:shd w:val="clear" w:color="auto" w:fill="auto"/>
            <w:noWrap/>
            <w:vAlign w:val="bottom"/>
            <w:hideMark/>
          </w:tcPr>
          <w:p w14:paraId="2D19D1ED"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58,36</w:t>
            </w:r>
          </w:p>
        </w:tc>
        <w:tc>
          <w:tcPr>
            <w:tcW w:w="1417" w:type="dxa"/>
            <w:shd w:val="clear" w:color="auto" w:fill="auto"/>
            <w:noWrap/>
            <w:vAlign w:val="bottom"/>
            <w:hideMark/>
          </w:tcPr>
          <w:p w14:paraId="52974F0F" w14:textId="757D0F89"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 </w:t>
            </w:r>
            <w:r w:rsidR="00A40605" w:rsidRPr="00E16AF1">
              <w:rPr>
                <w:rFonts w:ascii="Calibri" w:eastAsia="Times New Roman" w:hAnsi="Calibri" w:cs="Calibri"/>
                <w:sz w:val="20"/>
                <w:szCs w:val="20"/>
                <w:lang w:eastAsia="hr-HR"/>
              </w:rPr>
              <w:t>500,78</w:t>
            </w:r>
          </w:p>
        </w:tc>
        <w:tc>
          <w:tcPr>
            <w:tcW w:w="1323" w:type="dxa"/>
            <w:gridSpan w:val="2"/>
            <w:shd w:val="clear" w:color="auto" w:fill="auto"/>
            <w:noWrap/>
            <w:vAlign w:val="bottom"/>
            <w:hideMark/>
          </w:tcPr>
          <w:p w14:paraId="11C0C3C0"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89,40</w:t>
            </w:r>
          </w:p>
        </w:tc>
      </w:tr>
      <w:tr w:rsidR="00A40605" w:rsidRPr="00E16AF1" w14:paraId="535AF69C" w14:textId="77777777" w:rsidTr="00400FAE">
        <w:trPr>
          <w:trHeight w:val="240"/>
        </w:trPr>
        <w:tc>
          <w:tcPr>
            <w:tcW w:w="614" w:type="dxa"/>
            <w:shd w:val="clear" w:color="auto" w:fill="auto"/>
            <w:noWrap/>
            <w:vAlign w:val="bottom"/>
            <w:hideMark/>
          </w:tcPr>
          <w:p w14:paraId="5EE26D70" w14:textId="230BED15"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9</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2F8D51EE"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Vodoopskrba i odvodnja</w:t>
            </w:r>
          </w:p>
        </w:tc>
        <w:tc>
          <w:tcPr>
            <w:tcW w:w="1276" w:type="dxa"/>
            <w:shd w:val="clear" w:color="auto" w:fill="auto"/>
            <w:noWrap/>
            <w:vAlign w:val="bottom"/>
            <w:hideMark/>
          </w:tcPr>
          <w:p w14:paraId="5B8CF50C" w14:textId="203EF328"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22 </w:t>
            </w:r>
            <w:r w:rsidR="00A40605" w:rsidRPr="00E16AF1">
              <w:rPr>
                <w:rFonts w:ascii="Calibri" w:eastAsia="Times New Roman" w:hAnsi="Calibri" w:cs="Calibri"/>
                <w:sz w:val="20"/>
                <w:szCs w:val="20"/>
                <w:lang w:eastAsia="hr-HR"/>
              </w:rPr>
              <w:t>288,67</w:t>
            </w:r>
          </w:p>
        </w:tc>
        <w:tc>
          <w:tcPr>
            <w:tcW w:w="1276" w:type="dxa"/>
            <w:shd w:val="clear" w:color="auto" w:fill="auto"/>
            <w:noWrap/>
            <w:vAlign w:val="bottom"/>
            <w:hideMark/>
          </w:tcPr>
          <w:p w14:paraId="49A1A22E"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891,55</w:t>
            </w:r>
          </w:p>
        </w:tc>
        <w:tc>
          <w:tcPr>
            <w:tcW w:w="1134" w:type="dxa"/>
            <w:shd w:val="clear" w:color="auto" w:fill="auto"/>
            <w:noWrap/>
            <w:vAlign w:val="bottom"/>
            <w:hideMark/>
          </w:tcPr>
          <w:p w14:paraId="58D789DD"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40,00</w:t>
            </w:r>
          </w:p>
        </w:tc>
        <w:tc>
          <w:tcPr>
            <w:tcW w:w="1417" w:type="dxa"/>
            <w:shd w:val="clear" w:color="auto" w:fill="auto"/>
            <w:noWrap/>
            <w:vAlign w:val="bottom"/>
            <w:hideMark/>
          </w:tcPr>
          <w:p w14:paraId="5FD0C43E" w14:textId="2ACF3E57"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3 </w:t>
            </w:r>
            <w:r w:rsidR="00A40605" w:rsidRPr="00E16AF1">
              <w:rPr>
                <w:rFonts w:ascii="Calibri" w:eastAsia="Times New Roman" w:hAnsi="Calibri" w:cs="Calibri"/>
                <w:sz w:val="20"/>
                <w:szCs w:val="20"/>
                <w:lang w:eastAsia="hr-HR"/>
              </w:rPr>
              <w:t>869,78</w:t>
            </w:r>
          </w:p>
        </w:tc>
        <w:tc>
          <w:tcPr>
            <w:tcW w:w="1323" w:type="dxa"/>
            <w:gridSpan w:val="2"/>
            <w:shd w:val="clear" w:color="auto" w:fill="auto"/>
            <w:noWrap/>
            <w:vAlign w:val="bottom"/>
            <w:hideMark/>
          </w:tcPr>
          <w:p w14:paraId="67055A02"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173,62</w:t>
            </w:r>
          </w:p>
        </w:tc>
      </w:tr>
      <w:tr w:rsidR="00A40605" w:rsidRPr="00E16AF1" w14:paraId="0A751BEB" w14:textId="77777777" w:rsidTr="00400FAE">
        <w:trPr>
          <w:trHeight w:val="240"/>
        </w:trPr>
        <w:tc>
          <w:tcPr>
            <w:tcW w:w="614" w:type="dxa"/>
            <w:shd w:val="clear" w:color="auto" w:fill="auto"/>
            <w:noWrap/>
            <w:vAlign w:val="bottom"/>
            <w:hideMark/>
          </w:tcPr>
          <w:p w14:paraId="63B3B07C" w14:textId="1B92FA6D"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10</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7F8681E0"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Zagrebparking</w:t>
            </w:r>
          </w:p>
        </w:tc>
        <w:tc>
          <w:tcPr>
            <w:tcW w:w="1276" w:type="dxa"/>
            <w:shd w:val="clear" w:color="auto" w:fill="auto"/>
            <w:noWrap/>
            <w:vAlign w:val="bottom"/>
            <w:hideMark/>
          </w:tcPr>
          <w:p w14:paraId="66315FBD" w14:textId="3A87D060"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 </w:t>
            </w:r>
            <w:r w:rsidR="00A40605" w:rsidRPr="00E16AF1">
              <w:rPr>
                <w:rFonts w:ascii="Calibri" w:eastAsia="Times New Roman" w:hAnsi="Calibri" w:cs="Calibri"/>
                <w:sz w:val="20"/>
                <w:szCs w:val="20"/>
                <w:lang w:eastAsia="hr-HR"/>
              </w:rPr>
              <w:t>491,00</w:t>
            </w:r>
          </w:p>
        </w:tc>
        <w:tc>
          <w:tcPr>
            <w:tcW w:w="1276" w:type="dxa"/>
            <w:shd w:val="clear" w:color="auto" w:fill="auto"/>
            <w:noWrap/>
            <w:vAlign w:val="bottom"/>
            <w:hideMark/>
          </w:tcPr>
          <w:p w14:paraId="0F32CF1F"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60,22</w:t>
            </w:r>
          </w:p>
        </w:tc>
        <w:tc>
          <w:tcPr>
            <w:tcW w:w="1134" w:type="dxa"/>
            <w:shd w:val="clear" w:color="auto" w:fill="auto"/>
            <w:noWrap/>
            <w:vAlign w:val="bottom"/>
            <w:hideMark/>
          </w:tcPr>
          <w:p w14:paraId="2B409C99"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40,39</w:t>
            </w:r>
          </w:p>
        </w:tc>
        <w:tc>
          <w:tcPr>
            <w:tcW w:w="1417" w:type="dxa"/>
            <w:shd w:val="clear" w:color="auto" w:fill="auto"/>
            <w:noWrap/>
            <w:vAlign w:val="bottom"/>
            <w:hideMark/>
          </w:tcPr>
          <w:p w14:paraId="68C4663B"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180,44</w:t>
            </w:r>
          </w:p>
        </w:tc>
        <w:tc>
          <w:tcPr>
            <w:tcW w:w="1323" w:type="dxa"/>
            <w:gridSpan w:val="2"/>
            <w:shd w:val="clear" w:color="auto" w:fill="auto"/>
            <w:noWrap/>
            <w:vAlign w:val="bottom"/>
            <w:hideMark/>
          </w:tcPr>
          <w:p w14:paraId="5192DEAB"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121,02</w:t>
            </w:r>
          </w:p>
        </w:tc>
      </w:tr>
      <w:tr w:rsidR="00A40605" w:rsidRPr="00E16AF1" w14:paraId="179BD4ED" w14:textId="77777777" w:rsidTr="00400FAE">
        <w:trPr>
          <w:trHeight w:val="240"/>
        </w:trPr>
        <w:tc>
          <w:tcPr>
            <w:tcW w:w="614" w:type="dxa"/>
            <w:shd w:val="clear" w:color="auto" w:fill="auto"/>
            <w:noWrap/>
            <w:vAlign w:val="bottom"/>
            <w:hideMark/>
          </w:tcPr>
          <w:p w14:paraId="49BCB906" w14:textId="709DD91F"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11</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6812ECED"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Zagrebačke ceste</w:t>
            </w:r>
          </w:p>
        </w:tc>
        <w:tc>
          <w:tcPr>
            <w:tcW w:w="1276" w:type="dxa"/>
            <w:shd w:val="clear" w:color="auto" w:fill="auto"/>
            <w:noWrap/>
            <w:vAlign w:val="bottom"/>
            <w:hideMark/>
          </w:tcPr>
          <w:p w14:paraId="39182075" w14:textId="5E9F191D"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6 </w:t>
            </w:r>
            <w:r w:rsidR="00A40605" w:rsidRPr="00E16AF1">
              <w:rPr>
                <w:rFonts w:ascii="Calibri" w:eastAsia="Times New Roman" w:hAnsi="Calibri" w:cs="Calibri"/>
                <w:sz w:val="20"/>
                <w:szCs w:val="20"/>
                <w:lang w:eastAsia="hr-HR"/>
              </w:rPr>
              <w:t>380,00</w:t>
            </w:r>
          </w:p>
        </w:tc>
        <w:tc>
          <w:tcPr>
            <w:tcW w:w="1276" w:type="dxa"/>
            <w:shd w:val="clear" w:color="auto" w:fill="auto"/>
            <w:noWrap/>
            <w:vAlign w:val="bottom"/>
            <w:hideMark/>
          </w:tcPr>
          <w:p w14:paraId="6DA1F29B"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216,50</w:t>
            </w:r>
          </w:p>
        </w:tc>
        <w:tc>
          <w:tcPr>
            <w:tcW w:w="1134" w:type="dxa"/>
            <w:shd w:val="clear" w:color="auto" w:fill="auto"/>
            <w:noWrap/>
            <w:vAlign w:val="bottom"/>
            <w:hideMark/>
          </w:tcPr>
          <w:p w14:paraId="78E516CC"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33,93</w:t>
            </w:r>
          </w:p>
        </w:tc>
        <w:tc>
          <w:tcPr>
            <w:tcW w:w="1417" w:type="dxa"/>
            <w:shd w:val="clear" w:color="auto" w:fill="auto"/>
            <w:noWrap/>
            <w:vAlign w:val="bottom"/>
            <w:hideMark/>
          </w:tcPr>
          <w:p w14:paraId="07A87EEF" w14:textId="0E8F508A"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 </w:t>
            </w:r>
            <w:r w:rsidR="00A40605" w:rsidRPr="00E16AF1">
              <w:rPr>
                <w:rFonts w:ascii="Calibri" w:eastAsia="Times New Roman" w:hAnsi="Calibri" w:cs="Calibri"/>
                <w:sz w:val="20"/>
                <w:szCs w:val="20"/>
                <w:lang w:eastAsia="hr-HR"/>
              </w:rPr>
              <w:t>076,42</w:t>
            </w:r>
          </w:p>
        </w:tc>
        <w:tc>
          <w:tcPr>
            <w:tcW w:w="1323" w:type="dxa"/>
            <w:gridSpan w:val="2"/>
            <w:shd w:val="clear" w:color="auto" w:fill="auto"/>
            <w:noWrap/>
            <w:vAlign w:val="bottom"/>
            <w:hideMark/>
          </w:tcPr>
          <w:p w14:paraId="661A3CD0"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168,72</w:t>
            </w:r>
          </w:p>
        </w:tc>
      </w:tr>
      <w:tr w:rsidR="00A40605" w:rsidRPr="00E16AF1" w14:paraId="7E958EB2" w14:textId="77777777" w:rsidTr="00400FAE">
        <w:trPr>
          <w:trHeight w:val="240"/>
        </w:trPr>
        <w:tc>
          <w:tcPr>
            <w:tcW w:w="614" w:type="dxa"/>
            <w:shd w:val="clear" w:color="auto" w:fill="auto"/>
            <w:noWrap/>
            <w:vAlign w:val="bottom"/>
            <w:hideMark/>
          </w:tcPr>
          <w:p w14:paraId="50444803" w14:textId="729F7CEF"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12</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668B729B"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Zagrebački električni tramvaj - ZET</w:t>
            </w:r>
          </w:p>
        </w:tc>
        <w:tc>
          <w:tcPr>
            <w:tcW w:w="1276" w:type="dxa"/>
            <w:shd w:val="clear" w:color="auto" w:fill="auto"/>
            <w:noWrap/>
            <w:vAlign w:val="bottom"/>
            <w:hideMark/>
          </w:tcPr>
          <w:p w14:paraId="0EB88425" w14:textId="40467606"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56 </w:t>
            </w:r>
            <w:r w:rsidR="00A40605" w:rsidRPr="00E16AF1">
              <w:rPr>
                <w:rFonts w:ascii="Calibri" w:eastAsia="Times New Roman" w:hAnsi="Calibri" w:cs="Calibri"/>
                <w:sz w:val="20"/>
                <w:szCs w:val="20"/>
                <w:lang w:eastAsia="hr-HR"/>
              </w:rPr>
              <w:t>919,65</w:t>
            </w:r>
          </w:p>
        </w:tc>
        <w:tc>
          <w:tcPr>
            <w:tcW w:w="1276" w:type="dxa"/>
            <w:shd w:val="clear" w:color="auto" w:fill="auto"/>
            <w:noWrap/>
            <w:vAlign w:val="bottom"/>
            <w:hideMark/>
          </w:tcPr>
          <w:p w14:paraId="57B23F21" w14:textId="4E772AFB"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3 </w:t>
            </w:r>
            <w:r w:rsidR="00A40605" w:rsidRPr="00E16AF1">
              <w:rPr>
                <w:rFonts w:ascii="Calibri" w:eastAsia="Times New Roman" w:hAnsi="Calibri" w:cs="Calibri"/>
                <w:sz w:val="20"/>
                <w:szCs w:val="20"/>
                <w:lang w:eastAsia="hr-HR"/>
              </w:rPr>
              <w:t>301,34</w:t>
            </w:r>
          </w:p>
        </w:tc>
        <w:tc>
          <w:tcPr>
            <w:tcW w:w="1134" w:type="dxa"/>
            <w:shd w:val="clear" w:color="auto" w:fill="auto"/>
            <w:noWrap/>
            <w:vAlign w:val="bottom"/>
            <w:hideMark/>
          </w:tcPr>
          <w:p w14:paraId="6C2CBDF6"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58,00</w:t>
            </w:r>
          </w:p>
        </w:tc>
        <w:tc>
          <w:tcPr>
            <w:tcW w:w="1417" w:type="dxa"/>
            <w:shd w:val="clear" w:color="auto" w:fill="auto"/>
            <w:noWrap/>
            <w:vAlign w:val="bottom"/>
            <w:hideMark/>
          </w:tcPr>
          <w:p w14:paraId="0B807291" w14:textId="6EB5A316"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7 </w:t>
            </w:r>
            <w:r w:rsidR="00A40605" w:rsidRPr="00E16AF1">
              <w:rPr>
                <w:rFonts w:ascii="Calibri" w:eastAsia="Times New Roman" w:hAnsi="Calibri" w:cs="Calibri"/>
                <w:sz w:val="20"/>
                <w:szCs w:val="20"/>
                <w:lang w:eastAsia="hr-HR"/>
              </w:rPr>
              <w:t>968,75</w:t>
            </w:r>
          </w:p>
        </w:tc>
        <w:tc>
          <w:tcPr>
            <w:tcW w:w="1323" w:type="dxa"/>
            <w:gridSpan w:val="2"/>
            <w:shd w:val="clear" w:color="auto" w:fill="auto"/>
            <w:noWrap/>
            <w:vAlign w:val="bottom"/>
            <w:hideMark/>
          </w:tcPr>
          <w:p w14:paraId="59B7E33D"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140,00</w:t>
            </w:r>
          </w:p>
        </w:tc>
      </w:tr>
      <w:tr w:rsidR="00A40605" w:rsidRPr="00E16AF1" w14:paraId="749A4E6F" w14:textId="77777777" w:rsidTr="00400FAE">
        <w:trPr>
          <w:trHeight w:val="240"/>
        </w:trPr>
        <w:tc>
          <w:tcPr>
            <w:tcW w:w="614" w:type="dxa"/>
            <w:shd w:val="clear" w:color="auto" w:fill="auto"/>
            <w:noWrap/>
            <w:vAlign w:val="bottom"/>
            <w:hideMark/>
          </w:tcPr>
          <w:p w14:paraId="4A904650" w14:textId="6B88D4A2"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13</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1BE64A73"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Zagrebački velesajam</w:t>
            </w:r>
          </w:p>
        </w:tc>
        <w:tc>
          <w:tcPr>
            <w:tcW w:w="1276" w:type="dxa"/>
            <w:shd w:val="clear" w:color="auto" w:fill="auto"/>
            <w:noWrap/>
            <w:vAlign w:val="bottom"/>
            <w:hideMark/>
          </w:tcPr>
          <w:p w14:paraId="6CC2DA04" w14:textId="14D69C96"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31 </w:t>
            </w:r>
            <w:r w:rsidR="00A40605" w:rsidRPr="00E16AF1">
              <w:rPr>
                <w:rFonts w:ascii="Calibri" w:eastAsia="Times New Roman" w:hAnsi="Calibri" w:cs="Calibri"/>
                <w:sz w:val="20"/>
                <w:szCs w:val="20"/>
                <w:lang w:eastAsia="hr-HR"/>
              </w:rPr>
              <w:t>550,00</w:t>
            </w:r>
          </w:p>
        </w:tc>
        <w:tc>
          <w:tcPr>
            <w:tcW w:w="1276" w:type="dxa"/>
            <w:shd w:val="clear" w:color="auto" w:fill="auto"/>
            <w:noWrap/>
            <w:vAlign w:val="bottom"/>
            <w:hideMark/>
          </w:tcPr>
          <w:p w14:paraId="0A32CD28"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604,22</w:t>
            </w:r>
          </w:p>
        </w:tc>
        <w:tc>
          <w:tcPr>
            <w:tcW w:w="1134" w:type="dxa"/>
            <w:shd w:val="clear" w:color="auto" w:fill="auto"/>
            <w:noWrap/>
            <w:vAlign w:val="bottom"/>
            <w:hideMark/>
          </w:tcPr>
          <w:p w14:paraId="59F53B31"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19,15</w:t>
            </w:r>
          </w:p>
        </w:tc>
        <w:tc>
          <w:tcPr>
            <w:tcW w:w="1417" w:type="dxa"/>
            <w:shd w:val="clear" w:color="auto" w:fill="auto"/>
            <w:noWrap/>
            <w:vAlign w:val="bottom"/>
            <w:hideMark/>
          </w:tcPr>
          <w:p w14:paraId="2FECA177" w14:textId="1ADD959D"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 </w:t>
            </w:r>
            <w:r w:rsidR="00A40605" w:rsidRPr="00E16AF1">
              <w:rPr>
                <w:rFonts w:ascii="Calibri" w:eastAsia="Times New Roman" w:hAnsi="Calibri" w:cs="Calibri"/>
                <w:sz w:val="20"/>
                <w:szCs w:val="20"/>
                <w:lang w:eastAsia="hr-HR"/>
              </w:rPr>
              <w:t>956,10</w:t>
            </w:r>
          </w:p>
        </w:tc>
        <w:tc>
          <w:tcPr>
            <w:tcW w:w="1323" w:type="dxa"/>
            <w:gridSpan w:val="2"/>
            <w:shd w:val="clear" w:color="auto" w:fill="auto"/>
            <w:noWrap/>
            <w:vAlign w:val="bottom"/>
            <w:hideMark/>
          </w:tcPr>
          <w:p w14:paraId="23FB23D4"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62,00</w:t>
            </w:r>
          </w:p>
        </w:tc>
      </w:tr>
      <w:tr w:rsidR="00A40605" w:rsidRPr="00E16AF1" w14:paraId="5A69276B" w14:textId="77777777" w:rsidTr="00400FAE">
        <w:trPr>
          <w:trHeight w:val="240"/>
        </w:trPr>
        <w:tc>
          <w:tcPr>
            <w:tcW w:w="614" w:type="dxa"/>
            <w:shd w:val="clear" w:color="auto" w:fill="auto"/>
            <w:noWrap/>
            <w:vAlign w:val="bottom"/>
            <w:hideMark/>
          </w:tcPr>
          <w:p w14:paraId="5EBFF108" w14:textId="7B5235C5"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14</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048EB1BA"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ZGOS</w:t>
            </w:r>
          </w:p>
        </w:tc>
        <w:tc>
          <w:tcPr>
            <w:tcW w:w="1276" w:type="dxa"/>
            <w:shd w:val="clear" w:color="auto" w:fill="auto"/>
            <w:noWrap/>
            <w:vAlign w:val="bottom"/>
            <w:hideMark/>
          </w:tcPr>
          <w:p w14:paraId="7144DCAC"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483,64</w:t>
            </w:r>
          </w:p>
        </w:tc>
        <w:tc>
          <w:tcPr>
            <w:tcW w:w="1276" w:type="dxa"/>
            <w:shd w:val="clear" w:color="auto" w:fill="auto"/>
            <w:noWrap/>
            <w:vAlign w:val="bottom"/>
            <w:hideMark/>
          </w:tcPr>
          <w:p w14:paraId="79D2A3D9"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13,40</w:t>
            </w:r>
          </w:p>
        </w:tc>
        <w:tc>
          <w:tcPr>
            <w:tcW w:w="1134" w:type="dxa"/>
            <w:shd w:val="clear" w:color="auto" w:fill="auto"/>
            <w:noWrap/>
            <w:vAlign w:val="bottom"/>
            <w:hideMark/>
          </w:tcPr>
          <w:p w14:paraId="20E4B54B"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27,71</w:t>
            </w:r>
          </w:p>
        </w:tc>
        <w:tc>
          <w:tcPr>
            <w:tcW w:w="1417" w:type="dxa"/>
            <w:shd w:val="clear" w:color="auto" w:fill="auto"/>
            <w:noWrap/>
            <w:vAlign w:val="bottom"/>
            <w:hideMark/>
          </w:tcPr>
          <w:p w14:paraId="010BC2A9"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93,45</w:t>
            </w:r>
          </w:p>
        </w:tc>
        <w:tc>
          <w:tcPr>
            <w:tcW w:w="1323" w:type="dxa"/>
            <w:gridSpan w:val="2"/>
            <w:shd w:val="clear" w:color="auto" w:fill="auto"/>
            <w:noWrap/>
            <w:vAlign w:val="bottom"/>
            <w:hideMark/>
          </w:tcPr>
          <w:p w14:paraId="3B377AA7"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193,21</w:t>
            </w:r>
          </w:p>
        </w:tc>
      </w:tr>
      <w:tr w:rsidR="00A40605" w:rsidRPr="00E16AF1" w14:paraId="65BE8B24" w14:textId="77777777" w:rsidTr="00400FAE">
        <w:trPr>
          <w:trHeight w:val="240"/>
        </w:trPr>
        <w:tc>
          <w:tcPr>
            <w:tcW w:w="614" w:type="dxa"/>
            <w:shd w:val="clear" w:color="auto" w:fill="auto"/>
            <w:noWrap/>
            <w:vAlign w:val="bottom"/>
            <w:hideMark/>
          </w:tcPr>
          <w:p w14:paraId="0F1A1582" w14:textId="1BE5CE90"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15</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76B7C356"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Zrinjevac</w:t>
            </w:r>
          </w:p>
        </w:tc>
        <w:tc>
          <w:tcPr>
            <w:tcW w:w="1276" w:type="dxa"/>
            <w:shd w:val="clear" w:color="auto" w:fill="auto"/>
            <w:noWrap/>
            <w:vAlign w:val="bottom"/>
            <w:hideMark/>
          </w:tcPr>
          <w:p w14:paraId="02CDB368" w14:textId="4B58679B"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15 </w:t>
            </w:r>
            <w:r w:rsidR="00A40605" w:rsidRPr="00E16AF1">
              <w:rPr>
                <w:rFonts w:ascii="Calibri" w:eastAsia="Times New Roman" w:hAnsi="Calibri" w:cs="Calibri"/>
                <w:sz w:val="20"/>
                <w:szCs w:val="20"/>
                <w:lang w:eastAsia="hr-HR"/>
              </w:rPr>
              <w:t>070,00</w:t>
            </w:r>
          </w:p>
        </w:tc>
        <w:tc>
          <w:tcPr>
            <w:tcW w:w="1276" w:type="dxa"/>
            <w:shd w:val="clear" w:color="auto" w:fill="auto"/>
            <w:noWrap/>
            <w:vAlign w:val="bottom"/>
            <w:hideMark/>
          </w:tcPr>
          <w:p w14:paraId="28684552"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722,00</w:t>
            </w:r>
          </w:p>
        </w:tc>
        <w:tc>
          <w:tcPr>
            <w:tcW w:w="1134" w:type="dxa"/>
            <w:shd w:val="clear" w:color="auto" w:fill="auto"/>
            <w:noWrap/>
            <w:vAlign w:val="bottom"/>
            <w:hideMark/>
          </w:tcPr>
          <w:p w14:paraId="43381888"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47,91</w:t>
            </w:r>
          </w:p>
        </w:tc>
        <w:tc>
          <w:tcPr>
            <w:tcW w:w="1417" w:type="dxa"/>
            <w:shd w:val="clear" w:color="auto" w:fill="auto"/>
            <w:noWrap/>
            <w:vAlign w:val="bottom"/>
            <w:hideMark/>
          </w:tcPr>
          <w:p w14:paraId="5A11FDA9" w14:textId="72C32B9D"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3 </w:t>
            </w:r>
            <w:r w:rsidR="00A40605" w:rsidRPr="00E16AF1">
              <w:rPr>
                <w:rFonts w:ascii="Calibri" w:eastAsia="Times New Roman" w:hAnsi="Calibri" w:cs="Calibri"/>
                <w:sz w:val="20"/>
                <w:szCs w:val="20"/>
                <w:lang w:eastAsia="hr-HR"/>
              </w:rPr>
              <w:t>004,79</w:t>
            </w:r>
          </w:p>
        </w:tc>
        <w:tc>
          <w:tcPr>
            <w:tcW w:w="1323" w:type="dxa"/>
            <w:gridSpan w:val="2"/>
            <w:shd w:val="clear" w:color="auto" w:fill="auto"/>
            <w:noWrap/>
            <w:vAlign w:val="bottom"/>
            <w:hideMark/>
          </w:tcPr>
          <w:p w14:paraId="7F3D1794"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199,39</w:t>
            </w:r>
          </w:p>
        </w:tc>
      </w:tr>
      <w:tr w:rsidR="00A40605" w:rsidRPr="00E16AF1" w14:paraId="05749A6D" w14:textId="77777777" w:rsidTr="00400FAE">
        <w:trPr>
          <w:trHeight w:val="240"/>
        </w:trPr>
        <w:tc>
          <w:tcPr>
            <w:tcW w:w="614" w:type="dxa"/>
            <w:shd w:val="clear" w:color="auto" w:fill="auto"/>
            <w:noWrap/>
            <w:vAlign w:val="bottom"/>
            <w:hideMark/>
          </w:tcPr>
          <w:p w14:paraId="59ECC004" w14:textId="5A3237DD"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16</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6A8F2E6B"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Gradska plinara Zagreb d.o.o.</w:t>
            </w:r>
          </w:p>
        </w:tc>
        <w:tc>
          <w:tcPr>
            <w:tcW w:w="1276" w:type="dxa"/>
            <w:shd w:val="clear" w:color="auto" w:fill="auto"/>
            <w:noWrap/>
            <w:vAlign w:val="bottom"/>
            <w:hideMark/>
          </w:tcPr>
          <w:p w14:paraId="11F4BE54" w14:textId="3D2A8A6C"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12 </w:t>
            </w:r>
            <w:r w:rsidR="00A40605" w:rsidRPr="00E16AF1">
              <w:rPr>
                <w:rFonts w:ascii="Calibri" w:eastAsia="Times New Roman" w:hAnsi="Calibri" w:cs="Calibri"/>
                <w:sz w:val="20"/>
                <w:szCs w:val="20"/>
                <w:lang w:eastAsia="hr-HR"/>
              </w:rPr>
              <w:t>893,00</w:t>
            </w:r>
          </w:p>
        </w:tc>
        <w:tc>
          <w:tcPr>
            <w:tcW w:w="1276" w:type="dxa"/>
            <w:shd w:val="clear" w:color="auto" w:fill="auto"/>
            <w:noWrap/>
            <w:vAlign w:val="bottom"/>
            <w:hideMark/>
          </w:tcPr>
          <w:p w14:paraId="75364EDD"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888,30</w:t>
            </w:r>
          </w:p>
        </w:tc>
        <w:tc>
          <w:tcPr>
            <w:tcW w:w="1134" w:type="dxa"/>
            <w:shd w:val="clear" w:color="auto" w:fill="auto"/>
            <w:noWrap/>
            <w:vAlign w:val="bottom"/>
            <w:hideMark/>
          </w:tcPr>
          <w:p w14:paraId="3F7C76E3"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68,90</w:t>
            </w:r>
          </w:p>
        </w:tc>
        <w:tc>
          <w:tcPr>
            <w:tcW w:w="1417" w:type="dxa"/>
            <w:shd w:val="clear" w:color="auto" w:fill="auto"/>
            <w:noWrap/>
            <w:vAlign w:val="bottom"/>
            <w:hideMark/>
          </w:tcPr>
          <w:p w14:paraId="24E9AD05" w14:textId="6F3D6C17"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2 </w:t>
            </w:r>
            <w:r w:rsidR="00A40605" w:rsidRPr="00E16AF1">
              <w:rPr>
                <w:rFonts w:ascii="Calibri" w:eastAsia="Times New Roman" w:hAnsi="Calibri" w:cs="Calibri"/>
                <w:sz w:val="20"/>
                <w:szCs w:val="20"/>
                <w:lang w:eastAsia="hr-HR"/>
              </w:rPr>
              <w:t>814,42</w:t>
            </w:r>
          </w:p>
        </w:tc>
        <w:tc>
          <w:tcPr>
            <w:tcW w:w="1323" w:type="dxa"/>
            <w:gridSpan w:val="2"/>
            <w:shd w:val="clear" w:color="auto" w:fill="auto"/>
            <w:noWrap/>
            <w:vAlign w:val="bottom"/>
            <w:hideMark/>
          </w:tcPr>
          <w:p w14:paraId="339F6864"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218,29</w:t>
            </w:r>
          </w:p>
        </w:tc>
      </w:tr>
      <w:tr w:rsidR="00A40605" w:rsidRPr="00E16AF1" w14:paraId="31A4A394" w14:textId="77777777" w:rsidTr="00400FAE">
        <w:trPr>
          <w:trHeight w:val="240"/>
        </w:trPr>
        <w:tc>
          <w:tcPr>
            <w:tcW w:w="614" w:type="dxa"/>
            <w:shd w:val="clear" w:color="auto" w:fill="auto"/>
            <w:noWrap/>
            <w:vAlign w:val="bottom"/>
            <w:hideMark/>
          </w:tcPr>
          <w:p w14:paraId="6554EFC2" w14:textId="5395F30C"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17</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067ECD1B"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Zagreb plakat d.o.o</w:t>
            </w:r>
          </w:p>
        </w:tc>
        <w:tc>
          <w:tcPr>
            <w:tcW w:w="1276" w:type="dxa"/>
            <w:shd w:val="clear" w:color="auto" w:fill="auto"/>
            <w:noWrap/>
            <w:vAlign w:val="bottom"/>
            <w:hideMark/>
          </w:tcPr>
          <w:p w14:paraId="498F404D"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258,15</w:t>
            </w:r>
          </w:p>
        </w:tc>
        <w:tc>
          <w:tcPr>
            <w:tcW w:w="1276" w:type="dxa"/>
            <w:shd w:val="clear" w:color="auto" w:fill="auto"/>
            <w:noWrap/>
            <w:vAlign w:val="bottom"/>
            <w:hideMark/>
          </w:tcPr>
          <w:p w14:paraId="17A2AC5B"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21,18</w:t>
            </w:r>
          </w:p>
        </w:tc>
        <w:tc>
          <w:tcPr>
            <w:tcW w:w="1134" w:type="dxa"/>
            <w:shd w:val="clear" w:color="auto" w:fill="auto"/>
            <w:noWrap/>
            <w:vAlign w:val="bottom"/>
            <w:hideMark/>
          </w:tcPr>
          <w:p w14:paraId="56BAE57D"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82,06</w:t>
            </w:r>
          </w:p>
        </w:tc>
        <w:tc>
          <w:tcPr>
            <w:tcW w:w="1417" w:type="dxa"/>
            <w:shd w:val="clear" w:color="auto" w:fill="auto"/>
            <w:noWrap/>
            <w:vAlign w:val="bottom"/>
            <w:hideMark/>
          </w:tcPr>
          <w:p w14:paraId="5B02E2B8"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41,49</w:t>
            </w:r>
          </w:p>
        </w:tc>
        <w:tc>
          <w:tcPr>
            <w:tcW w:w="1323" w:type="dxa"/>
            <w:gridSpan w:val="2"/>
            <w:shd w:val="clear" w:color="auto" w:fill="auto"/>
            <w:noWrap/>
            <w:vAlign w:val="bottom"/>
            <w:hideMark/>
          </w:tcPr>
          <w:p w14:paraId="18C0A5C8"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160,71</w:t>
            </w:r>
          </w:p>
        </w:tc>
      </w:tr>
      <w:tr w:rsidR="00A40605" w:rsidRPr="00E16AF1" w14:paraId="7C9FF1B7" w14:textId="77777777" w:rsidTr="00400FAE">
        <w:trPr>
          <w:trHeight w:val="240"/>
        </w:trPr>
        <w:tc>
          <w:tcPr>
            <w:tcW w:w="614" w:type="dxa"/>
            <w:shd w:val="clear" w:color="auto" w:fill="auto"/>
            <w:noWrap/>
            <w:vAlign w:val="bottom"/>
            <w:hideMark/>
          </w:tcPr>
          <w:p w14:paraId="142427E8" w14:textId="3A9A046D"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18</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4A1B992A"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Gradska ljekarna Zagreb d.o.o.</w:t>
            </w:r>
          </w:p>
        </w:tc>
        <w:tc>
          <w:tcPr>
            <w:tcW w:w="1276" w:type="dxa"/>
            <w:shd w:val="clear" w:color="auto" w:fill="auto"/>
            <w:noWrap/>
            <w:vAlign w:val="bottom"/>
            <w:hideMark/>
          </w:tcPr>
          <w:p w14:paraId="1FCFCEB4" w14:textId="43CA3E42"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8 </w:t>
            </w:r>
            <w:r w:rsidR="00A40605" w:rsidRPr="00E16AF1">
              <w:rPr>
                <w:rFonts w:ascii="Calibri" w:eastAsia="Times New Roman" w:hAnsi="Calibri" w:cs="Calibri"/>
                <w:sz w:val="20"/>
                <w:szCs w:val="20"/>
                <w:lang w:eastAsia="hr-HR"/>
              </w:rPr>
              <w:t>653,00</w:t>
            </w:r>
          </w:p>
        </w:tc>
        <w:tc>
          <w:tcPr>
            <w:tcW w:w="1276" w:type="dxa"/>
            <w:shd w:val="clear" w:color="auto" w:fill="auto"/>
            <w:noWrap/>
            <w:vAlign w:val="bottom"/>
            <w:hideMark/>
          </w:tcPr>
          <w:p w14:paraId="02399F31"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858,47</w:t>
            </w:r>
          </w:p>
        </w:tc>
        <w:tc>
          <w:tcPr>
            <w:tcW w:w="1134" w:type="dxa"/>
            <w:shd w:val="clear" w:color="auto" w:fill="auto"/>
            <w:noWrap/>
            <w:vAlign w:val="bottom"/>
            <w:hideMark/>
          </w:tcPr>
          <w:p w14:paraId="779CDF6F"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99,21</w:t>
            </w:r>
          </w:p>
        </w:tc>
        <w:tc>
          <w:tcPr>
            <w:tcW w:w="1417" w:type="dxa"/>
            <w:shd w:val="clear" w:color="auto" w:fill="auto"/>
            <w:noWrap/>
            <w:vAlign w:val="bottom"/>
            <w:hideMark/>
          </w:tcPr>
          <w:p w14:paraId="58348DDA"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964,67</w:t>
            </w:r>
          </w:p>
        </w:tc>
        <w:tc>
          <w:tcPr>
            <w:tcW w:w="1323" w:type="dxa"/>
            <w:gridSpan w:val="2"/>
            <w:shd w:val="clear" w:color="auto" w:fill="auto"/>
            <w:noWrap/>
            <w:vAlign w:val="bottom"/>
            <w:hideMark/>
          </w:tcPr>
          <w:p w14:paraId="7332BD95"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111,48</w:t>
            </w:r>
          </w:p>
        </w:tc>
      </w:tr>
      <w:tr w:rsidR="00A40605" w:rsidRPr="00E16AF1" w14:paraId="64CB6C5F" w14:textId="77777777" w:rsidTr="00400FAE">
        <w:trPr>
          <w:trHeight w:val="240"/>
        </w:trPr>
        <w:tc>
          <w:tcPr>
            <w:tcW w:w="614" w:type="dxa"/>
            <w:shd w:val="clear" w:color="auto" w:fill="auto"/>
            <w:noWrap/>
            <w:vAlign w:val="bottom"/>
            <w:hideMark/>
          </w:tcPr>
          <w:p w14:paraId="1F08EB99" w14:textId="41A8A71C"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19</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344318A3"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Arena Zagreb</w:t>
            </w:r>
          </w:p>
        </w:tc>
        <w:tc>
          <w:tcPr>
            <w:tcW w:w="1276" w:type="dxa"/>
            <w:shd w:val="clear" w:color="auto" w:fill="auto"/>
            <w:noWrap/>
            <w:vAlign w:val="bottom"/>
            <w:hideMark/>
          </w:tcPr>
          <w:p w14:paraId="0D14E6B5" w14:textId="458EFE43"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34 </w:t>
            </w:r>
            <w:r w:rsidR="00A40605" w:rsidRPr="00E16AF1">
              <w:rPr>
                <w:rFonts w:ascii="Calibri" w:eastAsia="Times New Roman" w:hAnsi="Calibri" w:cs="Calibri"/>
                <w:sz w:val="20"/>
                <w:szCs w:val="20"/>
                <w:lang w:eastAsia="hr-HR"/>
              </w:rPr>
              <w:t>755,00</w:t>
            </w:r>
          </w:p>
        </w:tc>
        <w:tc>
          <w:tcPr>
            <w:tcW w:w="1276" w:type="dxa"/>
            <w:shd w:val="clear" w:color="auto" w:fill="auto"/>
            <w:noWrap/>
            <w:vAlign w:val="bottom"/>
            <w:hideMark/>
          </w:tcPr>
          <w:p w14:paraId="75E357C9" w14:textId="076E8FEF"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 </w:t>
            </w:r>
            <w:r w:rsidR="00A40605" w:rsidRPr="00E16AF1">
              <w:rPr>
                <w:rFonts w:ascii="Calibri" w:eastAsia="Times New Roman" w:hAnsi="Calibri" w:cs="Calibri"/>
                <w:sz w:val="20"/>
                <w:szCs w:val="20"/>
                <w:lang w:eastAsia="hr-HR"/>
              </w:rPr>
              <w:t>824,43</w:t>
            </w:r>
          </w:p>
        </w:tc>
        <w:tc>
          <w:tcPr>
            <w:tcW w:w="1134" w:type="dxa"/>
            <w:shd w:val="clear" w:color="auto" w:fill="auto"/>
            <w:noWrap/>
            <w:vAlign w:val="bottom"/>
            <w:hideMark/>
          </w:tcPr>
          <w:p w14:paraId="2DABB667"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52,49</w:t>
            </w:r>
          </w:p>
        </w:tc>
        <w:tc>
          <w:tcPr>
            <w:tcW w:w="1417" w:type="dxa"/>
            <w:shd w:val="clear" w:color="auto" w:fill="auto"/>
            <w:noWrap/>
            <w:vAlign w:val="bottom"/>
            <w:hideMark/>
          </w:tcPr>
          <w:p w14:paraId="2F8154FA" w14:textId="4CA1CA9B"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1 </w:t>
            </w:r>
            <w:r w:rsidR="00A40605" w:rsidRPr="00E16AF1">
              <w:rPr>
                <w:rFonts w:ascii="Calibri" w:eastAsia="Times New Roman" w:hAnsi="Calibri" w:cs="Calibri"/>
                <w:sz w:val="20"/>
                <w:szCs w:val="20"/>
                <w:lang w:eastAsia="hr-HR"/>
              </w:rPr>
              <w:t>958,47</w:t>
            </w:r>
          </w:p>
        </w:tc>
        <w:tc>
          <w:tcPr>
            <w:tcW w:w="1323" w:type="dxa"/>
            <w:gridSpan w:val="2"/>
            <w:shd w:val="clear" w:color="auto" w:fill="auto"/>
            <w:noWrap/>
            <w:vAlign w:val="bottom"/>
            <w:hideMark/>
          </w:tcPr>
          <w:p w14:paraId="0FA5C035"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56,35</w:t>
            </w:r>
          </w:p>
        </w:tc>
      </w:tr>
      <w:tr w:rsidR="00A40605" w:rsidRPr="00E16AF1" w14:paraId="165FB851" w14:textId="77777777" w:rsidTr="00400FAE">
        <w:trPr>
          <w:trHeight w:val="240"/>
        </w:trPr>
        <w:tc>
          <w:tcPr>
            <w:tcW w:w="614" w:type="dxa"/>
            <w:shd w:val="clear" w:color="auto" w:fill="auto"/>
            <w:noWrap/>
            <w:vAlign w:val="bottom"/>
            <w:hideMark/>
          </w:tcPr>
          <w:p w14:paraId="6B095E69" w14:textId="7E1FAB05"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20</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6177E38B"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Upravljanje nekretninama</w:t>
            </w:r>
          </w:p>
        </w:tc>
        <w:tc>
          <w:tcPr>
            <w:tcW w:w="1276" w:type="dxa"/>
            <w:shd w:val="clear" w:color="auto" w:fill="auto"/>
            <w:noWrap/>
            <w:vAlign w:val="bottom"/>
            <w:hideMark/>
          </w:tcPr>
          <w:p w14:paraId="4F614002" w14:textId="23E78E6C" w:rsidR="00A40605" w:rsidRPr="00E16AF1" w:rsidRDefault="00400FAE"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xml:space="preserve">4 </w:t>
            </w:r>
            <w:r w:rsidR="00A40605" w:rsidRPr="00E16AF1">
              <w:rPr>
                <w:rFonts w:ascii="Calibri" w:eastAsia="Times New Roman" w:hAnsi="Calibri" w:cs="Calibri"/>
                <w:sz w:val="20"/>
                <w:szCs w:val="20"/>
                <w:lang w:eastAsia="hr-HR"/>
              </w:rPr>
              <w:t>758,56</w:t>
            </w:r>
          </w:p>
        </w:tc>
        <w:tc>
          <w:tcPr>
            <w:tcW w:w="1276" w:type="dxa"/>
            <w:shd w:val="clear" w:color="auto" w:fill="auto"/>
            <w:noWrap/>
            <w:vAlign w:val="bottom"/>
            <w:hideMark/>
          </w:tcPr>
          <w:p w14:paraId="60E177DF"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308,41</w:t>
            </w:r>
          </w:p>
        </w:tc>
        <w:tc>
          <w:tcPr>
            <w:tcW w:w="1134" w:type="dxa"/>
            <w:shd w:val="clear" w:color="auto" w:fill="auto"/>
            <w:noWrap/>
            <w:vAlign w:val="bottom"/>
            <w:hideMark/>
          </w:tcPr>
          <w:p w14:paraId="44C09C79"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64,81</w:t>
            </w:r>
          </w:p>
        </w:tc>
        <w:tc>
          <w:tcPr>
            <w:tcW w:w="1417" w:type="dxa"/>
            <w:shd w:val="clear" w:color="auto" w:fill="auto"/>
            <w:noWrap/>
            <w:vAlign w:val="bottom"/>
            <w:hideMark/>
          </w:tcPr>
          <w:p w14:paraId="2C3FAE77"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461,50</w:t>
            </w:r>
          </w:p>
        </w:tc>
        <w:tc>
          <w:tcPr>
            <w:tcW w:w="1323" w:type="dxa"/>
            <w:gridSpan w:val="2"/>
            <w:shd w:val="clear" w:color="auto" w:fill="auto"/>
            <w:noWrap/>
            <w:vAlign w:val="bottom"/>
            <w:hideMark/>
          </w:tcPr>
          <w:p w14:paraId="2214E346" w14:textId="77777777"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96,98</w:t>
            </w:r>
          </w:p>
        </w:tc>
      </w:tr>
      <w:tr w:rsidR="00A40605" w:rsidRPr="00E16AF1" w14:paraId="3D92F8EA" w14:textId="77777777" w:rsidTr="00400FAE">
        <w:trPr>
          <w:trHeight w:val="240"/>
        </w:trPr>
        <w:tc>
          <w:tcPr>
            <w:tcW w:w="614" w:type="dxa"/>
            <w:shd w:val="clear" w:color="auto" w:fill="auto"/>
            <w:noWrap/>
            <w:vAlign w:val="bottom"/>
            <w:hideMark/>
          </w:tcPr>
          <w:p w14:paraId="712EC4A1" w14:textId="1FF0D475"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21</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2A3A4016"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Zagrebački digitalni grad</w:t>
            </w:r>
          </w:p>
        </w:tc>
        <w:tc>
          <w:tcPr>
            <w:tcW w:w="6426" w:type="dxa"/>
            <w:gridSpan w:val="6"/>
            <w:shd w:val="clear" w:color="auto" w:fill="auto"/>
            <w:noWrap/>
            <w:vAlign w:val="bottom"/>
            <w:hideMark/>
          </w:tcPr>
          <w:p w14:paraId="17B95F8A" w14:textId="54ADEE2B" w:rsidR="00A40605" w:rsidRPr="00E16AF1" w:rsidRDefault="00402843"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*U</w:t>
            </w:r>
            <w:r w:rsidR="00A40605" w:rsidRPr="00E16AF1">
              <w:rPr>
                <w:rFonts w:ascii="Calibri" w:eastAsia="Times New Roman" w:hAnsi="Calibri" w:cs="Calibri"/>
                <w:sz w:val="20"/>
                <w:szCs w:val="20"/>
                <w:lang w:eastAsia="hr-HR"/>
              </w:rPr>
              <w:t xml:space="preserve"> Zakupu na Zagrebačkom Velesajmu</w:t>
            </w:r>
          </w:p>
        </w:tc>
      </w:tr>
      <w:tr w:rsidR="00A40605" w:rsidRPr="00E16AF1" w14:paraId="04FFB322" w14:textId="77777777" w:rsidTr="00400FAE">
        <w:trPr>
          <w:trHeight w:val="240"/>
        </w:trPr>
        <w:tc>
          <w:tcPr>
            <w:tcW w:w="614" w:type="dxa"/>
            <w:shd w:val="clear" w:color="auto" w:fill="auto"/>
            <w:noWrap/>
            <w:vAlign w:val="bottom"/>
            <w:hideMark/>
          </w:tcPr>
          <w:p w14:paraId="4A64034C" w14:textId="751346B8"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22</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79DF4FBA"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Gradska plinara Zagreb Opskrba d.o.o.</w:t>
            </w:r>
          </w:p>
        </w:tc>
        <w:tc>
          <w:tcPr>
            <w:tcW w:w="6426" w:type="dxa"/>
            <w:gridSpan w:val="6"/>
            <w:shd w:val="clear" w:color="auto" w:fill="auto"/>
            <w:noWrap/>
            <w:vAlign w:val="bottom"/>
            <w:hideMark/>
          </w:tcPr>
          <w:p w14:paraId="0702799A"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 U zakupu poslovnog prostora kod Gradske plinare Zagreb d.o.o.</w:t>
            </w:r>
          </w:p>
        </w:tc>
      </w:tr>
      <w:tr w:rsidR="00A40605" w:rsidRPr="00E16AF1" w14:paraId="4784451D" w14:textId="77777777" w:rsidTr="00400FAE">
        <w:trPr>
          <w:trHeight w:val="240"/>
        </w:trPr>
        <w:tc>
          <w:tcPr>
            <w:tcW w:w="614" w:type="dxa"/>
            <w:shd w:val="clear" w:color="auto" w:fill="auto"/>
            <w:noWrap/>
            <w:vAlign w:val="bottom"/>
            <w:hideMark/>
          </w:tcPr>
          <w:p w14:paraId="6087DCF1" w14:textId="7F8D0636"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23</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5733EF3A"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Upravljanje projektima</w:t>
            </w:r>
          </w:p>
        </w:tc>
        <w:tc>
          <w:tcPr>
            <w:tcW w:w="6426" w:type="dxa"/>
            <w:gridSpan w:val="6"/>
            <w:shd w:val="clear" w:color="auto" w:fill="auto"/>
            <w:noWrap/>
            <w:vAlign w:val="bottom"/>
            <w:hideMark/>
          </w:tcPr>
          <w:p w14:paraId="7E6D7090"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*Prostor u najmu</w:t>
            </w:r>
          </w:p>
        </w:tc>
      </w:tr>
      <w:tr w:rsidR="00A40605" w:rsidRPr="00E16AF1" w14:paraId="25B4659F" w14:textId="77777777" w:rsidTr="00400FAE">
        <w:trPr>
          <w:trHeight w:val="240"/>
        </w:trPr>
        <w:tc>
          <w:tcPr>
            <w:tcW w:w="614" w:type="dxa"/>
            <w:shd w:val="clear" w:color="auto" w:fill="auto"/>
            <w:noWrap/>
            <w:vAlign w:val="bottom"/>
            <w:hideMark/>
          </w:tcPr>
          <w:p w14:paraId="385C4CAB" w14:textId="6034521B"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24</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47F5FB83"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Zagrebačka stanogradnja d.o.o.</w:t>
            </w:r>
          </w:p>
        </w:tc>
        <w:tc>
          <w:tcPr>
            <w:tcW w:w="6426" w:type="dxa"/>
            <w:gridSpan w:val="6"/>
            <w:shd w:val="clear" w:color="auto" w:fill="auto"/>
            <w:noWrap/>
            <w:vAlign w:val="bottom"/>
            <w:hideMark/>
          </w:tcPr>
          <w:p w14:paraId="42BE9DB1"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*Prostor u najmu</w:t>
            </w:r>
          </w:p>
        </w:tc>
      </w:tr>
      <w:tr w:rsidR="00A40605" w:rsidRPr="00E16AF1" w14:paraId="5DE416BF" w14:textId="77777777" w:rsidTr="00400FAE">
        <w:trPr>
          <w:trHeight w:val="240"/>
        </w:trPr>
        <w:tc>
          <w:tcPr>
            <w:tcW w:w="614" w:type="dxa"/>
            <w:shd w:val="clear" w:color="auto" w:fill="auto"/>
            <w:noWrap/>
            <w:vAlign w:val="bottom"/>
            <w:hideMark/>
          </w:tcPr>
          <w:p w14:paraId="14AB41D5" w14:textId="523EC5D3" w:rsidR="00A40605" w:rsidRPr="00E16AF1" w:rsidRDefault="00A40605" w:rsidP="00E92750">
            <w:pPr>
              <w:spacing w:after="0" w:line="240" w:lineRule="auto"/>
              <w:jc w:val="center"/>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25</w:t>
            </w:r>
            <w:r w:rsidR="00FB72F3" w:rsidRPr="00E16AF1">
              <w:rPr>
                <w:rFonts w:ascii="Calibri" w:eastAsia="Times New Roman" w:hAnsi="Calibri" w:cs="Calibri"/>
                <w:sz w:val="20"/>
                <w:szCs w:val="20"/>
                <w:lang w:eastAsia="hr-HR"/>
              </w:rPr>
              <w:t>.</w:t>
            </w:r>
          </w:p>
        </w:tc>
        <w:tc>
          <w:tcPr>
            <w:tcW w:w="2935" w:type="dxa"/>
            <w:shd w:val="clear" w:color="auto" w:fill="auto"/>
            <w:noWrap/>
            <w:vAlign w:val="bottom"/>
            <w:hideMark/>
          </w:tcPr>
          <w:p w14:paraId="09093D48" w14:textId="77777777" w:rsidR="00A40605" w:rsidRPr="00E16AF1" w:rsidRDefault="00A40605"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Centar d.o.o.</w:t>
            </w:r>
          </w:p>
        </w:tc>
        <w:tc>
          <w:tcPr>
            <w:tcW w:w="6426" w:type="dxa"/>
            <w:gridSpan w:val="6"/>
            <w:shd w:val="clear" w:color="auto" w:fill="auto"/>
            <w:noWrap/>
            <w:vAlign w:val="bottom"/>
            <w:hideMark/>
          </w:tcPr>
          <w:p w14:paraId="4280AFC6" w14:textId="506C30CF" w:rsidR="00A40605" w:rsidRPr="00E16AF1" w:rsidRDefault="00FB72F3" w:rsidP="00E92750">
            <w:pPr>
              <w:spacing w:after="0" w:line="240" w:lineRule="auto"/>
              <w:rPr>
                <w:rFonts w:ascii="Calibri" w:eastAsia="Times New Roman" w:hAnsi="Calibri" w:cs="Calibri"/>
                <w:sz w:val="20"/>
                <w:szCs w:val="20"/>
                <w:lang w:eastAsia="hr-HR"/>
              </w:rPr>
            </w:pPr>
            <w:r w:rsidRPr="00E16AF1">
              <w:rPr>
                <w:rFonts w:ascii="Calibri" w:eastAsia="Times New Roman" w:hAnsi="Calibri" w:cs="Calibri"/>
                <w:sz w:val="20"/>
                <w:szCs w:val="20"/>
                <w:lang w:eastAsia="hr-HR"/>
              </w:rPr>
              <w:t>*U sklopu Arene</w:t>
            </w:r>
          </w:p>
        </w:tc>
      </w:tr>
      <w:tr w:rsidR="00A40605" w:rsidRPr="00E16AF1" w14:paraId="7623C3A4" w14:textId="77777777" w:rsidTr="00400FAE">
        <w:trPr>
          <w:trHeight w:val="240"/>
        </w:trPr>
        <w:tc>
          <w:tcPr>
            <w:tcW w:w="3549" w:type="dxa"/>
            <w:gridSpan w:val="2"/>
            <w:shd w:val="clear" w:color="000000" w:fill="D9D9D9"/>
            <w:noWrap/>
            <w:vAlign w:val="bottom"/>
            <w:hideMark/>
          </w:tcPr>
          <w:p w14:paraId="124972BC" w14:textId="77777777" w:rsidR="00A40605" w:rsidRPr="00E16AF1" w:rsidRDefault="00A40605" w:rsidP="00E92750">
            <w:pPr>
              <w:spacing w:after="0" w:line="240" w:lineRule="auto"/>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UKUPNO</w:t>
            </w:r>
          </w:p>
        </w:tc>
        <w:tc>
          <w:tcPr>
            <w:tcW w:w="1276" w:type="dxa"/>
            <w:shd w:val="clear" w:color="000000" w:fill="D9D9D9"/>
            <w:noWrap/>
            <w:vAlign w:val="bottom"/>
            <w:hideMark/>
          </w:tcPr>
          <w:p w14:paraId="26C34581" w14:textId="4D08075D" w:rsidR="00A40605" w:rsidRPr="00E16AF1" w:rsidRDefault="003E3C6F"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 xml:space="preserve">443 </w:t>
            </w:r>
            <w:r w:rsidR="00A40605" w:rsidRPr="00E16AF1">
              <w:rPr>
                <w:rFonts w:ascii="Calibri" w:eastAsia="Times New Roman" w:hAnsi="Calibri" w:cs="Calibri"/>
                <w:b/>
                <w:bCs/>
                <w:sz w:val="20"/>
                <w:szCs w:val="20"/>
                <w:lang w:eastAsia="hr-HR"/>
              </w:rPr>
              <w:t>765,94</w:t>
            </w:r>
          </w:p>
        </w:tc>
        <w:tc>
          <w:tcPr>
            <w:tcW w:w="1276" w:type="dxa"/>
            <w:shd w:val="clear" w:color="000000" w:fill="D9D9D9"/>
            <w:noWrap/>
            <w:vAlign w:val="bottom"/>
            <w:hideMark/>
          </w:tcPr>
          <w:p w14:paraId="2C4E29FA" w14:textId="593EF11C" w:rsidR="00A40605" w:rsidRPr="00E16AF1" w:rsidRDefault="003E3C6F"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 xml:space="preserve">36 </w:t>
            </w:r>
            <w:r w:rsidR="00A40605" w:rsidRPr="00E16AF1">
              <w:rPr>
                <w:rFonts w:ascii="Calibri" w:eastAsia="Times New Roman" w:hAnsi="Calibri" w:cs="Calibri"/>
                <w:b/>
                <w:bCs/>
                <w:sz w:val="20"/>
                <w:szCs w:val="20"/>
                <w:lang w:eastAsia="hr-HR"/>
              </w:rPr>
              <w:t>726,98</w:t>
            </w:r>
          </w:p>
        </w:tc>
        <w:tc>
          <w:tcPr>
            <w:tcW w:w="1134" w:type="dxa"/>
            <w:shd w:val="clear" w:color="000000" w:fill="D9D9D9"/>
            <w:noWrap/>
            <w:vAlign w:val="bottom"/>
            <w:hideMark/>
          </w:tcPr>
          <w:p w14:paraId="4DAD1391" w14:textId="77777777" w:rsidR="00A40605" w:rsidRPr="00E16AF1" w:rsidRDefault="00A40605"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82,76</w:t>
            </w:r>
          </w:p>
        </w:tc>
        <w:tc>
          <w:tcPr>
            <w:tcW w:w="1606" w:type="dxa"/>
            <w:gridSpan w:val="2"/>
            <w:shd w:val="clear" w:color="000000" w:fill="D9D9D9"/>
            <w:noWrap/>
            <w:vAlign w:val="bottom"/>
            <w:hideMark/>
          </w:tcPr>
          <w:p w14:paraId="03D480EA" w14:textId="3ED4E73B" w:rsidR="00A40605" w:rsidRPr="00E16AF1" w:rsidRDefault="003E3C6F"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 xml:space="preserve">49 </w:t>
            </w:r>
            <w:r w:rsidR="00A40605" w:rsidRPr="00E16AF1">
              <w:rPr>
                <w:rFonts w:ascii="Calibri" w:eastAsia="Times New Roman" w:hAnsi="Calibri" w:cs="Calibri"/>
                <w:b/>
                <w:bCs/>
                <w:sz w:val="20"/>
                <w:szCs w:val="20"/>
                <w:lang w:eastAsia="hr-HR"/>
              </w:rPr>
              <w:t>731,15</w:t>
            </w:r>
          </w:p>
        </w:tc>
        <w:tc>
          <w:tcPr>
            <w:tcW w:w="1134" w:type="dxa"/>
            <w:shd w:val="clear" w:color="000000" w:fill="D9D9D9"/>
            <w:noWrap/>
            <w:vAlign w:val="bottom"/>
            <w:hideMark/>
          </w:tcPr>
          <w:p w14:paraId="0A623F51" w14:textId="77777777" w:rsidR="00A40605" w:rsidRPr="00E16AF1" w:rsidRDefault="00A40605" w:rsidP="00E92750">
            <w:pPr>
              <w:spacing w:after="0" w:line="240" w:lineRule="auto"/>
              <w:jc w:val="center"/>
              <w:rPr>
                <w:rFonts w:ascii="Calibri" w:eastAsia="Times New Roman" w:hAnsi="Calibri" w:cs="Calibri"/>
                <w:b/>
                <w:bCs/>
                <w:sz w:val="20"/>
                <w:szCs w:val="20"/>
                <w:lang w:eastAsia="hr-HR"/>
              </w:rPr>
            </w:pPr>
            <w:r w:rsidRPr="00E16AF1">
              <w:rPr>
                <w:rFonts w:ascii="Calibri" w:eastAsia="Times New Roman" w:hAnsi="Calibri" w:cs="Calibri"/>
                <w:b/>
                <w:bCs/>
                <w:sz w:val="20"/>
                <w:szCs w:val="20"/>
                <w:lang w:eastAsia="hr-HR"/>
              </w:rPr>
              <w:t>112,07</w:t>
            </w:r>
          </w:p>
        </w:tc>
      </w:tr>
    </w:tbl>
    <w:p w14:paraId="35154F59" w14:textId="77777777" w:rsidR="009827D8" w:rsidRPr="007C7920" w:rsidRDefault="009827D8" w:rsidP="00E92750">
      <w:pPr>
        <w:spacing w:after="0" w:line="240" w:lineRule="auto"/>
        <w:jc w:val="both"/>
        <w:rPr>
          <w:rFonts w:ascii="Century Gothic" w:eastAsia="Calibri" w:hAnsi="Century Gothic" w:cs="Times New Roman"/>
          <w:highlight w:val="yellow"/>
        </w:rPr>
      </w:pPr>
    </w:p>
    <w:p w14:paraId="0949F951" w14:textId="77777777" w:rsidR="0024589D" w:rsidRPr="007C7920" w:rsidRDefault="0024589D" w:rsidP="00E92750">
      <w:pPr>
        <w:spacing w:after="0" w:line="240" w:lineRule="auto"/>
        <w:jc w:val="both"/>
        <w:rPr>
          <w:rFonts w:ascii="Century Gothic" w:eastAsia="Calibri" w:hAnsi="Century Gothic" w:cs="Times New Roman"/>
          <w:highlight w:val="yellow"/>
        </w:rPr>
      </w:pPr>
    </w:p>
    <w:p w14:paraId="2DA966A8" w14:textId="77777777" w:rsidR="004E4D6E" w:rsidRPr="007C7920" w:rsidRDefault="004E4D6E" w:rsidP="00E92750">
      <w:pPr>
        <w:spacing w:after="0" w:line="240" w:lineRule="auto"/>
        <w:jc w:val="both"/>
        <w:rPr>
          <w:rFonts w:ascii="Century Gothic" w:eastAsia="Calibri" w:hAnsi="Century Gothic" w:cs="Times New Roman"/>
          <w:highlight w:val="yellow"/>
        </w:rPr>
      </w:pPr>
    </w:p>
    <w:p w14:paraId="0BCC4951" w14:textId="3F7BD5DF" w:rsidR="009827D8" w:rsidRPr="00F40A57" w:rsidRDefault="009827D8" w:rsidP="00E92750">
      <w:pPr>
        <w:spacing w:after="240" w:line="240" w:lineRule="auto"/>
        <w:jc w:val="both"/>
        <w:rPr>
          <w:rFonts w:eastAsia="Calibri" w:cstheme="minorHAnsi"/>
        </w:rPr>
      </w:pPr>
      <w:r w:rsidRPr="00F40A57">
        <w:rPr>
          <w:rFonts w:eastAsia="Calibri" w:cstheme="minorHAnsi"/>
        </w:rPr>
        <w:lastRenderedPageBreak/>
        <w:t>Specifična potrošnja električ</w:t>
      </w:r>
      <w:r w:rsidR="0024589D" w:rsidRPr="00F40A57">
        <w:rPr>
          <w:rFonts w:eastAsia="Calibri" w:cstheme="minorHAnsi"/>
        </w:rPr>
        <w:t>ne energije u zgradama podružnica</w:t>
      </w:r>
      <w:r w:rsidR="00F40A57" w:rsidRPr="00F40A57">
        <w:rPr>
          <w:rFonts w:eastAsia="Calibri" w:cstheme="minorHAnsi"/>
        </w:rPr>
        <w:t>, trgovačkih društava i ustanove</w:t>
      </w:r>
      <w:r w:rsidR="0024589D" w:rsidRPr="00F40A57">
        <w:rPr>
          <w:rFonts w:eastAsia="Calibri" w:cstheme="minorHAnsi"/>
        </w:rPr>
        <w:t xml:space="preserve"> u vlasništvu H</w:t>
      </w:r>
      <w:r w:rsidRPr="00F40A57">
        <w:rPr>
          <w:rFonts w:eastAsia="Calibri" w:cstheme="minorHAnsi"/>
        </w:rPr>
        <w:t>o</w:t>
      </w:r>
      <w:r w:rsidR="00A851C8" w:rsidRPr="00F40A57">
        <w:rPr>
          <w:rFonts w:eastAsia="Calibri" w:cstheme="minorHAnsi"/>
        </w:rPr>
        <w:t xml:space="preserve">ldinga prikazana je u na </w:t>
      </w:r>
      <w:r w:rsidR="0024589D" w:rsidRPr="00F40A57">
        <w:rPr>
          <w:rFonts w:eastAsia="Calibri" w:cstheme="minorHAnsi"/>
        </w:rPr>
        <w:fldChar w:fldCharType="begin"/>
      </w:r>
      <w:r w:rsidR="0024589D" w:rsidRPr="00F40A57">
        <w:rPr>
          <w:rFonts w:eastAsia="Calibri" w:cstheme="minorHAnsi"/>
        </w:rPr>
        <w:instrText xml:space="preserve"> REF _Ref464473757 \h  \* MERGEFORMAT </w:instrText>
      </w:r>
      <w:r w:rsidR="0024589D" w:rsidRPr="00F40A57">
        <w:rPr>
          <w:rFonts w:eastAsia="Calibri" w:cstheme="minorHAnsi"/>
        </w:rPr>
      </w:r>
      <w:r w:rsidR="0024589D" w:rsidRPr="00F40A57">
        <w:rPr>
          <w:rFonts w:eastAsia="Calibri" w:cstheme="minorHAnsi"/>
        </w:rPr>
        <w:fldChar w:fldCharType="separate"/>
      </w:r>
      <w:r w:rsidR="00550329">
        <w:rPr>
          <w:rFonts w:cstheme="minorHAnsi"/>
          <w:b/>
        </w:rPr>
        <w:t>Slici</w:t>
      </w:r>
      <w:r w:rsidR="009C319B" w:rsidRPr="009C319B">
        <w:rPr>
          <w:rFonts w:cstheme="minorHAnsi"/>
          <w:b/>
        </w:rPr>
        <w:t xml:space="preserve"> </w:t>
      </w:r>
      <w:r w:rsidR="009C319B" w:rsidRPr="009C319B">
        <w:rPr>
          <w:rFonts w:cstheme="minorHAnsi"/>
          <w:b/>
          <w:noProof/>
        </w:rPr>
        <w:t>4.21</w:t>
      </w:r>
      <w:r w:rsidR="0024589D" w:rsidRPr="00F40A57">
        <w:rPr>
          <w:rFonts w:eastAsia="Calibri" w:cstheme="minorHAnsi"/>
        </w:rPr>
        <w:fldChar w:fldCharType="end"/>
      </w:r>
      <w:r w:rsidR="00A851C8" w:rsidRPr="00F40A57">
        <w:rPr>
          <w:rFonts w:eastAsia="Calibri" w:cstheme="minorHAnsi"/>
        </w:rPr>
        <w:t>,</w:t>
      </w:r>
      <w:r w:rsidRPr="00F40A57">
        <w:rPr>
          <w:rFonts w:eastAsia="Calibri" w:cstheme="minorHAnsi"/>
        </w:rPr>
        <w:t xml:space="preserve"> dok je struktura specifičn</w:t>
      </w:r>
      <w:r w:rsidR="0024589D" w:rsidRPr="00F40A57">
        <w:rPr>
          <w:rFonts w:eastAsia="Calibri" w:cstheme="minorHAnsi"/>
        </w:rPr>
        <w:t xml:space="preserve">e </w:t>
      </w:r>
      <w:r w:rsidR="00A851C8" w:rsidRPr="00F40A57">
        <w:rPr>
          <w:rFonts w:eastAsia="Calibri" w:cstheme="minorHAnsi"/>
        </w:rPr>
        <w:t xml:space="preserve">korisne energije za grijanje prikazana na </w:t>
      </w:r>
      <w:r w:rsidR="0024589D" w:rsidRPr="00F40A57">
        <w:rPr>
          <w:rFonts w:eastAsia="Calibri" w:cstheme="minorHAnsi"/>
        </w:rPr>
        <w:fldChar w:fldCharType="begin"/>
      </w:r>
      <w:r w:rsidR="0024589D" w:rsidRPr="00F40A57">
        <w:rPr>
          <w:rFonts w:eastAsia="Calibri" w:cstheme="minorHAnsi"/>
        </w:rPr>
        <w:instrText xml:space="preserve"> REF _Ref464473790 \h  \* MERGEFORMAT </w:instrText>
      </w:r>
      <w:r w:rsidR="0024589D" w:rsidRPr="00F40A57">
        <w:rPr>
          <w:rFonts w:eastAsia="Calibri" w:cstheme="minorHAnsi"/>
        </w:rPr>
      </w:r>
      <w:r w:rsidR="0024589D" w:rsidRPr="00F40A57">
        <w:rPr>
          <w:rFonts w:eastAsia="Calibri" w:cstheme="minorHAnsi"/>
        </w:rPr>
        <w:fldChar w:fldCharType="separate"/>
      </w:r>
      <w:r w:rsidR="00550329">
        <w:rPr>
          <w:rFonts w:cstheme="minorHAnsi"/>
          <w:b/>
        </w:rPr>
        <w:t>Slici</w:t>
      </w:r>
      <w:r w:rsidR="009C319B" w:rsidRPr="009C319B">
        <w:rPr>
          <w:rFonts w:cstheme="minorHAnsi"/>
          <w:b/>
        </w:rPr>
        <w:t xml:space="preserve"> </w:t>
      </w:r>
      <w:r w:rsidR="009C319B" w:rsidRPr="009C319B">
        <w:rPr>
          <w:rFonts w:cstheme="minorHAnsi"/>
          <w:b/>
          <w:noProof/>
        </w:rPr>
        <w:t>4.22</w:t>
      </w:r>
      <w:r w:rsidR="0024589D" w:rsidRPr="00F40A57">
        <w:rPr>
          <w:rFonts w:eastAsia="Calibri" w:cstheme="minorHAnsi"/>
        </w:rPr>
        <w:fldChar w:fldCharType="end"/>
      </w:r>
      <w:r w:rsidR="0024589D" w:rsidRPr="00F40A57">
        <w:rPr>
          <w:rFonts w:eastAsia="Calibri" w:cstheme="minorHAnsi"/>
        </w:rPr>
        <w:t>.</w:t>
      </w:r>
    </w:p>
    <w:p w14:paraId="372568A4" w14:textId="4168505C" w:rsidR="009827D8" w:rsidRPr="00891DA9" w:rsidRDefault="000805AE" w:rsidP="00E92750">
      <w:pPr>
        <w:spacing w:after="0" w:line="240" w:lineRule="auto"/>
        <w:jc w:val="center"/>
        <w:rPr>
          <w:rFonts w:ascii="Century Gothic" w:eastAsia="Calibri" w:hAnsi="Century Gothic" w:cs="Times New Roman"/>
          <w:color w:val="C00000"/>
        </w:rPr>
      </w:pPr>
      <w:r w:rsidRPr="00891DA9">
        <w:rPr>
          <w:noProof/>
          <w:lang w:eastAsia="hr-HR"/>
        </w:rPr>
        <w:drawing>
          <wp:inline distT="0" distB="0" distL="0" distR="0" wp14:anchorId="59DFBC8D" wp14:editId="7700320F">
            <wp:extent cx="6543924" cy="5271714"/>
            <wp:effectExtent l="0" t="0" r="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1E91A9" w14:textId="6A0AB809" w:rsidR="009827D8" w:rsidRPr="00891DA9" w:rsidRDefault="00DE63D4" w:rsidP="00E92750">
      <w:pPr>
        <w:spacing w:after="0" w:line="240" w:lineRule="auto"/>
        <w:jc w:val="center"/>
      </w:pPr>
      <w:bookmarkStart w:id="108" w:name="_Ref464473757"/>
      <w:bookmarkStart w:id="109" w:name="_Toc258239023"/>
      <w:bookmarkStart w:id="110" w:name="_Toc468277425"/>
      <w:r w:rsidRPr="00891DA9">
        <w:rPr>
          <w:b/>
        </w:rPr>
        <w:t xml:space="preserve">Slika </w:t>
      </w:r>
      <w:r w:rsidRPr="00891DA9">
        <w:rPr>
          <w:b/>
        </w:rPr>
        <w:fldChar w:fldCharType="begin"/>
      </w:r>
      <w:r w:rsidRPr="00891DA9">
        <w:rPr>
          <w:b/>
        </w:rPr>
        <w:instrText xml:space="preserve"> STYLEREF 1 \s </w:instrText>
      </w:r>
      <w:r w:rsidRPr="00891DA9">
        <w:rPr>
          <w:b/>
        </w:rPr>
        <w:fldChar w:fldCharType="separate"/>
      </w:r>
      <w:r w:rsidR="009C319B">
        <w:rPr>
          <w:b/>
          <w:noProof/>
        </w:rPr>
        <w:t>4</w:t>
      </w:r>
      <w:r w:rsidRPr="00891DA9">
        <w:rPr>
          <w:b/>
          <w:noProof/>
        </w:rPr>
        <w:fldChar w:fldCharType="end"/>
      </w:r>
      <w:r w:rsidRPr="00891DA9">
        <w:rPr>
          <w:b/>
        </w:rPr>
        <w:t>.</w:t>
      </w:r>
      <w:r w:rsidRPr="00891DA9">
        <w:rPr>
          <w:b/>
        </w:rPr>
        <w:fldChar w:fldCharType="begin"/>
      </w:r>
      <w:r w:rsidRPr="00891DA9">
        <w:rPr>
          <w:b/>
        </w:rPr>
        <w:instrText xml:space="preserve"> SEQ Slika \* ARABIC \s 1 </w:instrText>
      </w:r>
      <w:r w:rsidRPr="00891DA9">
        <w:rPr>
          <w:b/>
        </w:rPr>
        <w:fldChar w:fldCharType="separate"/>
      </w:r>
      <w:r w:rsidR="009C319B">
        <w:rPr>
          <w:b/>
          <w:noProof/>
        </w:rPr>
        <w:t>21</w:t>
      </w:r>
      <w:r w:rsidRPr="00891DA9">
        <w:rPr>
          <w:b/>
          <w:noProof/>
        </w:rPr>
        <w:fldChar w:fldCharType="end"/>
      </w:r>
      <w:bookmarkEnd w:id="108"/>
      <w:r w:rsidRPr="00891DA9">
        <w:t xml:space="preserve"> </w:t>
      </w:r>
      <w:r w:rsidR="009827D8" w:rsidRPr="00891DA9">
        <w:t>Specifična potro</w:t>
      </w:r>
      <w:r w:rsidRPr="00891DA9">
        <w:t>šnja električne energije podružnica, trgovačkih društava i ustanove</w:t>
      </w:r>
      <w:r w:rsidR="00A851C8" w:rsidRPr="00891DA9">
        <w:t xml:space="preserve"> u vlasništvu Holdinga</w:t>
      </w:r>
      <w:bookmarkEnd w:id="109"/>
      <w:r w:rsidR="00CA6898" w:rsidRPr="00891DA9">
        <w:t xml:space="preserve"> u 2015. godini</w:t>
      </w:r>
      <w:bookmarkEnd w:id="110"/>
    </w:p>
    <w:p w14:paraId="2CFD4C05" w14:textId="14DF91E7" w:rsidR="009827D8" w:rsidRPr="00891DA9" w:rsidRDefault="00876D8F" w:rsidP="00E92750">
      <w:pPr>
        <w:spacing w:after="0" w:line="240" w:lineRule="auto"/>
        <w:jc w:val="center"/>
        <w:rPr>
          <w:rFonts w:ascii="Century Gothic" w:eastAsia="Calibri" w:hAnsi="Century Gothic" w:cs="Times New Roman"/>
          <w:noProof/>
          <w:color w:val="C00000"/>
          <w:lang w:eastAsia="hr-HR"/>
        </w:rPr>
      </w:pPr>
      <w:r w:rsidRPr="00891DA9">
        <w:rPr>
          <w:rFonts w:cstheme="minorHAnsi"/>
          <w:noProof/>
          <w:lang w:eastAsia="hr-HR"/>
        </w:rPr>
        <w:lastRenderedPageBreak/>
        <w:drawing>
          <wp:inline distT="0" distB="0" distL="0" distR="0" wp14:anchorId="5FED0882" wp14:editId="134392A1">
            <wp:extent cx="6440557" cy="4428876"/>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5A1BF5" w14:textId="13483D39" w:rsidR="009827D8" w:rsidRPr="00891DA9" w:rsidRDefault="00DE63D4" w:rsidP="00E92750">
      <w:pPr>
        <w:spacing w:line="240" w:lineRule="auto"/>
        <w:jc w:val="center"/>
      </w:pPr>
      <w:bookmarkStart w:id="111" w:name="_Ref464473790"/>
      <w:bookmarkStart w:id="112" w:name="_Toc258239024"/>
      <w:bookmarkStart w:id="113" w:name="_Toc468277426"/>
      <w:r w:rsidRPr="00891DA9">
        <w:rPr>
          <w:b/>
        </w:rPr>
        <w:t xml:space="preserve">Slika </w:t>
      </w:r>
      <w:r w:rsidRPr="00891DA9">
        <w:rPr>
          <w:b/>
        </w:rPr>
        <w:fldChar w:fldCharType="begin"/>
      </w:r>
      <w:r w:rsidRPr="00891DA9">
        <w:rPr>
          <w:b/>
        </w:rPr>
        <w:instrText xml:space="preserve"> STYLEREF 1 \s </w:instrText>
      </w:r>
      <w:r w:rsidRPr="00891DA9">
        <w:rPr>
          <w:b/>
        </w:rPr>
        <w:fldChar w:fldCharType="separate"/>
      </w:r>
      <w:r w:rsidR="009C319B">
        <w:rPr>
          <w:b/>
          <w:noProof/>
        </w:rPr>
        <w:t>4</w:t>
      </w:r>
      <w:r w:rsidRPr="00891DA9">
        <w:rPr>
          <w:b/>
          <w:noProof/>
        </w:rPr>
        <w:fldChar w:fldCharType="end"/>
      </w:r>
      <w:r w:rsidRPr="00891DA9">
        <w:rPr>
          <w:b/>
        </w:rPr>
        <w:t>.</w:t>
      </w:r>
      <w:r w:rsidRPr="00891DA9">
        <w:rPr>
          <w:b/>
        </w:rPr>
        <w:fldChar w:fldCharType="begin"/>
      </w:r>
      <w:r w:rsidRPr="00891DA9">
        <w:rPr>
          <w:b/>
        </w:rPr>
        <w:instrText xml:space="preserve"> SEQ Slika \* ARABIC \s 1 </w:instrText>
      </w:r>
      <w:r w:rsidRPr="00891DA9">
        <w:rPr>
          <w:b/>
        </w:rPr>
        <w:fldChar w:fldCharType="separate"/>
      </w:r>
      <w:r w:rsidR="009C319B">
        <w:rPr>
          <w:b/>
          <w:noProof/>
        </w:rPr>
        <w:t>22</w:t>
      </w:r>
      <w:r w:rsidRPr="00891DA9">
        <w:rPr>
          <w:b/>
          <w:noProof/>
        </w:rPr>
        <w:fldChar w:fldCharType="end"/>
      </w:r>
      <w:bookmarkEnd w:id="111"/>
      <w:r w:rsidRPr="00891DA9">
        <w:t xml:space="preserve"> </w:t>
      </w:r>
      <w:r w:rsidR="00131530" w:rsidRPr="00891DA9">
        <w:t>Specifična korisna energija za grijanje</w:t>
      </w:r>
      <w:r w:rsidR="009827D8" w:rsidRPr="00891DA9">
        <w:t xml:space="preserve"> </w:t>
      </w:r>
      <w:r w:rsidRPr="00891DA9">
        <w:t xml:space="preserve">podružnica, trgovačkih društava i ustanove </w:t>
      </w:r>
      <w:r w:rsidR="00A851C8" w:rsidRPr="00891DA9">
        <w:t>u vlasništvu H</w:t>
      </w:r>
      <w:r w:rsidR="009827D8" w:rsidRPr="00891DA9">
        <w:t>oldinga</w:t>
      </w:r>
      <w:bookmarkEnd w:id="112"/>
      <w:r w:rsidR="00CA6898" w:rsidRPr="00891DA9">
        <w:t xml:space="preserve"> u 2015. godini</w:t>
      </w:r>
      <w:bookmarkEnd w:id="113"/>
    </w:p>
    <w:p w14:paraId="6B5BD3F2" w14:textId="486202C5" w:rsidR="00427C40" w:rsidRPr="00891DA9" w:rsidRDefault="009827D8" w:rsidP="00E92750">
      <w:pPr>
        <w:spacing w:line="240" w:lineRule="auto"/>
        <w:jc w:val="both"/>
        <w:rPr>
          <w:rFonts w:eastAsia="Calibri" w:cstheme="minorHAnsi"/>
        </w:rPr>
      </w:pPr>
      <w:r w:rsidRPr="00891DA9">
        <w:rPr>
          <w:rFonts w:eastAsia="Calibri" w:cstheme="minorHAnsi"/>
        </w:rPr>
        <w:t xml:space="preserve">Svi ulazni podaci za </w:t>
      </w:r>
      <w:r w:rsidR="00891DA9" w:rsidRPr="00891DA9">
        <w:rPr>
          <w:rFonts w:eastAsia="Calibri" w:cstheme="minorHAnsi"/>
        </w:rPr>
        <w:t>izradu analiza</w:t>
      </w:r>
      <w:r w:rsidRPr="00891DA9">
        <w:rPr>
          <w:rFonts w:eastAsia="Calibri" w:cstheme="minorHAnsi"/>
        </w:rPr>
        <w:t xml:space="preserve"> energetskih potrošnji</w:t>
      </w:r>
      <w:r w:rsidR="00427C40" w:rsidRPr="00891DA9">
        <w:rPr>
          <w:rFonts w:eastAsia="Calibri" w:cstheme="minorHAnsi"/>
        </w:rPr>
        <w:t xml:space="preserve"> u zgradama</w:t>
      </w:r>
      <w:r w:rsidRPr="00891DA9">
        <w:rPr>
          <w:rFonts w:eastAsia="Calibri" w:cstheme="minorHAnsi"/>
        </w:rPr>
        <w:t xml:space="preserve"> </w:t>
      </w:r>
      <w:r w:rsidR="00427C40" w:rsidRPr="00891DA9">
        <w:rPr>
          <w:rFonts w:eastAsia="Calibri" w:cstheme="minorHAnsi"/>
        </w:rPr>
        <w:t>podružnica, trgovačkih društava i ustanovi u vlasništvu Holdinga dobiveni su izravnim</w:t>
      </w:r>
      <w:r w:rsidRPr="00891DA9">
        <w:rPr>
          <w:rFonts w:eastAsia="Calibri" w:cstheme="minorHAnsi"/>
        </w:rPr>
        <w:t xml:space="preserve"> </w:t>
      </w:r>
      <w:r w:rsidR="00427C40" w:rsidRPr="00891DA9">
        <w:rPr>
          <w:rFonts w:eastAsia="Calibri" w:cstheme="minorHAnsi"/>
        </w:rPr>
        <w:t>kontaktiranjem.</w:t>
      </w:r>
    </w:p>
    <w:p w14:paraId="3C141255" w14:textId="43A9C67D" w:rsidR="009827D8" w:rsidRPr="00891DA9" w:rsidRDefault="009827D8" w:rsidP="00E92750">
      <w:pPr>
        <w:spacing w:line="240" w:lineRule="auto"/>
        <w:jc w:val="both"/>
        <w:rPr>
          <w:rFonts w:eastAsia="Calibri" w:cstheme="minorHAnsi"/>
        </w:rPr>
      </w:pPr>
      <w:r w:rsidRPr="00891DA9">
        <w:rPr>
          <w:rFonts w:eastAsia="Calibri" w:cstheme="minorHAnsi"/>
        </w:rPr>
        <w:t xml:space="preserve">Na osnovu dobivenih ulaznih podataka o </w:t>
      </w:r>
      <w:r w:rsidR="00427C40" w:rsidRPr="00891DA9">
        <w:rPr>
          <w:rFonts w:eastAsia="Calibri" w:cstheme="minorHAnsi"/>
        </w:rPr>
        <w:t xml:space="preserve">energetskim </w:t>
      </w:r>
      <w:r w:rsidRPr="00891DA9">
        <w:rPr>
          <w:rFonts w:eastAsia="Calibri" w:cstheme="minorHAnsi"/>
        </w:rPr>
        <w:t xml:space="preserve">potrošnjama i </w:t>
      </w:r>
      <w:r w:rsidR="00427C40" w:rsidRPr="00891DA9">
        <w:rPr>
          <w:rFonts w:eastAsia="Calibri" w:cstheme="minorHAnsi"/>
        </w:rPr>
        <w:t xml:space="preserve">grijanim </w:t>
      </w:r>
      <w:r w:rsidRPr="00891DA9">
        <w:rPr>
          <w:rFonts w:eastAsia="Calibri" w:cstheme="minorHAnsi"/>
        </w:rPr>
        <w:t>površinama objekta odre</w:t>
      </w:r>
      <w:r w:rsidR="00B9741A" w:rsidRPr="00891DA9">
        <w:rPr>
          <w:rFonts w:eastAsia="Calibri" w:cstheme="minorHAnsi"/>
        </w:rPr>
        <w:t>đena je specifična potrošnja električne energije (kWh/m</w:t>
      </w:r>
      <w:r w:rsidR="00B9741A" w:rsidRPr="00891DA9">
        <w:rPr>
          <w:rFonts w:eastAsia="Calibri" w:cstheme="minorHAnsi"/>
          <w:vertAlign w:val="superscript"/>
        </w:rPr>
        <w:t>2</w:t>
      </w:r>
      <w:r w:rsidR="00B9741A" w:rsidRPr="00891DA9">
        <w:rPr>
          <w:rFonts w:eastAsia="Calibri" w:cstheme="minorHAnsi"/>
        </w:rPr>
        <w:t>) te specifična korisna energija za grijanje (kWh/m</w:t>
      </w:r>
      <w:r w:rsidR="00B9741A" w:rsidRPr="00891DA9">
        <w:rPr>
          <w:rFonts w:eastAsia="Calibri" w:cstheme="minorHAnsi"/>
          <w:vertAlign w:val="superscript"/>
        </w:rPr>
        <w:t>2</w:t>
      </w:r>
      <w:r w:rsidR="00B9741A" w:rsidRPr="00891DA9">
        <w:rPr>
          <w:rFonts w:eastAsia="Calibri" w:cstheme="minorHAnsi"/>
        </w:rPr>
        <w:t>)</w:t>
      </w:r>
      <w:r w:rsidRPr="00891DA9">
        <w:rPr>
          <w:rFonts w:eastAsia="Calibri" w:cstheme="minorHAnsi"/>
        </w:rPr>
        <w:t>.</w:t>
      </w:r>
    </w:p>
    <w:p w14:paraId="2B735CA1" w14:textId="5D0A8DA9" w:rsidR="009827D8" w:rsidRPr="00891DA9" w:rsidRDefault="009827D8" w:rsidP="00E92750">
      <w:pPr>
        <w:spacing w:line="240" w:lineRule="auto"/>
        <w:jc w:val="both"/>
        <w:rPr>
          <w:rFonts w:eastAsia="Calibri" w:cstheme="minorHAnsi"/>
        </w:rPr>
      </w:pPr>
      <w:r w:rsidRPr="00891DA9">
        <w:rPr>
          <w:rFonts w:eastAsia="Calibri" w:cstheme="minorHAnsi"/>
        </w:rPr>
        <w:t>Specifična potrošnja električne energi</w:t>
      </w:r>
      <w:r w:rsidR="00427C40" w:rsidRPr="00891DA9">
        <w:rPr>
          <w:rFonts w:eastAsia="Calibri" w:cstheme="minorHAnsi"/>
        </w:rPr>
        <w:t>je se kreće u granicama od oko 19,15</w:t>
      </w:r>
      <w:r w:rsidRPr="00891DA9">
        <w:rPr>
          <w:rFonts w:eastAsia="Calibri" w:cstheme="minorHAnsi"/>
        </w:rPr>
        <w:t xml:space="preserve"> kWh/m</w:t>
      </w:r>
      <w:r w:rsidRPr="00891DA9">
        <w:rPr>
          <w:rFonts w:eastAsia="Calibri" w:cstheme="minorHAnsi"/>
          <w:vertAlign w:val="superscript"/>
        </w:rPr>
        <w:t>2</w:t>
      </w:r>
      <w:r w:rsidRPr="00891DA9">
        <w:rPr>
          <w:rFonts w:eastAsia="Calibri" w:cstheme="minorHAnsi"/>
        </w:rPr>
        <w:t xml:space="preserve"> koliko troši </w:t>
      </w:r>
      <w:r w:rsidR="009F6E23" w:rsidRPr="00891DA9">
        <w:rPr>
          <w:rFonts w:eastAsia="Calibri" w:cstheme="minorHAnsi"/>
        </w:rPr>
        <w:t>podružnica Zagrebački velesajam do</w:t>
      </w:r>
      <w:r w:rsidR="005613E6" w:rsidRPr="00891DA9">
        <w:rPr>
          <w:rFonts w:eastAsia="Calibri" w:cstheme="minorHAnsi"/>
        </w:rPr>
        <w:t xml:space="preserve"> oko</w:t>
      </w:r>
      <w:r w:rsidR="009F6E23" w:rsidRPr="00891DA9">
        <w:rPr>
          <w:rFonts w:eastAsia="Calibri" w:cstheme="minorHAnsi"/>
        </w:rPr>
        <w:t xml:space="preserve"> 177</w:t>
      </w:r>
      <w:r w:rsidRPr="00891DA9">
        <w:rPr>
          <w:rFonts w:eastAsia="Calibri" w:cstheme="minorHAnsi"/>
        </w:rPr>
        <w:t xml:space="preserve"> kWh/m</w:t>
      </w:r>
      <w:r w:rsidRPr="00891DA9">
        <w:rPr>
          <w:rFonts w:eastAsia="Calibri" w:cstheme="minorHAnsi"/>
          <w:vertAlign w:val="superscript"/>
        </w:rPr>
        <w:t>2</w:t>
      </w:r>
      <w:r w:rsidRPr="00891DA9">
        <w:rPr>
          <w:rFonts w:eastAsia="Calibri" w:cstheme="minorHAnsi"/>
        </w:rPr>
        <w:t xml:space="preserve"> kolika je potrošnja </w:t>
      </w:r>
      <w:r w:rsidR="009F6E23" w:rsidRPr="00891DA9">
        <w:rPr>
          <w:rFonts w:eastAsia="Calibri" w:cstheme="minorHAnsi"/>
        </w:rPr>
        <w:t>podružnice Tržnice Zagreb</w:t>
      </w:r>
      <w:r w:rsidR="00F50E9E" w:rsidRPr="00891DA9">
        <w:rPr>
          <w:rFonts w:eastAsia="Calibri" w:cstheme="minorHAnsi"/>
        </w:rPr>
        <w:t xml:space="preserve">. </w:t>
      </w:r>
      <w:r w:rsidRPr="00891DA9">
        <w:rPr>
          <w:rFonts w:eastAsia="Calibri" w:cstheme="minorHAnsi"/>
        </w:rPr>
        <w:t xml:space="preserve">Raspon specifičnih potrošnji </w:t>
      </w:r>
      <w:r w:rsidR="00F50E9E" w:rsidRPr="00891DA9">
        <w:rPr>
          <w:rFonts w:eastAsia="Calibri" w:cstheme="minorHAnsi"/>
        </w:rPr>
        <w:t>električne energije u promatranim zgradama s</w:t>
      </w:r>
      <w:r w:rsidRPr="00891DA9">
        <w:rPr>
          <w:rFonts w:eastAsia="Calibri" w:cstheme="minorHAnsi"/>
        </w:rPr>
        <w:t xml:space="preserve"> obzirom na </w:t>
      </w:r>
      <w:r w:rsidR="00F50E9E" w:rsidRPr="00891DA9">
        <w:rPr>
          <w:rFonts w:eastAsia="Calibri" w:cstheme="minorHAnsi"/>
        </w:rPr>
        <w:t>različite djelatnosti</w:t>
      </w:r>
      <w:r w:rsidR="005613E6" w:rsidRPr="00891DA9">
        <w:rPr>
          <w:rFonts w:eastAsia="Calibri" w:cstheme="minorHAnsi"/>
        </w:rPr>
        <w:t>, učestalost uporabe</w:t>
      </w:r>
      <w:r w:rsidR="00F50E9E" w:rsidRPr="00891DA9">
        <w:rPr>
          <w:rFonts w:eastAsia="Calibri" w:cstheme="minorHAnsi"/>
        </w:rPr>
        <w:t xml:space="preserve"> </w:t>
      </w:r>
      <w:r w:rsidR="005613E6" w:rsidRPr="00891DA9">
        <w:rPr>
          <w:rFonts w:eastAsia="Calibri" w:cstheme="minorHAnsi"/>
        </w:rPr>
        <w:t xml:space="preserve">i različite karakteristike električnih trošila </w:t>
      </w:r>
      <w:r w:rsidR="008F7B10">
        <w:rPr>
          <w:rFonts w:eastAsia="Calibri" w:cstheme="minorHAnsi"/>
        </w:rPr>
        <w:t xml:space="preserve">je </w:t>
      </w:r>
      <w:r w:rsidR="00F50E9E" w:rsidRPr="00891DA9">
        <w:rPr>
          <w:rFonts w:eastAsia="Calibri" w:cstheme="minorHAnsi"/>
        </w:rPr>
        <w:t>očekivan.</w:t>
      </w:r>
    </w:p>
    <w:p w14:paraId="73E72057" w14:textId="729561BE" w:rsidR="008F7B10" w:rsidRPr="008F7B10" w:rsidRDefault="009827D8" w:rsidP="008F7B10">
      <w:pPr>
        <w:spacing w:line="240" w:lineRule="auto"/>
        <w:jc w:val="both"/>
        <w:rPr>
          <w:rFonts w:eastAsia="Calibri" w:cstheme="minorHAnsi"/>
        </w:rPr>
      </w:pPr>
      <w:r w:rsidRPr="00891DA9">
        <w:rPr>
          <w:rFonts w:eastAsia="Calibri" w:cstheme="minorHAnsi"/>
        </w:rPr>
        <w:t xml:space="preserve">Situacija sa specifičnom </w:t>
      </w:r>
      <w:r w:rsidR="007B1D43" w:rsidRPr="00891DA9">
        <w:rPr>
          <w:rFonts w:eastAsia="Calibri" w:cstheme="minorHAnsi"/>
        </w:rPr>
        <w:t>korisnom energijom za grijanje</w:t>
      </w:r>
      <w:r w:rsidRPr="00891DA9">
        <w:rPr>
          <w:rFonts w:eastAsia="Calibri" w:cstheme="minorHAnsi"/>
        </w:rPr>
        <w:t xml:space="preserve"> je jednaka onoj za </w:t>
      </w:r>
      <w:r w:rsidR="007B1D43" w:rsidRPr="00891DA9">
        <w:rPr>
          <w:rFonts w:eastAsia="Calibri" w:cstheme="minorHAnsi"/>
        </w:rPr>
        <w:t>električnu energiju. Specifična korisna energija za grijanje se kreće</w:t>
      </w:r>
      <w:r w:rsidR="00447893" w:rsidRPr="00891DA9">
        <w:rPr>
          <w:rFonts w:eastAsia="Calibri" w:cstheme="minorHAnsi"/>
        </w:rPr>
        <w:t xml:space="preserve"> u granicama od 56,35</w:t>
      </w:r>
      <w:r w:rsidRPr="00891DA9">
        <w:rPr>
          <w:rFonts w:eastAsia="Calibri" w:cstheme="minorHAnsi"/>
        </w:rPr>
        <w:t xml:space="preserve"> kWh/m</w:t>
      </w:r>
      <w:r w:rsidRPr="00891DA9">
        <w:rPr>
          <w:rFonts w:eastAsia="Calibri" w:cstheme="minorHAnsi"/>
          <w:vertAlign w:val="superscript"/>
        </w:rPr>
        <w:t>2</w:t>
      </w:r>
      <w:r w:rsidRPr="00891DA9">
        <w:rPr>
          <w:rFonts w:eastAsia="Calibri" w:cstheme="minorHAnsi"/>
        </w:rPr>
        <w:t xml:space="preserve"> koliko </w:t>
      </w:r>
      <w:r w:rsidR="00447893" w:rsidRPr="00891DA9">
        <w:rPr>
          <w:rFonts w:eastAsia="Calibri" w:cstheme="minorHAnsi"/>
        </w:rPr>
        <w:t>troši podružnica Arena Zagreb do 371,07</w:t>
      </w:r>
      <w:r w:rsidRPr="00891DA9">
        <w:rPr>
          <w:rFonts w:eastAsia="Calibri" w:cstheme="minorHAnsi"/>
        </w:rPr>
        <w:t xml:space="preserve"> kWh/m</w:t>
      </w:r>
      <w:r w:rsidRPr="00891DA9">
        <w:rPr>
          <w:rFonts w:eastAsia="Calibri" w:cstheme="minorHAnsi"/>
          <w:vertAlign w:val="superscript"/>
        </w:rPr>
        <w:t xml:space="preserve">2 </w:t>
      </w:r>
      <w:r w:rsidR="00447893" w:rsidRPr="00891DA9">
        <w:rPr>
          <w:rFonts w:eastAsia="Calibri" w:cstheme="minorHAnsi"/>
        </w:rPr>
        <w:t xml:space="preserve">koliko troši podružnica </w:t>
      </w:r>
      <w:r w:rsidR="00170A12" w:rsidRPr="00891DA9">
        <w:rPr>
          <w:rFonts w:eastAsia="Calibri" w:cstheme="minorHAnsi"/>
        </w:rPr>
        <w:t>Gradska</w:t>
      </w:r>
      <w:r w:rsidR="00447893" w:rsidRPr="00891DA9">
        <w:rPr>
          <w:rFonts w:eastAsia="Calibri" w:cstheme="minorHAnsi"/>
        </w:rPr>
        <w:t xml:space="preserve"> groblja</w:t>
      </w:r>
      <w:r w:rsidRPr="00891DA9">
        <w:rPr>
          <w:rFonts w:eastAsia="Calibri" w:cstheme="minorHAnsi"/>
        </w:rPr>
        <w:t>.</w:t>
      </w:r>
      <w:r w:rsidR="00A34E48" w:rsidRPr="00891DA9">
        <w:rPr>
          <w:rFonts w:eastAsia="Calibri" w:cstheme="minorHAnsi"/>
        </w:rPr>
        <w:t xml:space="preserve"> Raspon dobivene specifične ko</w:t>
      </w:r>
      <w:r w:rsidR="00F852C0">
        <w:rPr>
          <w:rFonts w:eastAsia="Calibri" w:cstheme="minorHAnsi"/>
        </w:rPr>
        <w:t>risne energije</w:t>
      </w:r>
      <w:r w:rsidR="008F7B10">
        <w:rPr>
          <w:rFonts w:eastAsia="Calibri" w:cstheme="minorHAnsi"/>
        </w:rPr>
        <w:t xml:space="preserve"> za grijanje</w:t>
      </w:r>
      <w:r w:rsidR="00F852C0">
        <w:rPr>
          <w:rFonts w:eastAsia="Calibri" w:cstheme="minorHAnsi"/>
        </w:rPr>
        <w:t xml:space="preserve"> je </w:t>
      </w:r>
      <w:r w:rsidR="00A34E48" w:rsidRPr="00891DA9">
        <w:rPr>
          <w:rFonts w:eastAsia="Calibri" w:cstheme="minorHAnsi"/>
        </w:rPr>
        <w:t>s obzirom na razlike u starosti zgr</w:t>
      </w:r>
      <w:r w:rsidR="00F852C0">
        <w:rPr>
          <w:rFonts w:eastAsia="Calibri" w:cstheme="minorHAnsi"/>
        </w:rPr>
        <w:t>ada i namjenu očekivan.</w:t>
      </w:r>
      <w:r w:rsidR="008F7B10">
        <w:rPr>
          <w:rFonts w:ascii="Century Gothic" w:eastAsia="Calibri" w:hAnsi="Century Gothic" w:cs="Times New Roman"/>
          <w:highlight w:val="yellow"/>
        </w:rPr>
        <w:br w:type="page"/>
      </w:r>
    </w:p>
    <w:p w14:paraId="722A33C2" w14:textId="51183E3F" w:rsidR="00721E1D" w:rsidRPr="00BA68E0" w:rsidRDefault="009827D8" w:rsidP="00E92750">
      <w:pPr>
        <w:spacing w:line="240" w:lineRule="auto"/>
        <w:jc w:val="both"/>
        <w:rPr>
          <w:rFonts w:cstheme="minorHAnsi"/>
          <w:lang w:eastAsia="hr-HR"/>
        </w:rPr>
      </w:pPr>
      <w:r w:rsidRPr="00891DA9">
        <w:rPr>
          <w:rFonts w:eastAsia="Calibri" w:cstheme="minorHAnsi"/>
        </w:rPr>
        <w:lastRenderedPageBreak/>
        <w:t>Kako bi se pobliže obj</w:t>
      </w:r>
      <w:r w:rsidR="00217104" w:rsidRPr="00891DA9">
        <w:rPr>
          <w:rFonts w:eastAsia="Calibri" w:cstheme="minorHAnsi"/>
        </w:rPr>
        <w:t>asnili dobiveni rezultati specifične potrošnje</w:t>
      </w:r>
      <w:r w:rsidR="00DE63D4" w:rsidRPr="00891DA9">
        <w:rPr>
          <w:rFonts w:eastAsia="Calibri" w:cstheme="minorHAnsi"/>
        </w:rPr>
        <w:t xml:space="preserve"> energije</w:t>
      </w:r>
      <w:r w:rsidR="00217104" w:rsidRPr="00891DA9">
        <w:rPr>
          <w:rFonts w:eastAsia="Calibri" w:cstheme="minorHAnsi"/>
        </w:rPr>
        <w:t xml:space="preserve"> (kWh/m</w:t>
      </w:r>
      <w:r w:rsidR="00217104" w:rsidRPr="00891DA9">
        <w:rPr>
          <w:rFonts w:eastAsia="Calibri" w:cstheme="minorHAnsi"/>
          <w:vertAlign w:val="superscript"/>
        </w:rPr>
        <w:t>2</w:t>
      </w:r>
      <w:r w:rsidR="00217104" w:rsidRPr="00891DA9">
        <w:rPr>
          <w:rFonts w:eastAsia="Calibri" w:cstheme="minorHAnsi"/>
        </w:rPr>
        <w:t>)</w:t>
      </w:r>
      <w:r w:rsidR="00DE63D4" w:rsidRPr="00891DA9">
        <w:rPr>
          <w:rFonts w:eastAsia="Calibri" w:cstheme="minorHAnsi"/>
        </w:rPr>
        <w:t xml:space="preserve"> u podružnicama, trgovačkim društvima i ustanovi</w:t>
      </w:r>
      <w:r w:rsidR="00217104" w:rsidRPr="00891DA9">
        <w:rPr>
          <w:rFonts w:eastAsia="Calibri" w:cstheme="minorHAnsi"/>
        </w:rPr>
        <w:t xml:space="preserve"> u vlasništvu</w:t>
      </w:r>
      <w:r w:rsidR="00DE63D4" w:rsidRPr="00891DA9">
        <w:rPr>
          <w:rFonts w:eastAsia="Calibri" w:cstheme="minorHAnsi"/>
        </w:rPr>
        <w:t xml:space="preserve"> Holdinga, dan je </w:t>
      </w:r>
      <w:r w:rsidR="00DE63D4" w:rsidRPr="00891DA9">
        <w:rPr>
          <w:rFonts w:cstheme="minorHAnsi"/>
          <w:lang w:eastAsia="hr-HR"/>
        </w:rPr>
        <w:t>p</w:t>
      </w:r>
      <w:r w:rsidR="00721E1D" w:rsidRPr="00891DA9">
        <w:rPr>
          <w:rFonts w:cstheme="minorHAnsi"/>
          <w:lang w:eastAsia="hr-HR"/>
        </w:rPr>
        <w:t>rika</w:t>
      </w:r>
      <w:r w:rsidR="00DE63D4" w:rsidRPr="00891DA9">
        <w:rPr>
          <w:rFonts w:cstheme="minorHAnsi"/>
          <w:lang w:eastAsia="hr-HR"/>
        </w:rPr>
        <w:t xml:space="preserve">z osnovnih </w:t>
      </w:r>
      <w:r w:rsidR="00DE63D4" w:rsidRPr="00BA68E0">
        <w:rPr>
          <w:rFonts w:cstheme="minorHAnsi"/>
          <w:lang w:eastAsia="hr-HR"/>
        </w:rPr>
        <w:t xml:space="preserve">djelatnosti </w:t>
      </w:r>
      <w:r w:rsidR="00721E1D" w:rsidRPr="00BA68E0">
        <w:rPr>
          <w:rFonts w:cstheme="minorHAnsi"/>
          <w:lang w:eastAsia="hr-HR"/>
        </w:rPr>
        <w:t>u nastavku</w:t>
      </w:r>
      <w:r w:rsidR="003F6586" w:rsidRPr="00BA68E0">
        <w:rPr>
          <w:rFonts w:cstheme="minorHAnsi"/>
          <w:lang w:eastAsia="hr-HR"/>
        </w:rPr>
        <w:t>.</w:t>
      </w:r>
    </w:p>
    <w:p w14:paraId="24421BD7" w14:textId="4EC2AD60" w:rsidR="003F6586" w:rsidRPr="00BA68E0" w:rsidRDefault="003F6586" w:rsidP="00EE7021">
      <w:pPr>
        <w:pStyle w:val="ListParagraph"/>
        <w:numPr>
          <w:ilvl w:val="0"/>
          <w:numId w:val="49"/>
        </w:numPr>
        <w:spacing w:line="240" w:lineRule="auto"/>
        <w:ind w:left="714" w:hanging="357"/>
        <w:contextualSpacing w:val="0"/>
        <w:jc w:val="both"/>
        <w:rPr>
          <w:rFonts w:asciiTheme="minorHAnsi" w:hAnsiTheme="minorHAnsi" w:cstheme="minorHAnsi"/>
        </w:rPr>
      </w:pPr>
      <w:r w:rsidRPr="00BA68E0">
        <w:rPr>
          <w:rFonts w:asciiTheme="minorHAnsi" w:hAnsiTheme="minorHAnsi" w:cstheme="minorHAnsi"/>
          <w:b/>
          <w:lang w:eastAsia="hr-HR"/>
        </w:rPr>
        <w:t>AGM d.o.o.</w:t>
      </w:r>
      <w:r w:rsidRPr="00BA68E0">
        <w:rPr>
          <w:rFonts w:asciiTheme="minorHAnsi" w:hAnsiTheme="minorHAnsi" w:cstheme="minorHAnsi"/>
          <w:lang w:eastAsia="hr-HR"/>
        </w:rPr>
        <w:t xml:space="preserve"> – Osnovna </w:t>
      </w:r>
      <w:r w:rsidRPr="00BA68E0">
        <w:rPr>
          <w:rFonts w:asciiTheme="minorHAnsi" w:hAnsiTheme="minorHAnsi" w:cstheme="minorHAnsi"/>
        </w:rPr>
        <w:t>djelatnost AGM-a je nakladnička i galerijsko - izložbena djelatnost.</w:t>
      </w:r>
      <w:r w:rsidR="0097654D" w:rsidRPr="00BA68E0">
        <w:rPr>
          <w:rFonts w:asciiTheme="minorHAnsi" w:hAnsiTheme="minorHAnsi" w:cstheme="minorHAnsi"/>
        </w:rPr>
        <w:t xml:space="preserve"> Specijalizirane biblioteke predstavljaju osnovu nakladničkog programa AGM-a</w:t>
      </w:r>
      <w:r w:rsidR="00DD1203">
        <w:rPr>
          <w:rFonts w:asciiTheme="minorHAnsi" w:hAnsiTheme="minorHAnsi" w:cstheme="minorHAnsi"/>
        </w:rPr>
        <w:t>.</w:t>
      </w:r>
    </w:p>
    <w:p w14:paraId="7913442B" w14:textId="77777777" w:rsidR="002963DD" w:rsidRPr="00BA68E0" w:rsidRDefault="003F6586"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Arena Zagreb</w:t>
      </w:r>
      <w:r w:rsidRPr="00BA68E0">
        <w:rPr>
          <w:rFonts w:cstheme="minorHAnsi"/>
        </w:rPr>
        <w:t xml:space="preserve"> – </w:t>
      </w:r>
      <w:r w:rsidR="00E7124B" w:rsidRPr="00BA68E0">
        <w:rPr>
          <w:rFonts w:cstheme="minorHAnsi"/>
        </w:rPr>
        <w:t>Smještena je na lokaciji Vice Vukova 8, Zagreb. Osnovne djelatnosti podružnice Arena Zagreb su upravljanje i održavanje sportskih građevina.</w:t>
      </w:r>
    </w:p>
    <w:p w14:paraId="720D0F4D" w14:textId="1C601CC0" w:rsidR="003F6586" w:rsidRPr="00BA68E0" w:rsidRDefault="003F6586"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Autobusni kolodvor Zagreb</w:t>
      </w:r>
      <w:r w:rsidRPr="00BA68E0">
        <w:rPr>
          <w:rFonts w:cstheme="minorHAnsi"/>
        </w:rPr>
        <w:t xml:space="preserve"> –Smješten je na lokaciji Avenija Marina Držića 4, Zagreb.</w:t>
      </w:r>
      <w:r w:rsidR="00E7124B" w:rsidRPr="00BA68E0">
        <w:rPr>
          <w:rFonts w:cstheme="minorHAnsi"/>
        </w:rPr>
        <w:t xml:space="preserve"> </w:t>
      </w:r>
      <w:r w:rsidR="00AE5196" w:rsidRPr="00BA68E0">
        <w:rPr>
          <w:rFonts w:cstheme="minorHAnsi"/>
        </w:rPr>
        <w:t>Temeljne djelatnosti Autobusnog kolodvora Zagreb su prihvat autobusa, prtljage i robe, prodaja voznih karata, rezervacija mjesta u autobusima</w:t>
      </w:r>
      <w:r w:rsidR="00BA68E0" w:rsidRPr="00BA68E0">
        <w:rPr>
          <w:rFonts w:cstheme="minorHAnsi"/>
        </w:rPr>
        <w:t>, usluge informacija, garderobe</w:t>
      </w:r>
      <w:r w:rsidR="00AE5196" w:rsidRPr="00BA68E0">
        <w:rPr>
          <w:rFonts w:cstheme="minorHAnsi"/>
        </w:rPr>
        <w:t xml:space="preserve"> te usluge parkiranja osobnih vozila.</w:t>
      </w:r>
    </w:p>
    <w:p w14:paraId="45512C06" w14:textId="72207AC5" w:rsidR="0016163F" w:rsidRPr="00BA68E0" w:rsidRDefault="0016163F" w:rsidP="00EE7021">
      <w:pPr>
        <w:pStyle w:val="ListParagraph"/>
        <w:numPr>
          <w:ilvl w:val="0"/>
          <w:numId w:val="49"/>
        </w:numPr>
        <w:spacing w:line="240" w:lineRule="auto"/>
        <w:ind w:left="714" w:hanging="357"/>
        <w:contextualSpacing w:val="0"/>
        <w:jc w:val="both"/>
        <w:rPr>
          <w:rFonts w:cstheme="minorHAnsi"/>
          <w:b/>
        </w:rPr>
      </w:pPr>
      <w:r w:rsidRPr="00BA68E0">
        <w:rPr>
          <w:rFonts w:cstheme="minorHAnsi"/>
          <w:b/>
        </w:rPr>
        <w:t xml:space="preserve">Centar d.o.o. </w:t>
      </w:r>
      <w:r w:rsidR="005A4052" w:rsidRPr="00BA68E0">
        <w:rPr>
          <w:rFonts w:cstheme="minorHAnsi"/>
          <w:b/>
        </w:rPr>
        <w:t>–</w:t>
      </w:r>
      <w:r w:rsidRPr="00BA68E0">
        <w:rPr>
          <w:rFonts w:cstheme="minorHAnsi"/>
          <w:b/>
        </w:rPr>
        <w:t xml:space="preserve"> </w:t>
      </w:r>
      <w:r w:rsidR="005A4052" w:rsidRPr="00BA68E0">
        <w:rPr>
          <w:rFonts w:cstheme="minorHAnsi"/>
        </w:rPr>
        <w:t>Osnovna djelatnost tvrtke je organizacija sportskog ljetovanja za djecu i mlade, organizacija putovanja za sportaše te računovodstvene i knjigovodstvene usluge.</w:t>
      </w:r>
      <w:r w:rsidR="00022C42" w:rsidRPr="00BA68E0">
        <w:rPr>
          <w:rFonts w:cstheme="minorHAnsi"/>
        </w:rPr>
        <w:t xml:space="preserve"> U sklopu Arene Zagreb se nalazi ured.</w:t>
      </w:r>
    </w:p>
    <w:p w14:paraId="24EDD34E" w14:textId="122F460B" w:rsidR="00E7124B" w:rsidRPr="00BA68E0" w:rsidRDefault="00AA72AC" w:rsidP="00EE7021">
      <w:pPr>
        <w:pStyle w:val="ListParagraph"/>
        <w:numPr>
          <w:ilvl w:val="0"/>
          <w:numId w:val="49"/>
        </w:numPr>
        <w:spacing w:line="240" w:lineRule="auto"/>
        <w:contextualSpacing w:val="0"/>
        <w:jc w:val="both"/>
        <w:rPr>
          <w:rFonts w:cstheme="minorHAnsi"/>
        </w:rPr>
      </w:pPr>
      <w:r w:rsidRPr="00BA68E0">
        <w:rPr>
          <w:rFonts w:cstheme="minorHAnsi"/>
          <w:b/>
        </w:rPr>
        <w:t>Čistoća</w:t>
      </w:r>
      <w:r w:rsidRPr="00BA68E0">
        <w:rPr>
          <w:rFonts w:cstheme="minorHAnsi"/>
        </w:rPr>
        <w:t xml:space="preserve"> – Osnovna djelatnost je briga o čistoći javnih prometnih površina i gospodarenje otpadom</w:t>
      </w:r>
      <w:r w:rsidR="00A80F7C" w:rsidRPr="00BA68E0">
        <w:rPr>
          <w:rFonts w:cstheme="minorHAnsi"/>
        </w:rPr>
        <w:t>.</w:t>
      </w:r>
      <w:r w:rsidR="00022C42" w:rsidRPr="00BA68E0">
        <w:rPr>
          <w:rFonts w:cstheme="minorHAnsi"/>
        </w:rPr>
        <w:t xml:space="preserve"> Energetska analiza obuhvatila je lokacije Tišinska ulica 71 i Radnička cesta 82.</w:t>
      </w:r>
    </w:p>
    <w:p w14:paraId="517E6E5A" w14:textId="2E3BBAE2" w:rsidR="00AA72AC" w:rsidRPr="00BA68E0" w:rsidRDefault="00AA72AC"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Gradska groblja</w:t>
      </w:r>
      <w:r w:rsidRPr="00BA68E0">
        <w:rPr>
          <w:rFonts w:cstheme="minorHAnsi"/>
        </w:rPr>
        <w:t xml:space="preserve"> </w:t>
      </w:r>
      <w:r w:rsidR="0016163F" w:rsidRPr="00BA68E0">
        <w:rPr>
          <w:rFonts w:cstheme="minorHAnsi"/>
        </w:rPr>
        <w:t>–</w:t>
      </w:r>
      <w:r w:rsidRPr="00BA68E0">
        <w:rPr>
          <w:rFonts w:cstheme="minorHAnsi"/>
        </w:rPr>
        <w:t xml:space="preserve"> </w:t>
      </w:r>
      <w:r w:rsidR="005A4052" w:rsidRPr="00BA68E0">
        <w:rPr>
          <w:rFonts w:cstheme="minorHAnsi"/>
        </w:rPr>
        <w:t>Osnovne djelatnosti podružnice Gradska groblja jesu od</w:t>
      </w:r>
      <w:r w:rsidR="00A80F7C" w:rsidRPr="00BA68E0">
        <w:rPr>
          <w:rFonts w:cstheme="minorHAnsi"/>
        </w:rPr>
        <w:t>ržavanje groblja i krematorija,</w:t>
      </w:r>
      <w:r w:rsidR="005A4052" w:rsidRPr="00BA68E0">
        <w:rPr>
          <w:rFonts w:cstheme="minorHAnsi"/>
        </w:rPr>
        <w:t xml:space="preserve"> organizacija i obavljanje kompletnih pogrebnih usluga te izgradnja i održavanje grobnih mjesta.</w:t>
      </w:r>
    </w:p>
    <w:p w14:paraId="7CAD2B54" w14:textId="513AB330" w:rsidR="0016163F" w:rsidRPr="00BA68E0" w:rsidRDefault="0016163F" w:rsidP="00EE7021">
      <w:pPr>
        <w:pStyle w:val="ListParagraph"/>
        <w:numPr>
          <w:ilvl w:val="0"/>
          <w:numId w:val="49"/>
        </w:numPr>
        <w:spacing w:line="240" w:lineRule="auto"/>
        <w:ind w:left="714" w:hanging="357"/>
        <w:contextualSpacing w:val="0"/>
        <w:jc w:val="both"/>
        <w:rPr>
          <w:rFonts w:cstheme="minorHAnsi"/>
          <w:b/>
        </w:rPr>
      </w:pPr>
      <w:r w:rsidRPr="00BA68E0">
        <w:rPr>
          <w:rFonts w:cstheme="minorHAnsi"/>
          <w:b/>
        </w:rPr>
        <w:t>Gradska ljekarna Zagreb</w:t>
      </w:r>
      <w:r w:rsidR="005A4052" w:rsidRPr="00BA68E0">
        <w:rPr>
          <w:rFonts w:cstheme="minorHAnsi"/>
          <w:b/>
        </w:rPr>
        <w:t xml:space="preserve"> - </w:t>
      </w:r>
      <w:r w:rsidR="005A4052" w:rsidRPr="00BA68E0">
        <w:rPr>
          <w:rFonts w:cstheme="minorHAnsi"/>
        </w:rPr>
        <w:t>ugovorna je zdravstvena ustanova Hrvatskog zavoda za zdravstveno osiguranje. U sustavu je 37 ljekarničkih jedinica te Galenski i Analitički laboratorij.</w:t>
      </w:r>
    </w:p>
    <w:p w14:paraId="120BBE68" w14:textId="12BA38F3" w:rsidR="0016163F" w:rsidRPr="00BA68E0" w:rsidRDefault="0016163F"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Gradska plinara Zagreb d.o.o.</w:t>
      </w:r>
      <w:r w:rsidR="005A4052" w:rsidRPr="00BA68E0">
        <w:rPr>
          <w:rFonts w:cstheme="minorHAnsi"/>
          <w:b/>
        </w:rPr>
        <w:t xml:space="preserve"> - </w:t>
      </w:r>
      <w:r w:rsidR="005A4052" w:rsidRPr="00BA68E0">
        <w:rPr>
          <w:rFonts w:cstheme="minorHAnsi"/>
        </w:rPr>
        <w:t>Osigurava tehničke uvjete za pogon, vođenje i razvoj sigurnog, pouzdanog i učinkovitog distribucijskog sustava te nadzire projektiranje, gradnju i održavanje distribucijskog sustava.</w:t>
      </w:r>
    </w:p>
    <w:p w14:paraId="1B02CC4B" w14:textId="27335FD7" w:rsidR="0016163F" w:rsidRPr="00BA68E0" w:rsidRDefault="0016163F"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 xml:space="preserve">Gradska plinara Zagreb Opskrba d.o.o. - </w:t>
      </w:r>
      <w:r w:rsidR="005A4052" w:rsidRPr="00BA68E0">
        <w:rPr>
          <w:rFonts w:cstheme="minorHAnsi"/>
        </w:rPr>
        <w:t>Osnovne djelatnosti su javna usluga opsk</w:t>
      </w:r>
      <w:r w:rsidR="00BA68E0" w:rsidRPr="00BA68E0">
        <w:rPr>
          <w:rFonts w:cstheme="minorHAnsi"/>
        </w:rPr>
        <w:t>rbe prirodnim plinom za kućanstva</w:t>
      </w:r>
      <w:r w:rsidR="005A4052" w:rsidRPr="00BA68E0">
        <w:rPr>
          <w:rFonts w:cstheme="minorHAnsi"/>
        </w:rPr>
        <w:t xml:space="preserve"> i opskrba prirodnim plinom kupaca koji ne spadaju u kategoriju javne uslug</w:t>
      </w:r>
      <w:r w:rsidR="00E40C06">
        <w:rPr>
          <w:rFonts w:cstheme="minorHAnsi"/>
        </w:rPr>
        <w:t>e opskrbe plinom</w:t>
      </w:r>
      <w:r w:rsidR="00BA68E0" w:rsidRPr="00BA68E0">
        <w:rPr>
          <w:rFonts w:cstheme="minorHAnsi"/>
        </w:rPr>
        <w:t xml:space="preserve"> </w:t>
      </w:r>
      <w:r w:rsidR="00E40C06">
        <w:rPr>
          <w:rFonts w:cstheme="minorHAnsi"/>
        </w:rPr>
        <w:t>(</w:t>
      </w:r>
      <w:r w:rsidR="00BA68E0" w:rsidRPr="00BA68E0">
        <w:rPr>
          <w:rFonts w:cstheme="minorHAnsi"/>
        </w:rPr>
        <w:t>poduzetništvo</w:t>
      </w:r>
      <w:r w:rsidR="00E40C06">
        <w:rPr>
          <w:rFonts w:cstheme="minorHAnsi"/>
        </w:rPr>
        <w:t>)</w:t>
      </w:r>
      <w:r w:rsidR="005A4052" w:rsidRPr="00BA68E0">
        <w:rPr>
          <w:rFonts w:cstheme="minorHAnsi"/>
        </w:rPr>
        <w:t xml:space="preserve">, </w:t>
      </w:r>
      <w:r w:rsidR="00E40C06">
        <w:rPr>
          <w:rFonts w:cstheme="minorHAnsi"/>
        </w:rPr>
        <w:t xml:space="preserve">zatim </w:t>
      </w:r>
      <w:r w:rsidR="005A4052" w:rsidRPr="00BA68E0">
        <w:rPr>
          <w:rFonts w:cstheme="minorHAnsi"/>
        </w:rPr>
        <w:t>prodaja stlačenog prirodnog plina za pogon mo</w:t>
      </w:r>
      <w:r w:rsidR="00BA68E0" w:rsidRPr="00BA68E0">
        <w:rPr>
          <w:rFonts w:cstheme="minorHAnsi"/>
        </w:rPr>
        <w:t xml:space="preserve">tornih vozila </w:t>
      </w:r>
      <w:r w:rsidR="005A4052" w:rsidRPr="00BA68E0">
        <w:rPr>
          <w:rFonts w:cstheme="minorHAnsi"/>
        </w:rPr>
        <w:t>te opskrba prirodnim plinom ostalih kupaca.</w:t>
      </w:r>
      <w:r w:rsidR="00A452F5" w:rsidRPr="00BA68E0">
        <w:rPr>
          <w:rFonts w:cstheme="minorHAnsi"/>
        </w:rPr>
        <w:t xml:space="preserve"> Objekt je u zakupu Gradske plinare Zagreb d.o.o.</w:t>
      </w:r>
    </w:p>
    <w:p w14:paraId="6B97D445" w14:textId="3BEEBE51" w:rsidR="0056401F" w:rsidRPr="00BA68E0" w:rsidRDefault="0016163F"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Gradsko stambeno komunalno gospodarstvo d.o.o.</w:t>
      </w:r>
      <w:r w:rsidRPr="00BA68E0">
        <w:rPr>
          <w:rFonts w:cstheme="minorHAnsi"/>
        </w:rPr>
        <w:t xml:space="preserve"> –</w:t>
      </w:r>
      <w:r w:rsidR="0056401F" w:rsidRPr="00BA68E0">
        <w:rPr>
          <w:rFonts w:cstheme="minorHAnsi"/>
        </w:rPr>
        <w:t>Primarna djelatnost je održavanje stambenih objekata. Osim toga,</w:t>
      </w:r>
      <w:r w:rsidR="00530143" w:rsidRPr="00BA68E0">
        <w:rPr>
          <w:rFonts w:cstheme="minorHAnsi"/>
        </w:rPr>
        <w:t xml:space="preserve"> </w:t>
      </w:r>
      <w:r w:rsidR="0056401F" w:rsidRPr="00BA68E0">
        <w:rPr>
          <w:rFonts w:cstheme="minorHAnsi"/>
        </w:rPr>
        <w:t>obavlja djelatnost komunalnih poslova i održavanje javnih prolaza, pothodnika, fontana, javnih satova i WC-a.</w:t>
      </w:r>
    </w:p>
    <w:p w14:paraId="67D6D926" w14:textId="12D0FC8A" w:rsidR="00877455" w:rsidRPr="00BA68E0" w:rsidRDefault="0016163F"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Robni terminali Zagreb</w:t>
      </w:r>
      <w:r w:rsidRPr="00BA68E0">
        <w:rPr>
          <w:rFonts w:cstheme="minorHAnsi"/>
        </w:rPr>
        <w:t xml:space="preserve"> –</w:t>
      </w:r>
      <w:r w:rsidR="00BA68E0" w:rsidRPr="00BA68E0">
        <w:rPr>
          <w:rFonts w:cstheme="minorHAnsi"/>
        </w:rPr>
        <w:t>upravlja, iznajmljuje</w:t>
      </w:r>
      <w:r w:rsidR="00877455" w:rsidRPr="00BA68E0">
        <w:rPr>
          <w:rFonts w:cstheme="minorHAnsi"/>
        </w:rPr>
        <w:t xml:space="preserve"> te pruža usluge skladištenja robe. Djelatnost obavlja u različitim vrstama vlastitih skladišta (zatvorena i otvorena - u carinskom, necarinskom te statusu slobodne zone). </w:t>
      </w:r>
    </w:p>
    <w:p w14:paraId="72AAF66A" w14:textId="0350AB10" w:rsidR="005A4052" w:rsidRPr="00BA68E0" w:rsidRDefault="005A4052"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Upravljanje nekretninama</w:t>
      </w:r>
      <w:r w:rsidR="00877455" w:rsidRPr="00BA68E0">
        <w:rPr>
          <w:rFonts w:cstheme="minorHAnsi"/>
          <w:b/>
        </w:rPr>
        <w:t xml:space="preserve"> - </w:t>
      </w:r>
      <w:r w:rsidR="00877455" w:rsidRPr="00BA68E0">
        <w:rPr>
          <w:rFonts w:cstheme="minorHAnsi"/>
        </w:rPr>
        <w:t xml:space="preserve">Osnovna djelatnost je poslovanje nekretninama, građenje, projektiranje i nadzor, održavanje javnih površina, upravljačke djelatnosti holding društva, savjetovanje, prikupljanje, analiza te davanje informacija iz područja niskogradnje, hidrogradnja, prometa, sistemsko i sigurnosno savjetovanje. </w:t>
      </w:r>
    </w:p>
    <w:p w14:paraId="372D7693" w14:textId="3F0B5641" w:rsidR="00A452F5" w:rsidRPr="00BA68E0" w:rsidRDefault="00A452F5" w:rsidP="00EE7021">
      <w:pPr>
        <w:pStyle w:val="ListParagraph"/>
        <w:numPr>
          <w:ilvl w:val="0"/>
          <w:numId w:val="49"/>
        </w:numPr>
        <w:spacing w:line="240" w:lineRule="auto"/>
        <w:contextualSpacing w:val="0"/>
        <w:jc w:val="both"/>
        <w:rPr>
          <w:rFonts w:cstheme="minorHAnsi"/>
        </w:rPr>
      </w:pPr>
      <w:r w:rsidRPr="00BA68E0">
        <w:rPr>
          <w:rFonts w:cstheme="minorHAnsi"/>
          <w:b/>
        </w:rPr>
        <w:lastRenderedPageBreak/>
        <w:t>Upravljanje projektima –</w:t>
      </w:r>
      <w:r w:rsidRPr="00BA68E0">
        <w:rPr>
          <w:rFonts w:cstheme="minorHAnsi"/>
        </w:rPr>
        <w:t xml:space="preserve"> Osnovna djelatnost je savjetovanje, prikupljanje, analiza te davanje informacija s područja graditeljstva, geodetsko premjeravanje zemljišta, izradu projekata i sveobuhvat</w:t>
      </w:r>
      <w:r w:rsidR="000D17F4">
        <w:rPr>
          <w:rFonts w:cstheme="minorHAnsi"/>
        </w:rPr>
        <w:t xml:space="preserve">ne projektne dokumentacije te </w:t>
      </w:r>
      <w:r w:rsidRPr="00BA68E0">
        <w:rPr>
          <w:rFonts w:cstheme="minorHAnsi"/>
        </w:rPr>
        <w:t xml:space="preserve">izgradnja građevina, stanova i poslovnih prostora i nadzor. </w:t>
      </w:r>
    </w:p>
    <w:p w14:paraId="307DC258" w14:textId="1F50194F" w:rsidR="00A452F5" w:rsidRPr="00BA68E0" w:rsidRDefault="00A452F5" w:rsidP="00EE7021">
      <w:pPr>
        <w:pStyle w:val="ListParagraph"/>
        <w:numPr>
          <w:ilvl w:val="0"/>
          <w:numId w:val="49"/>
        </w:numPr>
        <w:spacing w:line="240" w:lineRule="auto"/>
        <w:contextualSpacing w:val="0"/>
        <w:jc w:val="both"/>
        <w:rPr>
          <w:rFonts w:cstheme="minorHAnsi"/>
        </w:rPr>
      </w:pPr>
      <w:r w:rsidRPr="00BA68E0">
        <w:rPr>
          <w:rFonts w:cstheme="minorHAnsi"/>
          <w:b/>
        </w:rPr>
        <w:t xml:space="preserve">Tržnice Zagreb - </w:t>
      </w:r>
      <w:r w:rsidR="00BF7C81" w:rsidRPr="00BA68E0">
        <w:rPr>
          <w:rFonts w:cstheme="minorHAnsi"/>
        </w:rPr>
        <w:t xml:space="preserve">Glavna djelatnost je prodaja na malo i veliko svježih domaćih proizvoda te usluge hladnjače. </w:t>
      </w:r>
    </w:p>
    <w:p w14:paraId="63956E87" w14:textId="69F82077" w:rsidR="00A452F5" w:rsidRPr="00BA68E0" w:rsidRDefault="00A452F5"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Vladimir Nazor</w:t>
      </w:r>
      <w:r w:rsidR="00BF7C81" w:rsidRPr="00BA68E0">
        <w:rPr>
          <w:rFonts w:cstheme="minorHAnsi"/>
          <w:b/>
        </w:rPr>
        <w:t xml:space="preserve"> - </w:t>
      </w:r>
      <w:r w:rsidR="00BF7C81" w:rsidRPr="00BA68E0">
        <w:rPr>
          <w:rFonts w:cstheme="minorHAnsi"/>
        </w:rPr>
        <w:t>nudi programski osmišljena putovanja tijekom školskih i prigodnih praznika, odlazak na školske izlete, terensku nastavu za djecu predškolskog i školskog uzrasta.</w:t>
      </w:r>
    </w:p>
    <w:p w14:paraId="76BE1299" w14:textId="2C2ADB95" w:rsidR="00A452F5" w:rsidRPr="00BA68E0" w:rsidRDefault="00A452F5" w:rsidP="00EE7021">
      <w:pPr>
        <w:pStyle w:val="ListParagraph"/>
        <w:numPr>
          <w:ilvl w:val="0"/>
          <w:numId w:val="49"/>
        </w:numPr>
        <w:spacing w:line="240" w:lineRule="auto"/>
        <w:contextualSpacing w:val="0"/>
        <w:jc w:val="both"/>
        <w:rPr>
          <w:rFonts w:cstheme="minorHAnsi"/>
        </w:rPr>
      </w:pPr>
      <w:r w:rsidRPr="00BA68E0">
        <w:rPr>
          <w:rFonts w:cstheme="minorHAnsi"/>
          <w:b/>
        </w:rPr>
        <w:t>Vodoopskrba i odvodnja d.o.o.</w:t>
      </w:r>
      <w:r w:rsidR="00BF7C81" w:rsidRPr="00BA68E0">
        <w:rPr>
          <w:rFonts w:cstheme="minorHAnsi"/>
          <w:b/>
        </w:rPr>
        <w:t xml:space="preserve"> - </w:t>
      </w:r>
      <w:r w:rsidR="00BF7C81" w:rsidRPr="00BA68E0">
        <w:rPr>
          <w:rFonts w:cstheme="minorHAnsi"/>
        </w:rPr>
        <w:t xml:space="preserve">isporučitelj vodnih usluga javne vodoopskrbe i </w:t>
      </w:r>
      <w:r w:rsidR="00231797" w:rsidRPr="00BA68E0">
        <w:rPr>
          <w:rFonts w:cstheme="minorHAnsi"/>
        </w:rPr>
        <w:t>javne odvodnje na području</w:t>
      </w:r>
      <w:r w:rsidR="00BF7C81" w:rsidRPr="00BA68E0">
        <w:rPr>
          <w:rFonts w:cstheme="minorHAnsi"/>
        </w:rPr>
        <w:t xml:space="preserve"> Zagreba i šire zagrebačke regije. </w:t>
      </w:r>
    </w:p>
    <w:p w14:paraId="5C037481" w14:textId="7F8FC445" w:rsidR="00EE1008" w:rsidRPr="00BA68E0" w:rsidRDefault="00A452F5"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Zagreb plakat d.o.o.</w:t>
      </w:r>
      <w:r w:rsidR="00EE1008" w:rsidRPr="00BA68E0">
        <w:rPr>
          <w:rFonts w:cstheme="minorHAnsi"/>
          <w:b/>
        </w:rPr>
        <w:t xml:space="preserve"> – </w:t>
      </w:r>
      <w:r w:rsidR="00EE1008" w:rsidRPr="00BA68E0">
        <w:rPr>
          <w:rFonts w:cstheme="minorHAnsi"/>
        </w:rPr>
        <w:t>osnovni cilj je unaprijedit</w:t>
      </w:r>
      <w:r w:rsidR="00BA68E0" w:rsidRPr="00BA68E0">
        <w:rPr>
          <w:rFonts w:cstheme="minorHAnsi"/>
        </w:rPr>
        <w:t>i vanjsko oglašavanje u Zagrebu.</w:t>
      </w:r>
    </w:p>
    <w:p w14:paraId="46068D22" w14:textId="4B1971D4" w:rsidR="00A452F5" w:rsidRPr="00BA68E0" w:rsidRDefault="00A452F5" w:rsidP="00EE7021">
      <w:pPr>
        <w:pStyle w:val="ListParagraph"/>
        <w:numPr>
          <w:ilvl w:val="0"/>
          <w:numId w:val="49"/>
        </w:numPr>
        <w:spacing w:line="240" w:lineRule="auto"/>
        <w:contextualSpacing w:val="0"/>
        <w:jc w:val="both"/>
        <w:rPr>
          <w:rFonts w:cstheme="minorHAnsi"/>
        </w:rPr>
      </w:pPr>
      <w:r w:rsidRPr="00BA68E0">
        <w:rPr>
          <w:rFonts w:cstheme="minorHAnsi"/>
          <w:b/>
        </w:rPr>
        <w:t>Zagrebačka stanogradnja d.o.o.</w:t>
      </w:r>
      <w:r w:rsidR="00EE1008" w:rsidRPr="00BA68E0">
        <w:rPr>
          <w:rFonts w:cstheme="minorHAnsi"/>
          <w:b/>
        </w:rPr>
        <w:t xml:space="preserve"> - </w:t>
      </w:r>
      <w:r w:rsidR="00EE1008" w:rsidRPr="00BA68E0">
        <w:rPr>
          <w:rFonts w:cstheme="minorHAnsi"/>
        </w:rPr>
        <w:t>društvo je s ograničenom odgovornošću za građevinarstvo i usluge u vlasništvu Zagrebačkog holdinga d.o.o. Osnovni poslovi društva su izgradnja, savjetovanje, prikupljanje, analiza te davanje inf</w:t>
      </w:r>
      <w:r w:rsidR="000D17F4">
        <w:rPr>
          <w:rFonts w:cstheme="minorHAnsi"/>
        </w:rPr>
        <w:t xml:space="preserve">ormacija s područja niskogradnje, hidrogradnje i </w:t>
      </w:r>
      <w:r w:rsidR="00EE1008" w:rsidRPr="00BA68E0">
        <w:rPr>
          <w:rFonts w:cstheme="minorHAnsi"/>
        </w:rPr>
        <w:t xml:space="preserve">prometa. </w:t>
      </w:r>
    </w:p>
    <w:p w14:paraId="046126D9" w14:textId="7861697E" w:rsidR="00A452F5" w:rsidRPr="00BA68E0" w:rsidRDefault="00A452F5" w:rsidP="00EE7021">
      <w:pPr>
        <w:pStyle w:val="ListParagraph"/>
        <w:numPr>
          <w:ilvl w:val="0"/>
          <w:numId w:val="49"/>
        </w:numPr>
        <w:spacing w:line="240" w:lineRule="auto"/>
        <w:ind w:left="714" w:hanging="357"/>
        <w:contextualSpacing w:val="0"/>
        <w:jc w:val="both"/>
        <w:rPr>
          <w:rFonts w:cstheme="minorHAnsi"/>
        </w:rPr>
      </w:pPr>
      <w:r w:rsidRPr="00BA68E0">
        <w:rPr>
          <w:rFonts w:cstheme="minorHAnsi"/>
          <w:b/>
        </w:rPr>
        <w:t>Zagrebparking</w:t>
      </w:r>
      <w:r w:rsidR="00EE1008" w:rsidRPr="00BA68E0">
        <w:rPr>
          <w:rFonts w:cstheme="minorHAnsi"/>
          <w:b/>
        </w:rPr>
        <w:t xml:space="preserve"> - </w:t>
      </w:r>
      <w:r w:rsidR="00EE1008" w:rsidRPr="00BA68E0">
        <w:rPr>
          <w:rFonts w:cstheme="minorHAnsi"/>
        </w:rPr>
        <w:t xml:space="preserve">Osnovna djelatnost je promicanje i unapređenje prometne kulture te pružanje usluga parkiranja u Gradu Zagrebu. </w:t>
      </w:r>
    </w:p>
    <w:p w14:paraId="1E1C0FFA" w14:textId="49698C64" w:rsidR="00A452F5" w:rsidRPr="00BA68E0" w:rsidRDefault="00A452F5" w:rsidP="00EE7021">
      <w:pPr>
        <w:pStyle w:val="ListParagraph"/>
        <w:numPr>
          <w:ilvl w:val="0"/>
          <w:numId w:val="49"/>
        </w:numPr>
        <w:spacing w:line="240" w:lineRule="auto"/>
        <w:contextualSpacing w:val="0"/>
        <w:jc w:val="both"/>
        <w:rPr>
          <w:rFonts w:cstheme="minorHAnsi"/>
        </w:rPr>
      </w:pPr>
      <w:r w:rsidRPr="00BA68E0">
        <w:rPr>
          <w:rFonts w:cstheme="minorHAnsi"/>
          <w:b/>
        </w:rPr>
        <w:t>Zagrebačke ceste</w:t>
      </w:r>
      <w:r w:rsidR="00EE1008" w:rsidRPr="00BA68E0">
        <w:rPr>
          <w:rFonts w:cstheme="minorHAnsi"/>
          <w:b/>
        </w:rPr>
        <w:t xml:space="preserve"> – </w:t>
      </w:r>
      <w:r w:rsidR="00EE1008" w:rsidRPr="00BA68E0">
        <w:rPr>
          <w:rFonts w:cstheme="minorHAnsi"/>
        </w:rPr>
        <w:t>osnovna djelatnost je upravljanje, održavanje i zaštita nerazvrstanih cesta Zagreba. Bavi se održavanjem, građenjem, zaštitom i upravljanjem cesta, cestovnih objekata i opreme te proizvodnjom i ugradnjom asfalta</w:t>
      </w:r>
      <w:r w:rsidR="00BA68E0" w:rsidRPr="00BA68E0">
        <w:rPr>
          <w:rFonts w:cstheme="minorHAnsi"/>
        </w:rPr>
        <w:t>.</w:t>
      </w:r>
    </w:p>
    <w:p w14:paraId="359DA5B0" w14:textId="73B2C3B5" w:rsidR="00A452F5" w:rsidRPr="00BA68E0" w:rsidRDefault="00A452F5" w:rsidP="00EE7021">
      <w:pPr>
        <w:pStyle w:val="ListParagraph"/>
        <w:numPr>
          <w:ilvl w:val="0"/>
          <w:numId w:val="49"/>
        </w:numPr>
        <w:spacing w:line="240" w:lineRule="auto"/>
        <w:contextualSpacing w:val="0"/>
        <w:jc w:val="both"/>
        <w:rPr>
          <w:rFonts w:cstheme="minorHAnsi"/>
        </w:rPr>
      </w:pPr>
      <w:r w:rsidRPr="00BA68E0">
        <w:rPr>
          <w:rFonts w:cstheme="minorHAnsi"/>
          <w:b/>
        </w:rPr>
        <w:t>Zagrebački digitalni grad</w:t>
      </w:r>
      <w:r w:rsidR="00EE1008" w:rsidRPr="00BA68E0">
        <w:rPr>
          <w:rFonts w:cstheme="minorHAnsi"/>
          <w:b/>
        </w:rPr>
        <w:t xml:space="preserve"> – </w:t>
      </w:r>
      <w:r w:rsidR="00EE1008" w:rsidRPr="009249D4">
        <w:rPr>
          <w:rFonts w:cstheme="minorHAnsi"/>
        </w:rPr>
        <w:t>osnovna</w:t>
      </w:r>
      <w:r w:rsidR="00EE1008" w:rsidRPr="00BA68E0">
        <w:rPr>
          <w:rFonts w:cstheme="minorHAnsi"/>
          <w:b/>
        </w:rPr>
        <w:t xml:space="preserve"> </w:t>
      </w:r>
      <w:r w:rsidR="00EE1008" w:rsidRPr="00BA68E0">
        <w:rPr>
          <w:rFonts w:cstheme="minorHAnsi"/>
        </w:rPr>
        <w:t xml:space="preserve">uloga je gospodarenje i iznajmljivanje kabelske kanalizacije, izgradnja i gospodarenje lokalnim svjetlovodnim mrežama (FTTH mrežama) u </w:t>
      </w:r>
      <w:r w:rsidR="00BA68E0" w:rsidRPr="00BA68E0">
        <w:rPr>
          <w:rFonts w:cstheme="minorHAnsi"/>
        </w:rPr>
        <w:t>Zagrebu</w:t>
      </w:r>
      <w:r w:rsidR="00EE1008" w:rsidRPr="00BA68E0">
        <w:rPr>
          <w:rFonts w:cstheme="minorHAnsi"/>
        </w:rPr>
        <w:t>.</w:t>
      </w:r>
    </w:p>
    <w:p w14:paraId="7BEA2FCB" w14:textId="76E0D73A" w:rsidR="00A452F5" w:rsidRPr="00BA68E0" w:rsidRDefault="00A452F5" w:rsidP="00EE7021">
      <w:pPr>
        <w:pStyle w:val="ListParagraph"/>
        <w:numPr>
          <w:ilvl w:val="0"/>
          <w:numId w:val="49"/>
        </w:numPr>
        <w:spacing w:line="240" w:lineRule="auto"/>
        <w:contextualSpacing w:val="0"/>
        <w:jc w:val="both"/>
        <w:rPr>
          <w:rFonts w:cstheme="minorHAnsi"/>
        </w:rPr>
      </w:pPr>
      <w:r w:rsidRPr="00BA68E0">
        <w:rPr>
          <w:rFonts w:cstheme="minorHAnsi"/>
          <w:b/>
        </w:rPr>
        <w:t xml:space="preserve">Zagrebački električni tramvaj </w:t>
      </w:r>
      <w:r w:rsidR="00EE1008" w:rsidRPr="00BA68E0">
        <w:rPr>
          <w:rFonts w:cstheme="minorHAnsi"/>
          <w:b/>
        </w:rPr>
        <w:t>–</w:t>
      </w:r>
      <w:r w:rsidRPr="00BA68E0">
        <w:rPr>
          <w:rFonts w:cstheme="minorHAnsi"/>
          <w:b/>
        </w:rPr>
        <w:t xml:space="preserve"> ZET</w:t>
      </w:r>
      <w:r w:rsidR="00EE1008" w:rsidRPr="00BA68E0">
        <w:rPr>
          <w:rFonts w:cstheme="minorHAnsi"/>
          <w:b/>
        </w:rPr>
        <w:t xml:space="preserve"> - </w:t>
      </w:r>
      <w:r w:rsidR="00EE1008" w:rsidRPr="00BA68E0">
        <w:rPr>
          <w:rFonts w:cstheme="minorHAnsi"/>
        </w:rPr>
        <w:t xml:space="preserve">realizira prijevoz putnika na području Grada Zagreba i dijelu Zagrebačke županije i to autobusima, tramvajima i uspinjačom, ali organizira i specijalizirani prijevoz posebnih namjena. </w:t>
      </w:r>
    </w:p>
    <w:p w14:paraId="62387D4C" w14:textId="1A00381F" w:rsidR="00A452F5" w:rsidRPr="00BA68E0" w:rsidRDefault="00A452F5" w:rsidP="00EE7021">
      <w:pPr>
        <w:pStyle w:val="ListParagraph"/>
        <w:numPr>
          <w:ilvl w:val="0"/>
          <w:numId w:val="49"/>
        </w:numPr>
        <w:spacing w:line="240" w:lineRule="auto"/>
        <w:contextualSpacing w:val="0"/>
        <w:jc w:val="both"/>
        <w:rPr>
          <w:rFonts w:cstheme="minorHAnsi"/>
          <w:b/>
        </w:rPr>
      </w:pPr>
      <w:r w:rsidRPr="00BA68E0">
        <w:rPr>
          <w:rFonts w:cstheme="minorHAnsi"/>
          <w:b/>
        </w:rPr>
        <w:t>Zagrebački velesajam</w:t>
      </w:r>
      <w:r w:rsidR="00EE1008" w:rsidRPr="00BA68E0">
        <w:rPr>
          <w:rFonts w:cstheme="minorHAnsi"/>
          <w:b/>
        </w:rPr>
        <w:t xml:space="preserve"> – </w:t>
      </w:r>
      <w:r w:rsidR="002A36C0">
        <w:rPr>
          <w:rFonts w:cstheme="minorHAnsi"/>
        </w:rPr>
        <w:t>osnova djelatnost je priprema</w:t>
      </w:r>
      <w:r w:rsidR="00EE1008" w:rsidRPr="00BA68E0">
        <w:rPr>
          <w:rFonts w:cstheme="minorHAnsi"/>
        </w:rPr>
        <w:t xml:space="preserve"> i održavanje raznovrsnih sajamskih aktivnosti te izgradnja izložbenih prostora i reklamnih površina.</w:t>
      </w:r>
    </w:p>
    <w:p w14:paraId="2C2BC4DF" w14:textId="2DB269A3" w:rsidR="00A452F5" w:rsidRPr="00BA68E0" w:rsidRDefault="00EE1008" w:rsidP="00EE7021">
      <w:pPr>
        <w:pStyle w:val="ListParagraph"/>
        <w:numPr>
          <w:ilvl w:val="0"/>
          <w:numId w:val="49"/>
        </w:numPr>
        <w:spacing w:line="240" w:lineRule="auto"/>
        <w:contextualSpacing w:val="0"/>
        <w:jc w:val="both"/>
        <w:rPr>
          <w:rFonts w:cstheme="minorHAnsi"/>
        </w:rPr>
      </w:pPr>
      <w:r w:rsidRPr="00BA68E0">
        <w:rPr>
          <w:rFonts w:cstheme="minorHAnsi"/>
          <w:b/>
        </w:rPr>
        <w:t xml:space="preserve">Trgovačko društvo </w:t>
      </w:r>
      <w:r w:rsidR="00A452F5" w:rsidRPr="00BA68E0">
        <w:rPr>
          <w:rFonts w:cstheme="minorHAnsi"/>
          <w:b/>
        </w:rPr>
        <w:t>ZGOS</w:t>
      </w:r>
      <w:r w:rsidRPr="00BA68E0">
        <w:rPr>
          <w:rFonts w:cstheme="minorHAnsi"/>
          <w:b/>
        </w:rPr>
        <w:t xml:space="preserve"> d.o.o. - </w:t>
      </w:r>
      <w:r w:rsidRPr="00BA68E0">
        <w:rPr>
          <w:rFonts w:cstheme="minorHAnsi"/>
        </w:rPr>
        <w:t xml:space="preserve">osnovano je s osnovnom zadaćom da sanira neuređeno Odlagalište otpada Jakuševec. </w:t>
      </w:r>
    </w:p>
    <w:p w14:paraId="7D122F81" w14:textId="64F3D3A9" w:rsidR="0016163F" w:rsidRPr="00BA68E0" w:rsidRDefault="00877455" w:rsidP="00EE7021">
      <w:pPr>
        <w:pStyle w:val="ListParagraph"/>
        <w:numPr>
          <w:ilvl w:val="0"/>
          <w:numId w:val="49"/>
        </w:numPr>
        <w:spacing w:line="240" w:lineRule="auto"/>
        <w:jc w:val="both"/>
        <w:rPr>
          <w:rFonts w:cstheme="minorHAnsi"/>
        </w:rPr>
      </w:pPr>
      <w:r w:rsidRPr="00BA68E0">
        <w:rPr>
          <w:rFonts w:cstheme="minorHAnsi"/>
          <w:b/>
        </w:rPr>
        <w:t xml:space="preserve">Trgovačko društvo Zrinjevac - </w:t>
      </w:r>
      <w:r w:rsidR="009249D4">
        <w:rPr>
          <w:rFonts w:cstheme="minorHAnsi"/>
        </w:rPr>
        <w:t>p</w:t>
      </w:r>
      <w:r w:rsidRPr="00BA68E0">
        <w:rPr>
          <w:rFonts w:cstheme="minorHAnsi"/>
        </w:rPr>
        <w:t>rojektira</w:t>
      </w:r>
      <w:r w:rsidR="008F5B0A" w:rsidRPr="00BA68E0">
        <w:rPr>
          <w:rFonts w:cstheme="minorHAnsi"/>
        </w:rPr>
        <w:t>,</w:t>
      </w:r>
      <w:r w:rsidRPr="00BA68E0">
        <w:rPr>
          <w:rFonts w:cstheme="minorHAnsi"/>
        </w:rPr>
        <w:t xml:space="preserve"> uređuje i održava javne i ostale zelene površine, dječja igrališta s</w:t>
      </w:r>
      <w:r w:rsidR="008F5B0A" w:rsidRPr="00BA68E0">
        <w:rPr>
          <w:rFonts w:cstheme="minorHAnsi"/>
        </w:rPr>
        <w:t>portske i rekreacijske objekte. O</w:t>
      </w:r>
      <w:r w:rsidR="00BD0E03" w:rsidRPr="00BA68E0">
        <w:rPr>
          <w:rFonts w:cstheme="minorHAnsi"/>
        </w:rPr>
        <w:t>sim navedenih djelatnosti</w:t>
      </w:r>
      <w:r w:rsidR="008F5B0A" w:rsidRPr="00BA68E0">
        <w:rPr>
          <w:rFonts w:cstheme="minorHAnsi"/>
        </w:rPr>
        <w:t xml:space="preserve"> trgovačkog društva</w:t>
      </w:r>
      <w:r w:rsidR="00BD0E03" w:rsidRPr="00BA68E0">
        <w:rPr>
          <w:rFonts w:cstheme="minorHAnsi"/>
        </w:rPr>
        <w:t>, također</w:t>
      </w:r>
      <w:r w:rsidR="008F5B0A" w:rsidRPr="00BA68E0">
        <w:rPr>
          <w:rFonts w:cstheme="minorHAnsi"/>
        </w:rPr>
        <w:t xml:space="preserve"> prodaj</w:t>
      </w:r>
      <w:r w:rsidR="00BD0E03" w:rsidRPr="00BA68E0">
        <w:rPr>
          <w:rFonts w:cstheme="minorHAnsi"/>
        </w:rPr>
        <w:t>e sadnice</w:t>
      </w:r>
      <w:r w:rsidRPr="00BA68E0">
        <w:rPr>
          <w:rFonts w:cstheme="minorHAnsi"/>
        </w:rPr>
        <w:t xml:space="preserve"> drveća grmlja i voća, lončanica i rezanog cvijeća, lukovica i travnog sjemena, vrtne zemlje, ko</w:t>
      </w:r>
      <w:r w:rsidR="00BD0E03" w:rsidRPr="00BA68E0">
        <w:rPr>
          <w:rFonts w:cstheme="minorHAnsi"/>
        </w:rPr>
        <w:t>mposta, vrtnog pribora</w:t>
      </w:r>
      <w:r w:rsidRPr="00BA68E0">
        <w:rPr>
          <w:rFonts w:cstheme="minorHAnsi"/>
        </w:rPr>
        <w:t xml:space="preserve"> i alata te opreme za periv</w:t>
      </w:r>
      <w:r w:rsidR="00BD0E03" w:rsidRPr="00BA68E0">
        <w:rPr>
          <w:rFonts w:cstheme="minorHAnsi"/>
        </w:rPr>
        <w:t>oje, trgove, dječja igrališta, sportske i rekreacijske objekte.</w:t>
      </w:r>
    </w:p>
    <w:p w14:paraId="70B16503" w14:textId="07008938" w:rsidR="0016163F" w:rsidRPr="007C7920" w:rsidRDefault="0016163F" w:rsidP="00E92750">
      <w:pPr>
        <w:spacing w:line="240" w:lineRule="auto"/>
        <w:jc w:val="both"/>
        <w:rPr>
          <w:rFonts w:cstheme="minorHAnsi"/>
          <w:b/>
          <w:highlight w:val="yellow"/>
          <w:lang w:eastAsia="hr-HR"/>
        </w:rPr>
      </w:pPr>
    </w:p>
    <w:p w14:paraId="31DC192A" w14:textId="41B08BAB" w:rsidR="000F64C5" w:rsidRPr="00EE192C" w:rsidRDefault="00D06C9B" w:rsidP="00E92750">
      <w:pPr>
        <w:pStyle w:val="Heading2"/>
        <w:spacing w:after="240"/>
      </w:pPr>
      <w:bookmarkStart w:id="114" w:name="_Toc258238899"/>
      <w:bookmarkStart w:id="115" w:name="_Toc468345356"/>
      <w:bookmarkEnd w:id="107"/>
      <w:r w:rsidRPr="00EE192C">
        <w:lastRenderedPageBreak/>
        <w:t xml:space="preserve">ANALIZA ENERGETSKE POTROŠNJE STAMBENOG </w:t>
      </w:r>
      <w:r w:rsidR="002A2720" w:rsidRPr="00EE192C">
        <w:t>POD</w:t>
      </w:r>
      <w:r w:rsidRPr="00EE192C">
        <w:t>SEKTORA GRADA ZAGREBA</w:t>
      </w:r>
      <w:r w:rsidR="000F64C5" w:rsidRPr="00EE192C">
        <w:t xml:space="preserve"> </w:t>
      </w:r>
      <w:bookmarkEnd w:id="114"/>
      <w:r w:rsidRPr="00EE192C">
        <w:t>U</w:t>
      </w:r>
      <w:r w:rsidR="000F64C5" w:rsidRPr="00EE192C">
        <w:t xml:space="preserve"> </w:t>
      </w:r>
      <w:bookmarkStart w:id="116" w:name="_Toc258238900"/>
      <w:r w:rsidR="000F64C5" w:rsidRPr="00EE192C">
        <w:t xml:space="preserve">2015. </w:t>
      </w:r>
      <w:bookmarkEnd w:id="116"/>
      <w:r w:rsidRPr="00EE192C">
        <w:t>GODINI</w:t>
      </w:r>
      <w:bookmarkEnd w:id="115"/>
    </w:p>
    <w:p w14:paraId="34B42054" w14:textId="0AA3352A" w:rsidR="00E32806" w:rsidRDefault="00E32806" w:rsidP="00E92750">
      <w:pPr>
        <w:pStyle w:val="Heading3"/>
        <w:spacing w:after="240" w:line="240" w:lineRule="auto"/>
        <w:jc w:val="both"/>
      </w:pPr>
      <w:bookmarkStart w:id="117" w:name="_Toc468345357"/>
      <w:r>
        <w:t>Pregled rezultata analize energetske potrošnje stambenog podsektora Grada Zagreba u 2015. godini</w:t>
      </w:r>
      <w:bookmarkEnd w:id="117"/>
    </w:p>
    <w:p w14:paraId="1375F334" w14:textId="1C3309C8" w:rsidR="00DA27A6" w:rsidRPr="00EE192C" w:rsidRDefault="00DA27A6" w:rsidP="00E92750">
      <w:pPr>
        <w:spacing w:line="240" w:lineRule="auto"/>
        <w:jc w:val="both"/>
      </w:pPr>
      <w:r w:rsidRPr="00EE192C">
        <w:t xml:space="preserve">Prema podacima dobivenim od </w:t>
      </w:r>
      <w:r w:rsidR="00D06C9B" w:rsidRPr="00EE192C">
        <w:t>Agencije za podršku informacijskim sustavima i informacijskim tehnologijama, APIS IT d.o.o.</w:t>
      </w:r>
      <w:r w:rsidRPr="00EE192C">
        <w:t xml:space="preserve">, u 2015. godini na području Grada Zagreba ukupan broj kućanstava iznosio je </w:t>
      </w:r>
      <w:r w:rsidR="00D06C9B" w:rsidRPr="00EE192C">
        <w:t>360 601</w:t>
      </w:r>
      <w:r w:rsidRPr="00EE192C">
        <w:t xml:space="preserve">, ukupne površine </w:t>
      </w:r>
      <w:r w:rsidR="00D06C9B" w:rsidRPr="00EE192C">
        <w:t>25 979 962</w:t>
      </w:r>
      <w:r w:rsidRPr="00EE192C">
        <w:t xml:space="preserve"> m</w:t>
      </w:r>
      <w:r w:rsidRPr="00EE192C">
        <w:rPr>
          <w:vertAlign w:val="superscript"/>
        </w:rPr>
        <w:t>2</w:t>
      </w:r>
      <w:r w:rsidR="00B9457E">
        <w:rPr>
          <w:vertAlign w:val="superscript"/>
        </w:rPr>
        <w:t xml:space="preserve"> </w:t>
      </w:r>
      <w:r w:rsidR="00B9457E">
        <w:t>(prosječno</w:t>
      </w:r>
      <w:r w:rsidR="00CD4AC8">
        <w:t>:</w:t>
      </w:r>
      <w:r w:rsidR="00B9457E">
        <w:t xml:space="preserve"> 72 </w:t>
      </w:r>
      <w:r w:rsidR="00B9457E" w:rsidRPr="00EE192C">
        <w:t>m</w:t>
      </w:r>
      <w:r w:rsidR="00B9457E" w:rsidRPr="00EE192C">
        <w:rPr>
          <w:vertAlign w:val="superscript"/>
        </w:rPr>
        <w:t>2</w:t>
      </w:r>
      <w:r w:rsidR="00B9457E">
        <w:t>/kućanstvu)</w:t>
      </w:r>
      <w:r w:rsidR="00D06C9B" w:rsidRPr="00EE192C">
        <w:t xml:space="preserve">. </w:t>
      </w:r>
      <w:r w:rsidR="00C35A29" w:rsidRPr="00EE192C">
        <w:t>Od</w:t>
      </w:r>
      <w:r w:rsidR="002A2720" w:rsidRPr="00EE192C">
        <w:t xml:space="preserve"> ukupnog broja kućanstava</w:t>
      </w:r>
      <w:r w:rsidR="00C35A29" w:rsidRPr="00EE192C">
        <w:t>, 115 111 je obiteljskih kuća, ukupne površine 11 572 380 m</w:t>
      </w:r>
      <w:r w:rsidR="00C35A29" w:rsidRPr="00EE192C">
        <w:rPr>
          <w:vertAlign w:val="superscript"/>
        </w:rPr>
        <w:t>2</w:t>
      </w:r>
      <w:r w:rsidR="00C35A29" w:rsidRPr="00EE192C">
        <w:t xml:space="preserve"> </w:t>
      </w:r>
      <w:r w:rsidR="00CD4AC8">
        <w:t>(prosječno: 100,53 m</w:t>
      </w:r>
      <w:r w:rsidR="00CD4AC8" w:rsidRPr="00CD4AC8">
        <w:rPr>
          <w:vertAlign w:val="superscript"/>
        </w:rPr>
        <w:t>2</w:t>
      </w:r>
      <w:r w:rsidR="00CD4AC8">
        <w:t xml:space="preserve">/obiteljska kuća) </w:t>
      </w:r>
      <w:r w:rsidR="00C35A29" w:rsidRPr="00EE192C">
        <w:t>te 245 490 stanova, ukupne površine 14 407 582 m</w:t>
      </w:r>
      <w:r w:rsidR="00C35A29" w:rsidRPr="00EE192C">
        <w:rPr>
          <w:vertAlign w:val="superscript"/>
        </w:rPr>
        <w:t>2</w:t>
      </w:r>
      <w:r w:rsidR="00CD4AC8">
        <w:t>(prosječno: 58,70</w:t>
      </w:r>
      <w:r w:rsidR="002A36C0">
        <w:t xml:space="preserve"> </w:t>
      </w:r>
      <w:r w:rsidR="00CD4AC8">
        <w:t>m</w:t>
      </w:r>
      <w:r w:rsidR="00CD4AC8" w:rsidRPr="002A36C0">
        <w:rPr>
          <w:vertAlign w:val="superscript"/>
        </w:rPr>
        <w:t>2</w:t>
      </w:r>
      <w:r w:rsidR="00CD4AC8">
        <w:t>/stan).</w:t>
      </w:r>
    </w:p>
    <w:p w14:paraId="0F70A061" w14:textId="4F85E492" w:rsidR="000F64C5" w:rsidRPr="00180B75" w:rsidRDefault="000F64C5" w:rsidP="00E92750">
      <w:pPr>
        <w:spacing w:line="240" w:lineRule="auto"/>
        <w:jc w:val="both"/>
      </w:pPr>
      <w:r w:rsidRPr="00EE192C">
        <w:t xml:space="preserve">Prema </w:t>
      </w:r>
      <w:r w:rsidR="00557FCB" w:rsidRPr="00EE192C">
        <w:t xml:space="preserve">službenim </w:t>
      </w:r>
      <w:r w:rsidRPr="00EE192C">
        <w:t>podacima</w:t>
      </w:r>
      <w:r w:rsidR="00557FCB" w:rsidRPr="00EE192C">
        <w:t xml:space="preserve"> HEP - Operator distribucijskog sustava, d.o.o., Elektra Zagreb, 2015. </w:t>
      </w:r>
      <w:r w:rsidR="00557FCB" w:rsidRPr="00180B75">
        <w:t xml:space="preserve">godine u stambenom </w:t>
      </w:r>
      <w:r w:rsidR="002A2720" w:rsidRPr="00180B75">
        <w:t>pod</w:t>
      </w:r>
      <w:r w:rsidR="00557FCB" w:rsidRPr="00180B75">
        <w:t xml:space="preserve">sektoru Grada Zagreba je potrošeno 1 071 </w:t>
      </w:r>
      <w:r w:rsidR="00FE02A3" w:rsidRPr="00180B75">
        <w:t>080 594 kWh električne energije</w:t>
      </w:r>
      <w:r w:rsidR="00D82201" w:rsidRPr="00180B75">
        <w:t>,</w:t>
      </w:r>
      <w:r w:rsidR="00FE02A3" w:rsidRPr="00180B75">
        <w:t xml:space="preserve"> od čega 395 601 582 kWh za grijanje.</w:t>
      </w:r>
    </w:p>
    <w:p w14:paraId="268467F6" w14:textId="20869431" w:rsidR="000F64C5" w:rsidRPr="00180B75" w:rsidRDefault="000F64C5" w:rsidP="00E92750">
      <w:pPr>
        <w:spacing w:line="240" w:lineRule="auto"/>
        <w:jc w:val="both"/>
      </w:pPr>
      <w:r w:rsidRPr="00180B75">
        <w:t xml:space="preserve">Podaci o </w:t>
      </w:r>
      <w:r w:rsidR="00423D9E">
        <w:t xml:space="preserve">opskrbi </w:t>
      </w:r>
      <w:r w:rsidR="00A33674" w:rsidRPr="00180B75">
        <w:t>toplinskom energijom</w:t>
      </w:r>
      <w:r w:rsidR="00FE02A3" w:rsidRPr="00180B75">
        <w:t xml:space="preserve"> i </w:t>
      </w:r>
      <w:r w:rsidR="00D82201" w:rsidRPr="00180B75">
        <w:t xml:space="preserve">površini </w:t>
      </w:r>
      <w:r w:rsidR="00A33674" w:rsidRPr="00180B75">
        <w:t xml:space="preserve">stanova </w:t>
      </w:r>
      <w:r w:rsidR="00D82201" w:rsidRPr="00180B75">
        <w:t>grijanih prek</w:t>
      </w:r>
      <w:r w:rsidR="00A33674" w:rsidRPr="00180B75">
        <w:t xml:space="preserve">o toplana </w:t>
      </w:r>
      <w:r w:rsidR="00DA27A6" w:rsidRPr="00180B75">
        <w:t>dobiveni su od HEP Toplinarstvo d.o.o.,</w:t>
      </w:r>
      <w:r w:rsidRPr="00180B75">
        <w:t xml:space="preserve"> a izvor podataka o potrošnji prirodnog plina je Gra</w:t>
      </w:r>
      <w:r w:rsidR="00D82201" w:rsidRPr="00180B75">
        <w:t>dska plinara Zagreb d.o.o.</w:t>
      </w:r>
    </w:p>
    <w:p w14:paraId="3682C83B" w14:textId="18BB59EE" w:rsidR="00E5481D" w:rsidRPr="00180B75" w:rsidRDefault="00E5481D" w:rsidP="00E92750">
      <w:pPr>
        <w:spacing w:line="240" w:lineRule="auto"/>
        <w:jc w:val="both"/>
      </w:pPr>
      <w:r w:rsidRPr="00180B75">
        <w:t>Potrošnja ostalih energenata procijenjena je prema Popisu stanovništva 2011. godine</w:t>
      </w:r>
      <w:r w:rsidR="0018602D" w:rsidRPr="00180B75">
        <w:t>, Statističkom ljetopisu Grada Zagreba 2015. godine</w:t>
      </w:r>
      <w:r w:rsidR="00423D9E">
        <w:t>, Energetskoj bilanci Grada Zagreba</w:t>
      </w:r>
      <w:r w:rsidRPr="00180B75">
        <w:t xml:space="preserve"> te </w:t>
      </w:r>
      <w:r w:rsidR="00822250" w:rsidRPr="00180B75">
        <w:t>očekivanoj specifično</w:t>
      </w:r>
      <w:r w:rsidR="0076723E" w:rsidRPr="00180B75">
        <w:t>j korisnoj energiji za grijanje stambenih objekata</w:t>
      </w:r>
      <w:r w:rsidRPr="00180B75">
        <w:t xml:space="preserve"> od 160 kWh/m</w:t>
      </w:r>
      <w:r w:rsidRPr="00180B75">
        <w:rPr>
          <w:vertAlign w:val="superscript"/>
        </w:rPr>
        <w:t>2</w:t>
      </w:r>
      <w:r w:rsidRPr="00180B75">
        <w:t>.</w:t>
      </w:r>
      <w:r w:rsidR="00721C9C" w:rsidRPr="00180B75">
        <w:rPr>
          <w:rStyle w:val="FootnoteReference"/>
        </w:rPr>
        <w:footnoteReference w:id="20"/>
      </w:r>
    </w:p>
    <w:p w14:paraId="699FFA74" w14:textId="3235AFC7" w:rsidR="000F64C5" w:rsidRPr="00E32806" w:rsidRDefault="00DA27A6" w:rsidP="00E92750">
      <w:pPr>
        <w:spacing w:line="240" w:lineRule="auto"/>
        <w:jc w:val="both"/>
      </w:pPr>
      <w:r w:rsidRPr="00180B75">
        <w:t xml:space="preserve">Prikaz </w:t>
      </w:r>
      <w:r w:rsidR="002A2720" w:rsidRPr="00E32806">
        <w:t>potrošnje energije</w:t>
      </w:r>
      <w:r w:rsidR="000F64C5" w:rsidRPr="00E32806">
        <w:t xml:space="preserve"> u </w:t>
      </w:r>
      <w:r w:rsidRPr="00E32806">
        <w:t xml:space="preserve">stambenom </w:t>
      </w:r>
      <w:r w:rsidR="002A2720" w:rsidRPr="00E32806">
        <w:t>pod</w:t>
      </w:r>
      <w:r w:rsidRPr="00E32806">
        <w:t xml:space="preserve">sektoru Grada Zagreba </w:t>
      </w:r>
      <w:r w:rsidR="009745D0" w:rsidRPr="00E32806">
        <w:t xml:space="preserve">u 2015. godini dan je u </w:t>
      </w:r>
      <w:r w:rsidRPr="00E32806">
        <w:rPr>
          <w:b/>
        </w:rPr>
        <w:fldChar w:fldCharType="begin"/>
      </w:r>
      <w:r w:rsidRPr="00E32806">
        <w:rPr>
          <w:b/>
        </w:rPr>
        <w:instrText xml:space="preserve"> REF _Ref464041435 \h </w:instrText>
      </w:r>
      <w:r w:rsidR="00E5481D" w:rsidRPr="00E32806">
        <w:rPr>
          <w:b/>
        </w:rPr>
        <w:instrText xml:space="preserve"> \* MERGEFORMAT </w:instrText>
      </w:r>
      <w:r w:rsidRPr="00E32806">
        <w:rPr>
          <w:b/>
        </w:rPr>
      </w:r>
      <w:r w:rsidRPr="00E32806">
        <w:rPr>
          <w:b/>
        </w:rPr>
        <w:fldChar w:fldCharType="separate"/>
      </w:r>
      <w:r w:rsidR="00D462C5">
        <w:rPr>
          <w:b/>
        </w:rPr>
        <w:t>Tablici</w:t>
      </w:r>
      <w:r w:rsidR="009C319B" w:rsidRPr="009C319B">
        <w:rPr>
          <w:b/>
        </w:rPr>
        <w:t xml:space="preserve"> 4.13</w:t>
      </w:r>
      <w:r w:rsidRPr="00E32806">
        <w:rPr>
          <w:b/>
        </w:rPr>
        <w:fldChar w:fldCharType="end"/>
      </w:r>
      <w:r w:rsidRPr="00E32806">
        <w:rPr>
          <w:b/>
        </w:rPr>
        <w:t>.</w:t>
      </w:r>
    </w:p>
    <w:p w14:paraId="3C94D5D7" w14:textId="612E854D" w:rsidR="000F64C5" w:rsidRPr="00E32806" w:rsidRDefault="00557FCB" w:rsidP="00E92750">
      <w:pPr>
        <w:suppressAutoHyphens/>
        <w:autoSpaceDN w:val="0"/>
        <w:spacing w:after="0" w:line="240" w:lineRule="auto"/>
        <w:jc w:val="both"/>
        <w:textAlignment w:val="baseline"/>
      </w:pPr>
      <w:bookmarkStart w:id="118" w:name="_Ref464041435"/>
      <w:bookmarkStart w:id="119" w:name="_Toc468277505"/>
      <w:r w:rsidRPr="00E32806">
        <w:rPr>
          <w:b/>
          <w:bCs/>
        </w:rPr>
        <w:t xml:space="preserve">Tablica </w:t>
      </w:r>
      <w:r w:rsidRPr="00E32806">
        <w:rPr>
          <w:b/>
          <w:bCs/>
        </w:rPr>
        <w:fldChar w:fldCharType="begin"/>
      </w:r>
      <w:r w:rsidRPr="00E32806">
        <w:rPr>
          <w:b/>
          <w:bCs/>
        </w:rPr>
        <w:instrText xml:space="preserve"> STYLEREF 1 \s </w:instrText>
      </w:r>
      <w:r w:rsidRPr="00E32806">
        <w:rPr>
          <w:b/>
          <w:bCs/>
        </w:rPr>
        <w:fldChar w:fldCharType="separate"/>
      </w:r>
      <w:r w:rsidR="009C319B">
        <w:rPr>
          <w:b/>
          <w:bCs/>
          <w:noProof/>
        </w:rPr>
        <w:t>4</w:t>
      </w:r>
      <w:r w:rsidRPr="00E32806">
        <w:rPr>
          <w:b/>
          <w:bCs/>
        </w:rPr>
        <w:fldChar w:fldCharType="end"/>
      </w:r>
      <w:r w:rsidRPr="00E32806">
        <w:rPr>
          <w:b/>
          <w:bCs/>
        </w:rPr>
        <w:t>.</w:t>
      </w:r>
      <w:r w:rsidRPr="00E32806">
        <w:rPr>
          <w:b/>
          <w:bCs/>
        </w:rPr>
        <w:fldChar w:fldCharType="begin"/>
      </w:r>
      <w:r w:rsidRPr="00E32806">
        <w:rPr>
          <w:b/>
          <w:bCs/>
        </w:rPr>
        <w:instrText xml:space="preserve"> SEQ Tablica \* ARABIC \s 1 </w:instrText>
      </w:r>
      <w:r w:rsidRPr="00E32806">
        <w:rPr>
          <w:b/>
          <w:bCs/>
        </w:rPr>
        <w:fldChar w:fldCharType="separate"/>
      </w:r>
      <w:r w:rsidR="009C319B">
        <w:rPr>
          <w:b/>
          <w:bCs/>
          <w:noProof/>
        </w:rPr>
        <w:t>13</w:t>
      </w:r>
      <w:r w:rsidRPr="00E32806">
        <w:rPr>
          <w:b/>
          <w:bCs/>
        </w:rPr>
        <w:fldChar w:fldCharType="end"/>
      </w:r>
      <w:bookmarkStart w:id="120" w:name="_Toc258239070"/>
      <w:bookmarkEnd w:id="118"/>
      <w:r w:rsidRPr="00E32806">
        <w:t xml:space="preserve"> </w:t>
      </w:r>
      <w:r w:rsidR="002A2720" w:rsidRPr="00E32806">
        <w:t>Potrošnja</w:t>
      </w:r>
      <w:r w:rsidR="000F64C5" w:rsidRPr="00E32806">
        <w:t xml:space="preserve"> energije u stambenom </w:t>
      </w:r>
      <w:r w:rsidR="00721C9C" w:rsidRPr="00E32806">
        <w:t>pod</w:t>
      </w:r>
      <w:r w:rsidR="000F64C5" w:rsidRPr="00E32806">
        <w:t>sektoru Grada Zagreba</w:t>
      </w:r>
      <w:bookmarkEnd w:id="120"/>
      <w:r w:rsidR="009745D0" w:rsidRPr="00E32806">
        <w:t xml:space="preserve"> u 2015.</w:t>
      </w:r>
      <w:r w:rsidR="000849E4" w:rsidRPr="00E32806">
        <w:t xml:space="preserve"> godini</w:t>
      </w:r>
      <w:bookmarkEnd w:id="119"/>
    </w:p>
    <w:tbl>
      <w:tblPr>
        <w:tblW w:w="4942" w:type="pct"/>
        <w:tblInd w:w="108" w:type="dxa"/>
        <w:tblLook w:val="04A0" w:firstRow="1" w:lastRow="0" w:firstColumn="1" w:lastColumn="0" w:noHBand="0" w:noVBand="1"/>
      </w:tblPr>
      <w:tblGrid>
        <w:gridCol w:w="5578"/>
        <w:gridCol w:w="3379"/>
      </w:tblGrid>
      <w:tr w:rsidR="00FE02A3" w:rsidRPr="00E32806" w14:paraId="3DB9A45F" w14:textId="77777777" w:rsidTr="00FE02A3">
        <w:trPr>
          <w:trHeight w:val="60"/>
        </w:trPr>
        <w:tc>
          <w:tcPr>
            <w:tcW w:w="31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3A263B9" w14:textId="679C5CD2" w:rsidR="00FE02A3" w:rsidRPr="00E32806" w:rsidRDefault="007B36D8" w:rsidP="00E92750">
            <w:pPr>
              <w:spacing w:after="0" w:line="240" w:lineRule="auto"/>
              <w:rPr>
                <w:rFonts w:ascii="Calibri" w:eastAsia="Times New Roman" w:hAnsi="Calibri" w:cs="Calibri"/>
                <w:b/>
                <w:bCs/>
                <w:color w:val="000000"/>
                <w:sz w:val="20"/>
                <w:szCs w:val="20"/>
                <w:lang w:eastAsia="hr-HR"/>
              </w:rPr>
            </w:pPr>
            <w:r w:rsidRPr="00E32806">
              <w:rPr>
                <w:rFonts w:ascii="Calibri" w:eastAsia="Times New Roman" w:hAnsi="Calibri" w:cs="Calibri"/>
                <w:b/>
                <w:bCs/>
                <w:color w:val="000000"/>
                <w:sz w:val="20"/>
                <w:szCs w:val="20"/>
                <w:lang w:eastAsia="hr-HR"/>
              </w:rPr>
              <w:t>Stambeni podsektor - kućanstva</w:t>
            </w:r>
          </w:p>
        </w:tc>
        <w:tc>
          <w:tcPr>
            <w:tcW w:w="188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D1EB099" w14:textId="6F8CE38A" w:rsidR="00FE02A3" w:rsidRPr="00E32806" w:rsidRDefault="007B36D8" w:rsidP="00E92750">
            <w:pPr>
              <w:spacing w:after="0" w:line="240" w:lineRule="auto"/>
              <w:jc w:val="center"/>
              <w:rPr>
                <w:rFonts w:ascii="Calibri" w:eastAsia="Times New Roman" w:hAnsi="Calibri" w:cs="Calibri"/>
                <w:b/>
                <w:bCs/>
                <w:color w:val="000000"/>
                <w:sz w:val="20"/>
                <w:szCs w:val="20"/>
                <w:lang w:eastAsia="hr-HR"/>
              </w:rPr>
            </w:pPr>
            <w:r w:rsidRPr="00E32806">
              <w:rPr>
                <w:rFonts w:ascii="Calibri" w:eastAsia="Times New Roman" w:hAnsi="Calibri" w:cs="Calibri"/>
                <w:b/>
                <w:bCs/>
                <w:color w:val="000000"/>
                <w:sz w:val="20"/>
                <w:szCs w:val="20"/>
                <w:lang w:eastAsia="hr-HR"/>
              </w:rPr>
              <w:t>Potrošnja energije</w:t>
            </w:r>
            <w:r w:rsidR="00DB16C9" w:rsidRPr="00E32806">
              <w:rPr>
                <w:rFonts w:ascii="Calibri" w:eastAsia="Times New Roman" w:hAnsi="Calibri" w:cs="Calibri"/>
                <w:b/>
                <w:bCs/>
                <w:color w:val="000000"/>
                <w:sz w:val="20"/>
                <w:szCs w:val="20"/>
                <w:lang w:eastAsia="hr-HR"/>
              </w:rPr>
              <w:t xml:space="preserve"> (</w:t>
            </w:r>
            <w:r w:rsidR="00FE02A3" w:rsidRPr="00E32806">
              <w:rPr>
                <w:rFonts w:ascii="Calibri" w:eastAsia="Times New Roman" w:hAnsi="Calibri" w:cs="Calibri"/>
                <w:b/>
                <w:bCs/>
                <w:color w:val="000000"/>
                <w:sz w:val="20"/>
                <w:szCs w:val="20"/>
                <w:lang w:eastAsia="hr-HR"/>
              </w:rPr>
              <w:t>MWh</w:t>
            </w:r>
            <w:r w:rsidR="00DB16C9" w:rsidRPr="00E32806">
              <w:rPr>
                <w:rFonts w:ascii="Calibri" w:eastAsia="Times New Roman" w:hAnsi="Calibri" w:cs="Calibri"/>
                <w:b/>
                <w:bCs/>
                <w:color w:val="000000"/>
                <w:sz w:val="20"/>
                <w:szCs w:val="20"/>
                <w:lang w:eastAsia="hr-HR"/>
              </w:rPr>
              <w:t>)</w:t>
            </w:r>
          </w:p>
        </w:tc>
      </w:tr>
      <w:tr w:rsidR="00FE02A3" w:rsidRPr="00E32806" w14:paraId="465FFB9A" w14:textId="77777777" w:rsidTr="00FE02A3">
        <w:trPr>
          <w:trHeight w:val="60"/>
        </w:trPr>
        <w:tc>
          <w:tcPr>
            <w:tcW w:w="3114"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51B6F58" w14:textId="77777777" w:rsidR="00FE02A3" w:rsidRPr="00E32806" w:rsidRDefault="00FE02A3" w:rsidP="00E92750">
            <w:pPr>
              <w:spacing w:after="0" w:line="240" w:lineRule="auto"/>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Prirodni plin</w:t>
            </w:r>
          </w:p>
        </w:tc>
        <w:tc>
          <w:tcPr>
            <w:tcW w:w="1886" w:type="pct"/>
            <w:tcBorders>
              <w:top w:val="nil"/>
              <w:left w:val="nil"/>
              <w:bottom w:val="single" w:sz="4" w:space="0" w:color="auto"/>
              <w:right w:val="single" w:sz="4" w:space="0" w:color="auto"/>
            </w:tcBorders>
            <w:shd w:val="clear" w:color="auto" w:fill="auto"/>
            <w:noWrap/>
            <w:vAlign w:val="bottom"/>
            <w:hideMark/>
          </w:tcPr>
          <w:p w14:paraId="6E336CC2" w14:textId="63EFCA8F" w:rsidR="00FE02A3" w:rsidRPr="00E32806" w:rsidRDefault="002C6DB0" w:rsidP="00E92750">
            <w:pPr>
              <w:spacing w:after="0" w:line="240" w:lineRule="auto"/>
              <w:jc w:val="center"/>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 xml:space="preserve">2 149 </w:t>
            </w:r>
            <w:r w:rsidR="00FE02A3" w:rsidRPr="00E32806">
              <w:rPr>
                <w:rFonts w:ascii="Calibri" w:eastAsia="Times New Roman" w:hAnsi="Calibri" w:cs="Calibri"/>
                <w:color w:val="000000"/>
                <w:sz w:val="20"/>
                <w:szCs w:val="20"/>
                <w:lang w:eastAsia="hr-HR"/>
              </w:rPr>
              <w:t>336,98</w:t>
            </w:r>
          </w:p>
        </w:tc>
      </w:tr>
      <w:tr w:rsidR="00FE02A3" w:rsidRPr="00E32806" w14:paraId="01CECC60" w14:textId="77777777" w:rsidTr="00FE02A3">
        <w:trPr>
          <w:trHeight w:val="60"/>
        </w:trPr>
        <w:tc>
          <w:tcPr>
            <w:tcW w:w="3114"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B442327" w14:textId="77777777" w:rsidR="00FE02A3" w:rsidRPr="00E32806" w:rsidRDefault="00FE02A3" w:rsidP="00E92750">
            <w:pPr>
              <w:spacing w:after="0" w:line="240" w:lineRule="auto"/>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Ogrjevno drvo</w:t>
            </w:r>
          </w:p>
        </w:tc>
        <w:tc>
          <w:tcPr>
            <w:tcW w:w="1886" w:type="pct"/>
            <w:tcBorders>
              <w:top w:val="nil"/>
              <w:left w:val="nil"/>
              <w:bottom w:val="single" w:sz="4" w:space="0" w:color="auto"/>
              <w:right w:val="single" w:sz="4" w:space="0" w:color="auto"/>
            </w:tcBorders>
            <w:shd w:val="clear" w:color="auto" w:fill="auto"/>
            <w:noWrap/>
            <w:vAlign w:val="bottom"/>
            <w:hideMark/>
          </w:tcPr>
          <w:p w14:paraId="11D29A0E" w14:textId="0EF838A3" w:rsidR="00FE02A3" w:rsidRPr="00E32806" w:rsidRDefault="002C6DB0" w:rsidP="00E92750">
            <w:pPr>
              <w:spacing w:after="0" w:line="240" w:lineRule="auto"/>
              <w:jc w:val="center"/>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 xml:space="preserve">650 </w:t>
            </w:r>
            <w:r w:rsidR="00FE02A3" w:rsidRPr="00E32806">
              <w:rPr>
                <w:rFonts w:ascii="Calibri" w:eastAsia="Times New Roman" w:hAnsi="Calibri" w:cs="Calibri"/>
                <w:color w:val="000000"/>
                <w:sz w:val="20"/>
                <w:szCs w:val="20"/>
                <w:lang w:eastAsia="hr-HR"/>
              </w:rPr>
              <w:t>000,00</w:t>
            </w:r>
          </w:p>
        </w:tc>
      </w:tr>
      <w:tr w:rsidR="00FE02A3" w:rsidRPr="00E32806" w14:paraId="0413B1E1" w14:textId="77777777" w:rsidTr="00FE02A3">
        <w:trPr>
          <w:trHeight w:val="60"/>
        </w:trPr>
        <w:tc>
          <w:tcPr>
            <w:tcW w:w="3114"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5833E43" w14:textId="77777777" w:rsidR="00FE02A3" w:rsidRPr="00E32806" w:rsidRDefault="00FE02A3" w:rsidP="00E92750">
            <w:pPr>
              <w:spacing w:after="0" w:line="240" w:lineRule="auto"/>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Energija Sunca</w:t>
            </w:r>
          </w:p>
        </w:tc>
        <w:tc>
          <w:tcPr>
            <w:tcW w:w="1886" w:type="pct"/>
            <w:tcBorders>
              <w:top w:val="nil"/>
              <w:left w:val="nil"/>
              <w:bottom w:val="single" w:sz="4" w:space="0" w:color="auto"/>
              <w:right w:val="single" w:sz="4" w:space="0" w:color="auto"/>
            </w:tcBorders>
            <w:shd w:val="clear" w:color="auto" w:fill="auto"/>
            <w:noWrap/>
            <w:vAlign w:val="bottom"/>
            <w:hideMark/>
          </w:tcPr>
          <w:p w14:paraId="1E496048" w14:textId="1D5F89E8" w:rsidR="00FE02A3" w:rsidRPr="00E32806" w:rsidRDefault="002C6DB0" w:rsidP="00E92750">
            <w:pPr>
              <w:spacing w:after="0" w:line="240" w:lineRule="auto"/>
              <w:jc w:val="center"/>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 xml:space="preserve">25 </w:t>
            </w:r>
            <w:r w:rsidR="00FE02A3" w:rsidRPr="00E32806">
              <w:rPr>
                <w:rFonts w:ascii="Calibri" w:eastAsia="Times New Roman" w:hAnsi="Calibri" w:cs="Calibri"/>
                <w:color w:val="000000"/>
                <w:sz w:val="20"/>
                <w:szCs w:val="20"/>
                <w:lang w:eastAsia="hr-HR"/>
              </w:rPr>
              <w:t>000,00</w:t>
            </w:r>
          </w:p>
        </w:tc>
      </w:tr>
      <w:tr w:rsidR="00FE02A3" w:rsidRPr="00E32806" w14:paraId="0378E341" w14:textId="77777777" w:rsidTr="00FE02A3">
        <w:trPr>
          <w:trHeight w:val="60"/>
        </w:trPr>
        <w:tc>
          <w:tcPr>
            <w:tcW w:w="3114"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9BB7EB" w14:textId="77777777" w:rsidR="00FE02A3" w:rsidRPr="00E32806" w:rsidRDefault="00FE02A3" w:rsidP="00E92750">
            <w:pPr>
              <w:spacing w:after="0" w:line="240" w:lineRule="auto"/>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Ostala biomasa i otpad</w:t>
            </w:r>
          </w:p>
        </w:tc>
        <w:tc>
          <w:tcPr>
            <w:tcW w:w="1886" w:type="pct"/>
            <w:tcBorders>
              <w:top w:val="nil"/>
              <w:left w:val="nil"/>
              <w:bottom w:val="single" w:sz="4" w:space="0" w:color="auto"/>
              <w:right w:val="single" w:sz="4" w:space="0" w:color="auto"/>
            </w:tcBorders>
            <w:shd w:val="clear" w:color="auto" w:fill="auto"/>
            <w:noWrap/>
            <w:vAlign w:val="bottom"/>
            <w:hideMark/>
          </w:tcPr>
          <w:p w14:paraId="1BE2EF6C" w14:textId="217E77D8" w:rsidR="00FE02A3" w:rsidRPr="00E32806" w:rsidRDefault="002C6DB0" w:rsidP="00E92750">
            <w:pPr>
              <w:spacing w:after="0" w:line="240" w:lineRule="auto"/>
              <w:jc w:val="center"/>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 xml:space="preserve">36 </w:t>
            </w:r>
            <w:r w:rsidR="00FE02A3" w:rsidRPr="00E32806">
              <w:rPr>
                <w:rFonts w:ascii="Calibri" w:eastAsia="Times New Roman" w:hAnsi="Calibri" w:cs="Calibri"/>
                <w:color w:val="000000"/>
                <w:sz w:val="20"/>
                <w:szCs w:val="20"/>
                <w:lang w:eastAsia="hr-HR"/>
              </w:rPr>
              <w:t>000,00</w:t>
            </w:r>
          </w:p>
        </w:tc>
      </w:tr>
      <w:tr w:rsidR="00FE02A3" w:rsidRPr="00E32806" w14:paraId="7CB73C2F" w14:textId="77777777" w:rsidTr="00FE02A3">
        <w:trPr>
          <w:trHeight w:val="60"/>
        </w:trPr>
        <w:tc>
          <w:tcPr>
            <w:tcW w:w="3114"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FB2D582" w14:textId="77777777" w:rsidR="00FE02A3" w:rsidRPr="00E32806" w:rsidRDefault="00FE02A3" w:rsidP="00E92750">
            <w:pPr>
              <w:spacing w:after="0" w:line="240" w:lineRule="auto"/>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UNP</w:t>
            </w:r>
          </w:p>
        </w:tc>
        <w:tc>
          <w:tcPr>
            <w:tcW w:w="1886" w:type="pct"/>
            <w:tcBorders>
              <w:top w:val="nil"/>
              <w:left w:val="nil"/>
              <w:bottom w:val="single" w:sz="4" w:space="0" w:color="auto"/>
              <w:right w:val="single" w:sz="4" w:space="0" w:color="auto"/>
            </w:tcBorders>
            <w:shd w:val="clear" w:color="auto" w:fill="auto"/>
            <w:noWrap/>
            <w:vAlign w:val="bottom"/>
            <w:hideMark/>
          </w:tcPr>
          <w:p w14:paraId="775466F6" w14:textId="4441C3DE" w:rsidR="00FE02A3" w:rsidRPr="00E32806" w:rsidRDefault="002C6DB0" w:rsidP="00E92750">
            <w:pPr>
              <w:spacing w:after="0" w:line="240" w:lineRule="auto"/>
              <w:jc w:val="center"/>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 xml:space="preserve">32 </w:t>
            </w:r>
            <w:r w:rsidR="00FE02A3" w:rsidRPr="00E32806">
              <w:rPr>
                <w:rFonts w:ascii="Calibri" w:eastAsia="Times New Roman" w:hAnsi="Calibri" w:cs="Calibri"/>
                <w:color w:val="000000"/>
                <w:sz w:val="20"/>
                <w:szCs w:val="20"/>
                <w:lang w:eastAsia="hr-HR"/>
              </w:rPr>
              <w:t>000,00</w:t>
            </w:r>
          </w:p>
        </w:tc>
      </w:tr>
      <w:tr w:rsidR="00FE02A3" w:rsidRPr="00E32806" w14:paraId="2E49687F" w14:textId="77777777" w:rsidTr="00FE02A3">
        <w:trPr>
          <w:trHeight w:val="60"/>
        </w:trPr>
        <w:tc>
          <w:tcPr>
            <w:tcW w:w="3114"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D4C589" w14:textId="77777777" w:rsidR="00FE02A3" w:rsidRPr="00E32806" w:rsidRDefault="00FE02A3" w:rsidP="00E92750">
            <w:pPr>
              <w:spacing w:after="0" w:line="240" w:lineRule="auto"/>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Ekstra lako loživo ulje</w:t>
            </w:r>
          </w:p>
        </w:tc>
        <w:tc>
          <w:tcPr>
            <w:tcW w:w="1886" w:type="pct"/>
            <w:tcBorders>
              <w:top w:val="nil"/>
              <w:left w:val="nil"/>
              <w:bottom w:val="single" w:sz="4" w:space="0" w:color="auto"/>
              <w:right w:val="single" w:sz="4" w:space="0" w:color="auto"/>
            </w:tcBorders>
            <w:shd w:val="clear" w:color="auto" w:fill="auto"/>
            <w:noWrap/>
            <w:vAlign w:val="bottom"/>
            <w:hideMark/>
          </w:tcPr>
          <w:p w14:paraId="162D6E7E" w14:textId="6849BF86" w:rsidR="00FE02A3" w:rsidRPr="00E32806" w:rsidRDefault="002C6DB0" w:rsidP="00E92750">
            <w:pPr>
              <w:spacing w:after="0" w:line="240" w:lineRule="auto"/>
              <w:jc w:val="center"/>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 xml:space="preserve">42 </w:t>
            </w:r>
            <w:r w:rsidR="00FE02A3" w:rsidRPr="00E32806">
              <w:rPr>
                <w:rFonts w:ascii="Calibri" w:eastAsia="Times New Roman" w:hAnsi="Calibri" w:cs="Calibri"/>
                <w:color w:val="000000"/>
                <w:sz w:val="20"/>
                <w:szCs w:val="20"/>
                <w:lang w:eastAsia="hr-HR"/>
              </w:rPr>
              <w:t>500,00</w:t>
            </w:r>
          </w:p>
        </w:tc>
      </w:tr>
      <w:tr w:rsidR="00FE02A3" w:rsidRPr="00E32806" w14:paraId="6DC2788B" w14:textId="77777777" w:rsidTr="00FE02A3">
        <w:trPr>
          <w:trHeight w:val="60"/>
        </w:trPr>
        <w:tc>
          <w:tcPr>
            <w:tcW w:w="3114"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3AA58E" w14:textId="77777777" w:rsidR="00FE02A3" w:rsidRPr="00E32806" w:rsidRDefault="00FE02A3" w:rsidP="00E92750">
            <w:pPr>
              <w:spacing w:after="0" w:line="240" w:lineRule="auto"/>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Električna energija</w:t>
            </w:r>
          </w:p>
        </w:tc>
        <w:tc>
          <w:tcPr>
            <w:tcW w:w="1886" w:type="pct"/>
            <w:tcBorders>
              <w:top w:val="nil"/>
              <w:left w:val="nil"/>
              <w:bottom w:val="single" w:sz="4" w:space="0" w:color="auto"/>
              <w:right w:val="single" w:sz="4" w:space="0" w:color="auto"/>
            </w:tcBorders>
            <w:shd w:val="clear" w:color="auto" w:fill="auto"/>
            <w:noWrap/>
            <w:vAlign w:val="bottom"/>
            <w:hideMark/>
          </w:tcPr>
          <w:p w14:paraId="30CB0708" w14:textId="25E3A0C2" w:rsidR="00FE02A3" w:rsidRPr="00E32806" w:rsidRDefault="002C6DB0" w:rsidP="00E92750">
            <w:pPr>
              <w:spacing w:after="0" w:line="240" w:lineRule="auto"/>
              <w:jc w:val="center"/>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 xml:space="preserve">1 071 </w:t>
            </w:r>
            <w:r w:rsidR="00FE02A3" w:rsidRPr="00E32806">
              <w:rPr>
                <w:rFonts w:ascii="Calibri" w:eastAsia="Times New Roman" w:hAnsi="Calibri" w:cs="Calibri"/>
                <w:color w:val="000000"/>
                <w:sz w:val="20"/>
                <w:szCs w:val="20"/>
                <w:lang w:eastAsia="hr-HR"/>
              </w:rPr>
              <w:t>080,59</w:t>
            </w:r>
          </w:p>
        </w:tc>
      </w:tr>
      <w:tr w:rsidR="00FE02A3" w:rsidRPr="00E32806" w14:paraId="53E4D3FF" w14:textId="77777777" w:rsidTr="00FE02A3">
        <w:trPr>
          <w:trHeight w:val="60"/>
        </w:trPr>
        <w:tc>
          <w:tcPr>
            <w:tcW w:w="3114"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8976A73" w14:textId="77777777" w:rsidR="00FE02A3" w:rsidRPr="00E32806" w:rsidRDefault="00FE02A3" w:rsidP="00E92750">
            <w:pPr>
              <w:spacing w:after="0" w:line="240" w:lineRule="auto"/>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Para i vrela voda</w:t>
            </w:r>
          </w:p>
        </w:tc>
        <w:tc>
          <w:tcPr>
            <w:tcW w:w="1886" w:type="pct"/>
            <w:tcBorders>
              <w:top w:val="nil"/>
              <w:left w:val="nil"/>
              <w:bottom w:val="single" w:sz="4" w:space="0" w:color="auto"/>
              <w:right w:val="single" w:sz="4" w:space="0" w:color="auto"/>
            </w:tcBorders>
            <w:shd w:val="clear" w:color="auto" w:fill="auto"/>
            <w:noWrap/>
            <w:vAlign w:val="bottom"/>
            <w:hideMark/>
          </w:tcPr>
          <w:p w14:paraId="550324F7" w14:textId="08E3F0F6" w:rsidR="00FE02A3" w:rsidRPr="00E32806" w:rsidRDefault="002C6DB0" w:rsidP="00E92750">
            <w:pPr>
              <w:spacing w:after="0" w:line="240" w:lineRule="auto"/>
              <w:jc w:val="center"/>
              <w:rPr>
                <w:rFonts w:ascii="Calibri" w:eastAsia="Times New Roman" w:hAnsi="Calibri" w:cs="Calibri"/>
                <w:color w:val="000000"/>
                <w:sz w:val="20"/>
                <w:szCs w:val="20"/>
                <w:lang w:eastAsia="hr-HR"/>
              </w:rPr>
            </w:pPr>
            <w:r w:rsidRPr="00E32806">
              <w:rPr>
                <w:rFonts w:ascii="Calibri" w:eastAsia="Times New Roman" w:hAnsi="Calibri" w:cs="Calibri"/>
                <w:color w:val="000000"/>
                <w:sz w:val="20"/>
                <w:szCs w:val="20"/>
                <w:lang w:eastAsia="hr-HR"/>
              </w:rPr>
              <w:t xml:space="preserve">915 </w:t>
            </w:r>
            <w:r w:rsidR="00FE02A3" w:rsidRPr="00E32806">
              <w:rPr>
                <w:rFonts w:ascii="Calibri" w:eastAsia="Times New Roman" w:hAnsi="Calibri" w:cs="Calibri"/>
                <w:color w:val="000000"/>
                <w:sz w:val="20"/>
                <w:szCs w:val="20"/>
                <w:lang w:eastAsia="hr-HR"/>
              </w:rPr>
              <w:t>748,40</w:t>
            </w:r>
          </w:p>
        </w:tc>
      </w:tr>
      <w:tr w:rsidR="00515547" w:rsidRPr="00E32806" w14:paraId="0D8D6B45" w14:textId="77777777" w:rsidTr="00FE02A3">
        <w:trPr>
          <w:trHeight w:val="60"/>
        </w:trPr>
        <w:tc>
          <w:tcPr>
            <w:tcW w:w="3114" w:type="pct"/>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345E710" w14:textId="0558E533" w:rsidR="00515547" w:rsidRPr="00E32806" w:rsidRDefault="00515547" w:rsidP="00E92750">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Ostalo </w:t>
            </w:r>
          </w:p>
        </w:tc>
        <w:tc>
          <w:tcPr>
            <w:tcW w:w="1886" w:type="pct"/>
            <w:tcBorders>
              <w:top w:val="nil"/>
              <w:left w:val="nil"/>
              <w:bottom w:val="single" w:sz="4" w:space="0" w:color="auto"/>
              <w:right w:val="single" w:sz="4" w:space="0" w:color="auto"/>
            </w:tcBorders>
            <w:shd w:val="clear" w:color="auto" w:fill="auto"/>
            <w:noWrap/>
            <w:vAlign w:val="bottom"/>
          </w:tcPr>
          <w:p w14:paraId="3BBE45ED" w14:textId="70245156" w:rsidR="00515547" w:rsidRPr="00E32806" w:rsidRDefault="00D82728" w:rsidP="00E92750">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5 250</w:t>
            </w:r>
            <w:r w:rsidR="00515547">
              <w:rPr>
                <w:rFonts w:ascii="Calibri" w:eastAsia="Times New Roman" w:hAnsi="Calibri" w:cs="Calibri"/>
                <w:color w:val="000000"/>
                <w:sz w:val="20"/>
                <w:szCs w:val="20"/>
                <w:lang w:eastAsia="hr-HR"/>
              </w:rPr>
              <w:t>,00</w:t>
            </w:r>
          </w:p>
        </w:tc>
      </w:tr>
      <w:tr w:rsidR="00FE02A3" w:rsidRPr="00E32806" w14:paraId="67AF28C7" w14:textId="77777777" w:rsidTr="00FE02A3">
        <w:trPr>
          <w:trHeight w:val="60"/>
        </w:trPr>
        <w:tc>
          <w:tcPr>
            <w:tcW w:w="3114"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CA5D18E" w14:textId="77777777" w:rsidR="00FE02A3" w:rsidRPr="00E32806" w:rsidRDefault="00FE02A3" w:rsidP="00E92750">
            <w:pPr>
              <w:spacing w:after="0" w:line="240" w:lineRule="auto"/>
              <w:rPr>
                <w:rFonts w:ascii="Calibri" w:eastAsia="Times New Roman" w:hAnsi="Calibri" w:cs="Calibri"/>
                <w:b/>
                <w:bCs/>
                <w:color w:val="000000"/>
                <w:sz w:val="20"/>
                <w:szCs w:val="20"/>
                <w:lang w:eastAsia="hr-HR"/>
              </w:rPr>
            </w:pPr>
            <w:r w:rsidRPr="00E32806">
              <w:rPr>
                <w:rFonts w:ascii="Calibri" w:eastAsia="Times New Roman" w:hAnsi="Calibri" w:cs="Calibri"/>
                <w:b/>
                <w:bCs/>
                <w:color w:val="000000"/>
                <w:sz w:val="20"/>
                <w:szCs w:val="20"/>
                <w:lang w:eastAsia="hr-HR"/>
              </w:rPr>
              <w:t>UKUPNO</w:t>
            </w:r>
          </w:p>
        </w:tc>
        <w:tc>
          <w:tcPr>
            <w:tcW w:w="1886" w:type="pct"/>
            <w:tcBorders>
              <w:top w:val="nil"/>
              <w:left w:val="nil"/>
              <w:bottom w:val="single" w:sz="4" w:space="0" w:color="auto"/>
              <w:right w:val="single" w:sz="4" w:space="0" w:color="auto"/>
            </w:tcBorders>
            <w:shd w:val="clear" w:color="auto" w:fill="D9D9D9" w:themeFill="background1" w:themeFillShade="D9"/>
            <w:noWrap/>
            <w:vAlign w:val="bottom"/>
            <w:hideMark/>
          </w:tcPr>
          <w:p w14:paraId="3F55F3B6" w14:textId="5A2140FF" w:rsidR="00FE02A3" w:rsidRPr="00E32806" w:rsidRDefault="002C6DB0" w:rsidP="00E92750">
            <w:pPr>
              <w:spacing w:after="0" w:line="240" w:lineRule="auto"/>
              <w:jc w:val="center"/>
              <w:rPr>
                <w:rFonts w:ascii="Calibri" w:eastAsia="Times New Roman" w:hAnsi="Calibri" w:cs="Calibri"/>
                <w:b/>
                <w:bCs/>
                <w:color w:val="000000"/>
                <w:sz w:val="20"/>
                <w:szCs w:val="20"/>
                <w:lang w:eastAsia="hr-HR"/>
              </w:rPr>
            </w:pPr>
            <w:r w:rsidRPr="00E32806">
              <w:rPr>
                <w:rFonts w:ascii="Calibri" w:eastAsia="Times New Roman" w:hAnsi="Calibri" w:cs="Calibri"/>
                <w:b/>
                <w:bCs/>
                <w:color w:val="000000"/>
                <w:sz w:val="20"/>
                <w:szCs w:val="20"/>
                <w:lang w:eastAsia="hr-HR"/>
              </w:rPr>
              <w:t xml:space="preserve">4 926 </w:t>
            </w:r>
            <w:r w:rsidR="00FE02A3" w:rsidRPr="00E32806">
              <w:rPr>
                <w:rFonts w:ascii="Calibri" w:eastAsia="Times New Roman" w:hAnsi="Calibri" w:cs="Calibri"/>
                <w:b/>
                <w:bCs/>
                <w:color w:val="000000"/>
                <w:sz w:val="20"/>
                <w:szCs w:val="20"/>
                <w:lang w:eastAsia="hr-HR"/>
              </w:rPr>
              <w:t>915,98</w:t>
            </w:r>
          </w:p>
        </w:tc>
      </w:tr>
    </w:tbl>
    <w:p w14:paraId="58970B97" w14:textId="09EA442A" w:rsidR="002A2720" w:rsidRPr="00E32806" w:rsidRDefault="002A2720" w:rsidP="00E92750">
      <w:pPr>
        <w:spacing w:before="240" w:line="240" w:lineRule="auto"/>
        <w:jc w:val="both"/>
      </w:pPr>
      <w:r w:rsidRPr="00E32806">
        <w:t>Ukupna potrošnja energije stambenog podsektora Grada Zagreba u 2015.</w:t>
      </w:r>
      <w:r w:rsidR="007B48CD">
        <w:t xml:space="preserve"> godini iznosila je 4 926 916</w:t>
      </w:r>
      <w:r w:rsidRPr="00E32806">
        <w:t xml:space="preserve"> MWh.</w:t>
      </w:r>
    </w:p>
    <w:p w14:paraId="6B799440" w14:textId="79667942" w:rsidR="00E5481D" w:rsidRPr="007B48CD" w:rsidRDefault="00E5481D" w:rsidP="00E92750">
      <w:pPr>
        <w:spacing w:before="240" w:line="240" w:lineRule="auto"/>
        <w:jc w:val="both"/>
      </w:pPr>
      <w:r w:rsidRPr="007B48CD">
        <w:t xml:space="preserve">Ukupna potrošnja toplinske energije </w:t>
      </w:r>
      <w:r w:rsidR="002A2720" w:rsidRPr="007B48CD">
        <w:t>stambenog podsektora</w:t>
      </w:r>
      <w:r w:rsidRPr="007B48CD">
        <w:t xml:space="preserve"> u 2015. godini iznosi</w:t>
      </w:r>
      <w:r w:rsidR="002A2720" w:rsidRPr="007B48CD">
        <w:t>la je</w:t>
      </w:r>
      <w:r w:rsidRPr="007B48CD">
        <w:t xml:space="preserve"> </w:t>
      </w:r>
      <w:r w:rsidR="007B48CD" w:rsidRPr="007B48CD">
        <w:rPr>
          <w:rFonts w:eastAsia="Times New Roman" w:cs="Calibri"/>
        </w:rPr>
        <w:t>4 251 437</w:t>
      </w:r>
      <w:r w:rsidR="002A2720" w:rsidRPr="007B48CD">
        <w:rPr>
          <w:rFonts w:eastAsia="Times New Roman" w:cs="Calibri"/>
        </w:rPr>
        <w:t xml:space="preserve"> </w:t>
      </w:r>
      <w:r w:rsidR="00E52F81" w:rsidRPr="007B48CD">
        <w:t>M</w:t>
      </w:r>
      <w:r w:rsidR="002A2720" w:rsidRPr="007B48CD">
        <w:t xml:space="preserve">Wh, što daje specifičnu korisnu energiju za grijanje </w:t>
      </w:r>
      <w:r w:rsidR="00E52F81" w:rsidRPr="007B48CD">
        <w:t xml:space="preserve">od </w:t>
      </w:r>
      <w:r w:rsidR="002A2720" w:rsidRPr="007B48CD">
        <w:t>163,64</w:t>
      </w:r>
      <w:r w:rsidR="00DF55B4">
        <w:t xml:space="preserve"> </w:t>
      </w:r>
      <w:r w:rsidRPr="007B48CD">
        <w:t>kWh/m</w:t>
      </w:r>
      <w:r w:rsidRPr="007B48CD">
        <w:rPr>
          <w:vertAlign w:val="superscript"/>
        </w:rPr>
        <w:t>2</w:t>
      </w:r>
      <w:r w:rsidR="002A2720" w:rsidRPr="007B48CD">
        <w:t>.</w:t>
      </w:r>
    </w:p>
    <w:p w14:paraId="71A3ED75" w14:textId="67ABA5AB" w:rsidR="000F64C5" w:rsidRDefault="00DA27A6" w:rsidP="00E92750">
      <w:pPr>
        <w:suppressAutoHyphens/>
        <w:autoSpaceDN w:val="0"/>
        <w:spacing w:line="240" w:lineRule="auto"/>
        <w:jc w:val="both"/>
        <w:textAlignment w:val="baseline"/>
      </w:pPr>
      <w:r w:rsidRPr="00576E50">
        <w:t>P</w:t>
      </w:r>
      <w:r w:rsidR="00E5481D" w:rsidRPr="00576E50">
        <w:t>rikaz</w:t>
      </w:r>
      <w:r w:rsidR="000F64C5" w:rsidRPr="00576E50">
        <w:t xml:space="preserve"> </w:t>
      </w:r>
      <w:r w:rsidR="00E5481D" w:rsidRPr="00576E50">
        <w:t xml:space="preserve">zastupljenosti pojedinih energenata </w:t>
      </w:r>
      <w:r w:rsidR="002A2720" w:rsidRPr="00576E50">
        <w:t>u ukupnoj potrošnji energije u stambenom podsektoru</w:t>
      </w:r>
      <w:r w:rsidR="00E5481D" w:rsidRPr="00576E50">
        <w:t xml:space="preserve"> Grada Zagreba </w:t>
      </w:r>
      <w:r w:rsidR="00BB48CB" w:rsidRPr="00576E50">
        <w:t xml:space="preserve">u 2015. godini dan je na </w:t>
      </w:r>
      <w:r w:rsidRPr="00576E50">
        <w:rPr>
          <w:rFonts w:ascii="Calibri" w:eastAsia="Calibri" w:hAnsi="Calibri" w:cs="Times New Roman"/>
          <w:shd w:val="clear" w:color="auto" w:fill="FFFF00"/>
        </w:rPr>
        <w:fldChar w:fldCharType="begin"/>
      </w:r>
      <w:r w:rsidRPr="00576E50">
        <w:rPr>
          <w:rFonts w:ascii="Calibri" w:eastAsia="Calibri" w:hAnsi="Calibri" w:cs="Times New Roman"/>
          <w:shd w:val="clear" w:color="auto" w:fill="FFFF00"/>
        </w:rPr>
        <w:instrText xml:space="preserve"> REF _Ref464041872 \h </w:instrText>
      </w:r>
      <w:r w:rsidR="005E0ADE" w:rsidRPr="00576E50">
        <w:rPr>
          <w:rFonts w:ascii="Calibri" w:eastAsia="Calibri" w:hAnsi="Calibri" w:cs="Times New Roman"/>
          <w:shd w:val="clear" w:color="auto" w:fill="FFFF00"/>
        </w:rPr>
        <w:instrText xml:space="preserve"> \* MERGEFORMAT </w:instrText>
      </w:r>
      <w:r w:rsidRPr="00576E50">
        <w:rPr>
          <w:rFonts w:ascii="Calibri" w:eastAsia="Calibri" w:hAnsi="Calibri" w:cs="Times New Roman"/>
          <w:shd w:val="clear" w:color="auto" w:fill="FFFF00"/>
        </w:rPr>
      </w:r>
      <w:r w:rsidRPr="00576E50">
        <w:rPr>
          <w:rFonts w:ascii="Calibri" w:eastAsia="Calibri" w:hAnsi="Calibri" w:cs="Times New Roman"/>
          <w:shd w:val="clear" w:color="auto" w:fill="FFFF00"/>
        </w:rPr>
        <w:fldChar w:fldCharType="separate"/>
      </w:r>
      <w:r w:rsidR="003449AE">
        <w:rPr>
          <w:b/>
        </w:rPr>
        <w:t>Slici</w:t>
      </w:r>
      <w:r w:rsidR="009C319B" w:rsidRPr="00576E50">
        <w:rPr>
          <w:b/>
        </w:rPr>
        <w:t xml:space="preserve"> </w:t>
      </w:r>
      <w:r w:rsidR="009C319B">
        <w:rPr>
          <w:b/>
          <w:noProof/>
        </w:rPr>
        <w:t>4</w:t>
      </w:r>
      <w:r w:rsidR="009C319B" w:rsidRPr="00576E50">
        <w:rPr>
          <w:b/>
          <w:noProof/>
        </w:rPr>
        <w:t>.</w:t>
      </w:r>
      <w:r w:rsidR="009C319B">
        <w:rPr>
          <w:b/>
          <w:noProof/>
        </w:rPr>
        <w:t>23</w:t>
      </w:r>
      <w:r w:rsidRPr="00576E50">
        <w:rPr>
          <w:rFonts w:ascii="Calibri" w:eastAsia="Calibri" w:hAnsi="Calibri" w:cs="Times New Roman"/>
          <w:shd w:val="clear" w:color="auto" w:fill="FFFF00"/>
        </w:rPr>
        <w:fldChar w:fldCharType="end"/>
      </w:r>
      <w:r w:rsidR="00E5481D" w:rsidRPr="00576E50">
        <w:t>.</w:t>
      </w:r>
    </w:p>
    <w:p w14:paraId="26D08C5B" w14:textId="4481A1CF" w:rsidR="00515547" w:rsidRDefault="00DF55B4" w:rsidP="00515547">
      <w:pPr>
        <w:suppressAutoHyphens/>
        <w:autoSpaceDN w:val="0"/>
        <w:spacing w:line="240" w:lineRule="auto"/>
        <w:jc w:val="center"/>
        <w:textAlignment w:val="baseline"/>
        <w:rPr>
          <w:noProof/>
          <w:lang w:eastAsia="hr-HR"/>
        </w:rPr>
      </w:pPr>
      <w:r>
        <w:rPr>
          <w:noProof/>
          <w:lang w:eastAsia="hr-HR"/>
        </w:rPr>
        <w:lastRenderedPageBreak/>
        <w:drawing>
          <wp:inline distT="0" distB="0" distL="0" distR="0" wp14:anchorId="3C2968ED" wp14:editId="09EF9AC5">
            <wp:extent cx="4848225" cy="2781300"/>
            <wp:effectExtent l="0" t="0" r="0" b="0"/>
            <wp:docPr id="34" name="Chart 3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991BA9" w14:textId="37CF15AA" w:rsidR="000F64C5" w:rsidRPr="00576E50" w:rsidRDefault="00BB48CB" w:rsidP="00E92750">
      <w:pPr>
        <w:spacing w:line="240" w:lineRule="auto"/>
        <w:jc w:val="center"/>
        <w:rPr>
          <w:shd w:val="clear" w:color="auto" w:fill="FFFF00"/>
        </w:rPr>
      </w:pPr>
      <w:bookmarkStart w:id="121" w:name="_Ref464041872"/>
      <w:bookmarkStart w:id="122" w:name="_Toc258239025"/>
      <w:bookmarkStart w:id="123" w:name="_Toc468277427"/>
      <w:r w:rsidRPr="00576E50">
        <w:rPr>
          <w:b/>
        </w:rPr>
        <w:t xml:space="preserve">Slika </w:t>
      </w:r>
      <w:r w:rsidRPr="00576E50">
        <w:rPr>
          <w:b/>
        </w:rPr>
        <w:fldChar w:fldCharType="begin"/>
      </w:r>
      <w:r w:rsidRPr="00576E50">
        <w:rPr>
          <w:b/>
        </w:rPr>
        <w:instrText xml:space="preserve"> STYLEREF 1 \s </w:instrText>
      </w:r>
      <w:r w:rsidRPr="00576E50">
        <w:rPr>
          <w:b/>
        </w:rPr>
        <w:fldChar w:fldCharType="separate"/>
      </w:r>
      <w:r w:rsidR="009C319B">
        <w:rPr>
          <w:b/>
          <w:noProof/>
        </w:rPr>
        <w:t>4</w:t>
      </w:r>
      <w:r w:rsidRPr="00576E50">
        <w:rPr>
          <w:b/>
          <w:noProof/>
        </w:rPr>
        <w:fldChar w:fldCharType="end"/>
      </w:r>
      <w:r w:rsidRPr="00576E50">
        <w:rPr>
          <w:b/>
        </w:rPr>
        <w:t>.</w:t>
      </w:r>
      <w:r w:rsidRPr="00576E50">
        <w:rPr>
          <w:b/>
        </w:rPr>
        <w:fldChar w:fldCharType="begin"/>
      </w:r>
      <w:r w:rsidRPr="00576E50">
        <w:rPr>
          <w:b/>
        </w:rPr>
        <w:instrText xml:space="preserve"> SEQ Slika \* ARABIC \s 1 </w:instrText>
      </w:r>
      <w:r w:rsidRPr="00576E50">
        <w:rPr>
          <w:b/>
        </w:rPr>
        <w:fldChar w:fldCharType="separate"/>
      </w:r>
      <w:r w:rsidR="009C319B">
        <w:rPr>
          <w:b/>
          <w:noProof/>
        </w:rPr>
        <w:t>23</w:t>
      </w:r>
      <w:r w:rsidRPr="00576E50">
        <w:rPr>
          <w:b/>
          <w:noProof/>
        </w:rPr>
        <w:fldChar w:fldCharType="end"/>
      </w:r>
      <w:bookmarkEnd w:id="121"/>
      <w:r w:rsidRPr="00576E50">
        <w:t xml:space="preserve"> </w:t>
      </w:r>
      <w:r w:rsidR="000F64C5" w:rsidRPr="00576E50">
        <w:t>Udio poj</w:t>
      </w:r>
      <w:r w:rsidR="00A75D5B" w:rsidRPr="00576E50">
        <w:t>edinih energenta u ukupnoj potrošnji energije</w:t>
      </w:r>
      <w:r w:rsidR="000F64C5" w:rsidRPr="00576E50">
        <w:t xml:space="preserve"> u stambenom </w:t>
      </w:r>
      <w:r w:rsidR="00331558" w:rsidRPr="00576E50">
        <w:t>pod</w:t>
      </w:r>
      <w:r w:rsidR="000F64C5" w:rsidRPr="00576E50">
        <w:t>sektoru Grada Zagreba</w:t>
      </w:r>
      <w:bookmarkEnd w:id="122"/>
      <w:r w:rsidR="000967C3" w:rsidRPr="00576E50">
        <w:t xml:space="preserve"> u 2015.</w:t>
      </w:r>
      <w:r w:rsidR="00287C3C" w:rsidRPr="00576E50">
        <w:t xml:space="preserve"> godini</w:t>
      </w:r>
      <w:bookmarkEnd w:id="123"/>
    </w:p>
    <w:p w14:paraId="67E066DA" w14:textId="082497BC" w:rsidR="00E5481D" w:rsidRPr="00576E50" w:rsidRDefault="00E5481D" w:rsidP="00E92750">
      <w:pPr>
        <w:spacing w:line="240" w:lineRule="auto"/>
        <w:jc w:val="both"/>
      </w:pPr>
      <w:r w:rsidRPr="00576E50">
        <w:t xml:space="preserve">Gledajući udio pojedinih energenata, </w:t>
      </w:r>
      <w:r w:rsidR="00087E39" w:rsidRPr="00576E50">
        <w:t xml:space="preserve">prirodni plin i </w:t>
      </w:r>
      <w:r w:rsidR="002A2720" w:rsidRPr="00576E50">
        <w:t>električna energija</w:t>
      </w:r>
      <w:r w:rsidR="00087E39" w:rsidRPr="00576E50">
        <w:t xml:space="preserve"> </w:t>
      </w:r>
      <w:r w:rsidRPr="00576E50">
        <w:t>imaju najveći udio, odnosno</w:t>
      </w:r>
      <w:r w:rsidR="002A2720" w:rsidRPr="00576E50">
        <w:t xml:space="preserve"> 43,62</w:t>
      </w:r>
      <w:r w:rsidRPr="00576E50">
        <w:t>%</w:t>
      </w:r>
      <w:r w:rsidR="002A2720" w:rsidRPr="00576E50">
        <w:t xml:space="preserve"> i 21,74</w:t>
      </w:r>
      <w:r w:rsidR="00087E39" w:rsidRPr="00576E50">
        <w:t>%</w:t>
      </w:r>
      <w:r w:rsidRPr="00576E50">
        <w:t>.</w:t>
      </w:r>
    </w:p>
    <w:p w14:paraId="0744E93D" w14:textId="1D6E9BC2" w:rsidR="00E32806" w:rsidRPr="00576E50" w:rsidRDefault="00E32806" w:rsidP="00E92750">
      <w:pPr>
        <w:pStyle w:val="Heading3"/>
        <w:spacing w:after="240" w:line="240" w:lineRule="auto"/>
        <w:jc w:val="both"/>
      </w:pPr>
      <w:bookmarkStart w:id="124" w:name="_Toc468345358"/>
      <w:r w:rsidRPr="00576E50">
        <w:t>Prikaz trenda potrošnje energije u stambenom podsektoru Grada Zagreba</w:t>
      </w:r>
      <w:bookmarkEnd w:id="124"/>
      <w:r w:rsidRPr="00576E50">
        <w:t xml:space="preserve"> </w:t>
      </w:r>
    </w:p>
    <w:p w14:paraId="0DCF348E" w14:textId="006B77A9" w:rsidR="00A75D5B" w:rsidRPr="00B74548" w:rsidRDefault="006D1EEB" w:rsidP="00E92750">
      <w:pPr>
        <w:spacing w:after="240" w:line="240" w:lineRule="auto"/>
        <w:jc w:val="both"/>
      </w:pPr>
      <w:r>
        <w:t>U</w:t>
      </w:r>
      <w:r w:rsidR="00A64E63">
        <w:t xml:space="preserve"> nastavku je dan pregled zabilježenih trendova potrošnje energenata prema dostupnim podacima u stambenom podsektoru Grada Zagreba.</w:t>
      </w:r>
    </w:p>
    <w:p w14:paraId="700C3922" w14:textId="4E986F7A" w:rsidR="00D26E82" w:rsidRPr="00B74548" w:rsidRDefault="00D26E82" w:rsidP="00E92750">
      <w:pPr>
        <w:suppressAutoHyphens/>
        <w:autoSpaceDN w:val="0"/>
        <w:spacing w:after="240" w:line="240" w:lineRule="auto"/>
        <w:jc w:val="both"/>
        <w:textAlignment w:val="baseline"/>
        <w:rPr>
          <w:b/>
        </w:rPr>
      </w:pPr>
      <w:r w:rsidRPr="00B74548">
        <w:t xml:space="preserve">Prikaz trenda potrošnje električne energije dan je na </w:t>
      </w:r>
      <w:r w:rsidR="00B74548" w:rsidRPr="00B74548">
        <w:fldChar w:fldCharType="begin"/>
      </w:r>
      <w:r w:rsidR="00B74548" w:rsidRPr="00B74548">
        <w:instrText xml:space="preserve"> REF _Ref467674790 \h </w:instrText>
      </w:r>
      <w:r w:rsidR="00B74548">
        <w:instrText xml:space="preserve"> \* MERGEFORMAT </w:instrText>
      </w:r>
      <w:r w:rsidR="00B74548" w:rsidRPr="00B74548">
        <w:fldChar w:fldCharType="separate"/>
      </w:r>
      <w:r w:rsidR="0064555A">
        <w:rPr>
          <w:b/>
        </w:rPr>
        <w:t>Slici</w:t>
      </w:r>
      <w:r w:rsidR="009C319B" w:rsidRPr="00B74548">
        <w:rPr>
          <w:b/>
        </w:rPr>
        <w:t xml:space="preserve"> </w:t>
      </w:r>
      <w:r w:rsidR="009C319B">
        <w:rPr>
          <w:b/>
          <w:noProof/>
        </w:rPr>
        <w:t>4</w:t>
      </w:r>
      <w:r w:rsidR="009C319B" w:rsidRPr="00B74548">
        <w:rPr>
          <w:b/>
          <w:noProof/>
        </w:rPr>
        <w:t>.</w:t>
      </w:r>
      <w:r w:rsidR="009C319B">
        <w:rPr>
          <w:b/>
          <w:noProof/>
        </w:rPr>
        <w:t>24</w:t>
      </w:r>
      <w:r w:rsidR="00B74548" w:rsidRPr="00B74548">
        <w:fldChar w:fldCharType="end"/>
      </w:r>
      <w:r w:rsidRPr="00B74548">
        <w:t xml:space="preserve">, dok je prikaz trenda potrošnje prirodnog plina dan na </w:t>
      </w:r>
      <w:r w:rsidRPr="00B74548">
        <w:rPr>
          <w:b/>
        </w:rPr>
        <w:fldChar w:fldCharType="begin"/>
      </w:r>
      <w:r w:rsidRPr="00B74548">
        <w:rPr>
          <w:b/>
        </w:rPr>
        <w:instrText xml:space="preserve"> REF _Ref464043147 \h  \* MERGEFORMAT </w:instrText>
      </w:r>
      <w:r w:rsidRPr="00B74548">
        <w:rPr>
          <w:b/>
        </w:rPr>
      </w:r>
      <w:r w:rsidRPr="00B74548">
        <w:rPr>
          <w:b/>
        </w:rPr>
        <w:fldChar w:fldCharType="separate"/>
      </w:r>
      <w:r w:rsidR="0064555A">
        <w:rPr>
          <w:b/>
        </w:rPr>
        <w:t>Slici</w:t>
      </w:r>
      <w:r w:rsidR="009C319B" w:rsidRPr="00B74548">
        <w:rPr>
          <w:b/>
        </w:rPr>
        <w:t xml:space="preserve"> </w:t>
      </w:r>
      <w:r w:rsidR="009C319B">
        <w:rPr>
          <w:b/>
        </w:rPr>
        <w:t>4</w:t>
      </w:r>
      <w:r w:rsidR="009C319B" w:rsidRPr="00B74548">
        <w:rPr>
          <w:b/>
        </w:rPr>
        <w:t>.</w:t>
      </w:r>
      <w:r w:rsidR="009C319B">
        <w:rPr>
          <w:b/>
        </w:rPr>
        <w:t>25</w:t>
      </w:r>
      <w:r w:rsidRPr="00B74548">
        <w:rPr>
          <w:b/>
        </w:rPr>
        <w:fldChar w:fldCharType="end"/>
      </w:r>
      <w:r w:rsidR="00D8753F">
        <w:t xml:space="preserve"> te</w:t>
      </w:r>
      <w:r w:rsidRPr="00B74548">
        <w:t xml:space="preserve"> prikaz trenda grijane pov</w:t>
      </w:r>
      <w:r w:rsidR="00ED4197">
        <w:t>ršine preko toplane</w:t>
      </w:r>
      <w:r w:rsidRPr="00B74548">
        <w:t xml:space="preserve"> dan je na </w:t>
      </w:r>
      <w:r w:rsidRPr="00B74548">
        <w:fldChar w:fldCharType="begin"/>
      </w:r>
      <w:r w:rsidRPr="00B74548">
        <w:instrText xml:space="preserve"> REF _Ref465251756 \h </w:instrText>
      </w:r>
      <w:r w:rsidR="007C7920" w:rsidRPr="00B74548">
        <w:instrText xml:space="preserve"> \* MERGEFORMAT </w:instrText>
      </w:r>
      <w:r w:rsidRPr="00B74548">
        <w:fldChar w:fldCharType="separate"/>
      </w:r>
      <w:r w:rsidR="0064555A">
        <w:rPr>
          <w:b/>
        </w:rPr>
        <w:t>Slici</w:t>
      </w:r>
      <w:r w:rsidR="009C319B" w:rsidRPr="00B74548">
        <w:rPr>
          <w:b/>
        </w:rPr>
        <w:t xml:space="preserve"> </w:t>
      </w:r>
      <w:r w:rsidR="009C319B">
        <w:rPr>
          <w:b/>
          <w:noProof/>
        </w:rPr>
        <w:t>4</w:t>
      </w:r>
      <w:r w:rsidR="009C319B" w:rsidRPr="00B74548">
        <w:rPr>
          <w:b/>
          <w:noProof/>
        </w:rPr>
        <w:t>.</w:t>
      </w:r>
      <w:r w:rsidR="009C319B">
        <w:rPr>
          <w:b/>
          <w:noProof/>
        </w:rPr>
        <w:t>26</w:t>
      </w:r>
      <w:r w:rsidRPr="00B74548">
        <w:fldChar w:fldCharType="end"/>
      </w:r>
      <w:r w:rsidRPr="00B74548">
        <w:t>.</w:t>
      </w:r>
    </w:p>
    <w:p w14:paraId="1D42789A" w14:textId="2E19B735" w:rsidR="00CC173F" w:rsidRDefault="00CC173F" w:rsidP="00E92750">
      <w:pPr>
        <w:spacing w:after="0" w:line="240" w:lineRule="auto"/>
        <w:jc w:val="both"/>
        <w:rPr>
          <w:noProof/>
          <w:lang w:eastAsia="hr-HR"/>
        </w:rPr>
      </w:pPr>
      <w:r>
        <w:rPr>
          <w:noProof/>
          <w:lang w:eastAsia="hr-HR"/>
        </w:rPr>
        <w:drawing>
          <wp:inline distT="0" distB="0" distL="0" distR="0" wp14:anchorId="2B96316A" wp14:editId="19D69E69">
            <wp:extent cx="5391302" cy="2223820"/>
            <wp:effectExtent l="0" t="0" r="0" b="5080"/>
            <wp:docPr id="60" name="Chart 60">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DC7DC9" w14:textId="3466FD02" w:rsidR="00B74548" w:rsidRDefault="00B74548" w:rsidP="00E92750">
      <w:pPr>
        <w:suppressAutoHyphens/>
        <w:autoSpaceDN w:val="0"/>
        <w:spacing w:line="240" w:lineRule="auto"/>
        <w:jc w:val="center"/>
        <w:textAlignment w:val="baseline"/>
        <w:rPr>
          <w:noProof/>
        </w:rPr>
      </w:pPr>
      <w:bookmarkStart w:id="125" w:name="_Ref467674790"/>
      <w:bookmarkStart w:id="126" w:name="_Toc468277428"/>
      <w:r w:rsidRPr="00B74548">
        <w:rPr>
          <w:b/>
        </w:rPr>
        <w:t xml:space="preserve">Slika </w:t>
      </w:r>
      <w:r w:rsidRPr="00B74548">
        <w:rPr>
          <w:b/>
        </w:rPr>
        <w:fldChar w:fldCharType="begin"/>
      </w:r>
      <w:r w:rsidRPr="00B74548">
        <w:rPr>
          <w:b/>
        </w:rPr>
        <w:instrText xml:space="preserve"> STYLEREF 1 \s </w:instrText>
      </w:r>
      <w:r w:rsidRPr="00B74548">
        <w:rPr>
          <w:b/>
        </w:rPr>
        <w:fldChar w:fldCharType="separate"/>
      </w:r>
      <w:r w:rsidR="009C319B">
        <w:rPr>
          <w:b/>
          <w:noProof/>
        </w:rPr>
        <w:t>4</w:t>
      </w:r>
      <w:r w:rsidRPr="00B74548">
        <w:rPr>
          <w:b/>
          <w:noProof/>
        </w:rPr>
        <w:fldChar w:fldCharType="end"/>
      </w:r>
      <w:r w:rsidRPr="00B74548">
        <w:rPr>
          <w:b/>
        </w:rPr>
        <w:t>.</w:t>
      </w:r>
      <w:r w:rsidRPr="00B74548">
        <w:rPr>
          <w:b/>
        </w:rPr>
        <w:fldChar w:fldCharType="begin"/>
      </w:r>
      <w:r w:rsidRPr="00B74548">
        <w:rPr>
          <w:b/>
        </w:rPr>
        <w:instrText xml:space="preserve"> SEQ Slika \* ARABIC \s 1 </w:instrText>
      </w:r>
      <w:r w:rsidRPr="00B74548">
        <w:rPr>
          <w:b/>
        </w:rPr>
        <w:fldChar w:fldCharType="separate"/>
      </w:r>
      <w:r w:rsidR="009C319B">
        <w:rPr>
          <w:b/>
          <w:noProof/>
        </w:rPr>
        <w:t>24</w:t>
      </w:r>
      <w:r w:rsidRPr="00B74548">
        <w:rPr>
          <w:b/>
          <w:noProof/>
        </w:rPr>
        <w:fldChar w:fldCharType="end"/>
      </w:r>
      <w:bookmarkEnd w:id="125"/>
      <w:r w:rsidRPr="00B74548">
        <w:rPr>
          <w:b/>
          <w:noProof/>
        </w:rPr>
        <w:t xml:space="preserve"> </w:t>
      </w:r>
      <w:r w:rsidRPr="00B74548">
        <w:rPr>
          <w:noProof/>
        </w:rPr>
        <w:t xml:space="preserve">Prikaz trenda potrošnje električne energije stambenog podsektora </w:t>
      </w:r>
      <w:r w:rsidR="00141A3C">
        <w:rPr>
          <w:noProof/>
        </w:rPr>
        <w:t>u vremenskom periodu od 2009. do 2015. g</w:t>
      </w:r>
      <w:r w:rsidRPr="00B74548">
        <w:rPr>
          <w:noProof/>
        </w:rPr>
        <w:t>odine</w:t>
      </w:r>
      <w:bookmarkEnd w:id="126"/>
    </w:p>
    <w:p w14:paraId="6A3AC51E" w14:textId="37A31A5A" w:rsidR="00B74548" w:rsidRPr="00B74548" w:rsidRDefault="00B74548" w:rsidP="00E92750">
      <w:pPr>
        <w:spacing w:line="240" w:lineRule="auto"/>
        <w:jc w:val="both"/>
      </w:pPr>
      <w:r w:rsidRPr="00B74548">
        <w:t>Tijekom promat</w:t>
      </w:r>
      <w:r w:rsidR="00372CEE">
        <w:t>ranog vremenskog perioda od 2009</w:t>
      </w:r>
      <w:r w:rsidRPr="00B74548">
        <w:t>. godine do 2015. godine ostvaren je trend p</w:t>
      </w:r>
      <w:r w:rsidR="00E50507">
        <w:t>ada</w:t>
      </w:r>
      <w:r w:rsidRPr="00B74548">
        <w:t xml:space="preserve"> </w:t>
      </w:r>
      <w:r w:rsidR="00E50507">
        <w:t xml:space="preserve">potrošnje električne energije </w:t>
      </w:r>
      <w:r w:rsidR="001B1093">
        <w:t>stambenog podsektora</w:t>
      </w:r>
      <w:r w:rsidRPr="00B74548">
        <w:t xml:space="preserve"> Grada Zagreba s pro</w:t>
      </w:r>
      <w:r w:rsidR="00E50507">
        <w:t xml:space="preserve">sječnom godišnjom stopom </w:t>
      </w:r>
      <w:r w:rsidR="009249D4">
        <w:t xml:space="preserve">pada </w:t>
      </w:r>
      <w:r w:rsidR="00E50507">
        <w:t>od 1</w:t>
      </w:r>
      <w:r w:rsidRPr="00B74548">
        <w:t>%.</w:t>
      </w:r>
    </w:p>
    <w:p w14:paraId="14470ED7" w14:textId="335C2873" w:rsidR="00721C9C" w:rsidRDefault="00524543" w:rsidP="00E92750">
      <w:pPr>
        <w:suppressAutoHyphens/>
        <w:autoSpaceDN w:val="0"/>
        <w:spacing w:after="0" w:line="240" w:lineRule="auto"/>
        <w:jc w:val="center"/>
        <w:textAlignment w:val="baseline"/>
        <w:rPr>
          <w:noProof/>
          <w:lang w:eastAsia="hr-HR"/>
        </w:rPr>
      </w:pPr>
      <w:r>
        <w:rPr>
          <w:noProof/>
          <w:lang w:eastAsia="hr-HR"/>
        </w:rPr>
        <w:lastRenderedPageBreak/>
        <w:drawing>
          <wp:inline distT="0" distB="0" distL="0" distR="0" wp14:anchorId="71888AF5" wp14:editId="7A25DE85">
            <wp:extent cx="5435193" cy="3043123"/>
            <wp:effectExtent l="0" t="0" r="0" b="5080"/>
            <wp:docPr id="44" name="Chart 44">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B61E12C" w14:textId="1E988C80" w:rsidR="00721C9C" w:rsidRPr="00B74548" w:rsidRDefault="00721C9C" w:rsidP="00E92750">
      <w:pPr>
        <w:suppressAutoHyphens/>
        <w:autoSpaceDN w:val="0"/>
        <w:spacing w:after="240" w:line="240" w:lineRule="auto"/>
        <w:jc w:val="center"/>
        <w:textAlignment w:val="baseline"/>
        <w:rPr>
          <w:noProof/>
        </w:rPr>
      </w:pPr>
      <w:bookmarkStart w:id="127" w:name="_Ref464043147"/>
      <w:bookmarkStart w:id="128" w:name="_Toc468277429"/>
      <w:r w:rsidRPr="00B74548">
        <w:rPr>
          <w:b/>
        </w:rPr>
        <w:t xml:space="preserve">Slika </w:t>
      </w:r>
      <w:r w:rsidRPr="00B74548">
        <w:rPr>
          <w:b/>
        </w:rPr>
        <w:fldChar w:fldCharType="begin"/>
      </w:r>
      <w:r w:rsidRPr="00B74548">
        <w:rPr>
          <w:b/>
        </w:rPr>
        <w:instrText xml:space="preserve"> STYLEREF 1 \s </w:instrText>
      </w:r>
      <w:r w:rsidRPr="00B74548">
        <w:rPr>
          <w:b/>
        </w:rPr>
        <w:fldChar w:fldCharType="separate"/>
      </w:r>
      <w:r w:rsidR="009C319B">
        <w:rPr>
          <w:b/>
          <w:noProof/>
        </w:rPr>
        <w:t>4</w:t>
      </w:r>
      <w:r w:rsidRPr="00B74548">
        <w:rPr>
          <w:b/>
          <w:noProof/>
        </w:rPr>
        <w:fldChar w:fldCharType="end"/>
      </w:r>
      <w:r w:rsidRPr="00B74548">
        <w:rPr>
          <w:b/>
        </w:rPr>
        <w:t>.</w:t>
      </w:r>
      <w:r w:rsidRPr="00B74548">
        <w:rPr>
          <w:b/>
        </w:rPr>
        <w:fldChar w:fldCharType="begin"/>
      </w:r>
      <w:r w:rsidRPr="00B74548">
        <w:rPr>
          <w:b/>
        </w:rPr>
        <w:instrText xml:space="preserve"> SEQ Slika \* ARABIC \s 1 </w:instrText>
      </w:r>
      <w:r w:rsidRPr="00B74548">
        <w:rPr>
          <w:b/>
        </w:rPr>
        <w:fldChar w:fldCharType="separate"/>
      </w:r>
      <w:r w:rsidR="009C319B">
        <w:rPr>
          <w:b/>
          <w:noProof/>
        </w:rPr>
        <w:t>25</w:t>
      </w:r>
      <w:r w:rsidRPr="00B74548">
        <w:rPr>
          <w:b/>
          <w:noProof/>
        </w:rPr>
        <w:fldChar w:fldCharType="end"/>
      </w:r>
      <w:bookmarkEnd w:id="127"/>
      <w:r w:rsidRPr="00B74548">
        <w:rPr>
          <w:b/>
          <w:noProof/>
        </w:rPr>
        <w:t xml:space="preserve"> </w:t>
      </w:r>
      <w:r w:rsidRPr="00B74548">
        <w:rPr>
          <w:noProof/>
        </w:rPr>
        <w:t xml:space="preserve">Prikaz trenda potrošnje prirodnog plina stambenog podsektora </w:t>
      </w:r>
      <w:r w:rsidR="00AC359A" w:rsidRPr="00B74548">
        <w:rPr>
          <w:noProof/>
        </w:rPr>
        <w:t xml:space="preserve">u vremenskom periodu </w:t>
      </w:r>
      <w:r w:rsidR="00141A3C">
        <w:rPr>
          <w:noProof/>
        </w:rPr>
        <w:t>od 2009</w:t>
      </w:r>
      <w:r w:rsidR="00AC359A" w:rsidRPr="00B74548">
        <w:rPr>
          <w:noProof/>
        </w:rPr>
        <w:t>. do 2015. godine</w:t>
      </w:r>
      <w:bookmarkEnd w:id="128"/>
    </w:p>
    <w:p w14:paraId="61077EC4" w14:textId="69085A36" w:rsidR="00B1451A" w:rsidRPr="00B74548" w:rsidRDefault="00B1451A" w:rsidP="00E92750">
      <w:pPr>
        <w:spacing w:line="240" w:lineRule="auto"/>
        <w:jc w:val="both"/>
      </w:pPr>
      <w:r w:rsidRPr="00B74548">
        <w:t>Tijekom promat</w:t>
      </w:r>
      <w:r w:rsidR="0002785C">
        <w:t>ranog vremenskog perioda od 2009</w:t>
      </w:r>
      <w:r w:rsidRPr="00B74548">
        <w:t>. godine do 2015. go</w:t>
      </w:r>
      <w:r w:rsidR="0002785C">
        <w:t xml:space="preserve">dine ostvaren je trend pada potrošnje prirodnog plina </w:t>
      </w:r>
      <w:r w:rsidRPr="00B74548">
        <w:t xml:space="preserve">stambenog </w:t>
      </w:r>
      <w:r w:rsidR="0002785C">
        <w:t>podsektora</w:t>
      </w:r>
      <w:r w:rsidRPr="00B74548">
        <w:t xml:space="preserve"> s </w:t>
      </w:r>
      <w:r w:rsidR="0002785C">
        <w:t>prosječnom godišnjom stopom od 2,47</w:t>
      </w:r>
      <w:r w:rsidRPr="00B74548">
        <w:t>%.</w:t>
      </w:r>
    </w:p>
    <w:p w14:paraId="5DD0A5F2" w14:textId="59ED2A81" w:rsidR="00981A05" w:rsidRDefault="00981A05" w:rsidP="00E92750">
      <w:pPr>
        <w:suppressAutoHyphens/>
        <w:autoSpaceDN w:val="0"/>
        <w:spacing w:after="0" w:line="240" w:lineRule="auto"/>
        <w:jc w:val="center"/>
        <w:textAlignment w:val="baseline"/>
        <w:rPr>
          <w:noProof/>
          <w:lang w:eastAsia="hr-HR"/>
        </w:rPr>
      </w:pPr>
      <w:r>
        <w:rPr>
          <w:noProof/>
          <w:lang w:eastAsia="hr-HR"/>
        </w:rPr>
        <w:drawing>
          <wp:inline distT="0" distB="0" distL="0" distR="0" wp14:anchorId="7A848754" wp14:editId="4FEA9A22">
            <wp:extent cx="5467350" cy="3219450"/>
            <wp:effectExtent l="0" t="0" r="0" b="0"/>
            <wp:docPr id="37" name="Chart 3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CF2C581" w14:textId="74090161" w:rsidR="006D09AA" w:rsidRPr="00B74548" w:rsidRDefault="00381A67" w:rsidP="00E92750">
      <w:pPr>
        <w:suppressAutoHyphens/>
        <w:autoSpaceDN w:val="0"/>
        <w:spacing w:line="240" w:lineRule="auto"/>
        <w:jc w:val="center"/>
        <w:textAlignment w:val="baseline"/>
        <w:rPr>
          <w:rFonts w:ascii="Calibri" w:eastAsia="Calibri" w:hAnsi="Calibri" w:cs="Times New Roman"/>
          <w:shd w:val="clear" w:color="auto" w:fill="FFFF00"/>
        </w:rPr>
      </w:pPr>
      <w:bookmarkStart w:id="129" w:name="_Ref465251756"/>
      <w:bookmarkStart w:id="130" w:name="_Toc468277430"/>
      <w:r w:rsidRPr="00B74548">
        <w:rPr>
          <w:b/>
        </w:rPr>
        <w:t xml:space="preserve">Slika </w:t>
      </w:r>
      <w:r w:rsidRPr="00B74548">
        <w:rPr>
          <w:b/>
        </w:rPr>
        <w:fldChar w:fldCharType="begin"/>
      </w:r>
      <w:r w:rsidRPr="00B74548">
        <w:rPr>
          <w:b/>
        </w:rPr>
        <w:instrText xml:space="preserve"> STYLEREF 1 \s </w:instrText>
      </w:r>
      <w:r w:rsidRPr="00B74548">
        <w:rPr>
          <w:b/>
        </w:rPr>
        <w:fldChar w:fldCharType="separate"/>
      </w:r>
      <w:r w:rsidR="009C319B">
        <w:rPr>
          <w:b/>
          <w:noProof/>
        </w:rPr>
        <w:t>4</w:t>
      </w:r>
      <w:r w:rsidRPr="00B74548">
        <w:rPr>
          <w:b/>
          <w:noProof/>
        </w:rPr>
        <w:fldChar w:fldCharType="end"/>
      </w:r>
      <w:r w:rsidRPr="00B74548">
        <w:rPr>
          <w:b/>
        </w:rPr>
        <w:t>.</w:t>
      </w:r>
      <w:r w:rsidRPr="00B74548">
        <w:rPr>
          <w:b/>
        </w:rPr>
        <w:fldChar w:fldCharType="begin"/>
      </w:r>
      <w:r w:rsidRPr="00B74548">
        <w:rPr>
          <w:b/>
        </w:rPr>
        <w:instrText xml:space="preserve"> SEQ Slika \* ARABIC \s 1 </w:instrText>
      </w:r>
      <w:r w:rsidRPr="00B74548">
        <w:rPr>
          <w:b/>
        </w:rPr>
        <w:fldChar w:fldCharType="separate"/>
      </w:r>
      <w:r w:rsidR="009C319B">
        <w:rPr>
          <w:b/>
          <w:noProof/>
        </w:rPr>
        <w:t>26</w:t>
      </w:r>
      <w:r w:rsidRPr="00B74548">
        <w:rPr>
          <w:b/>
          <w:noProof/>
        </w:rPr>
        <w:fldChar w:fldCharType="end"/>
      </w:r>
      <w:bookmarkEnd w:id="129"/>
      <w:r w:rsidRPr="00B74548">
        <w:rPr>
          <w:b/>
          <w:noProof/>
        </w:rPr>
        <w:t xml:space="preserve"> </w:t>
      </w:r>
      <w:r w:rsidR="0035070C" w:rsidRPr="00B74548">
        <w:rPr>
          <w:noProof/>
        </w:rPr>
        <w:t xml:space="preserve">Grijana </w:t>
      </w:r>
      <w:r w:rsidR="005B2480">
        <w:rPr>
          <w:noProof/>
        </w:rPr>
        <w:t>površina preko toplane</w:t>
      </w:r>
      <w:r w:rsidR="0035070C" w:rsidRPr="00B74548">
        <w:rPr>
          <w:noProof/>
        </w:rPr>
        <w:t xml:space="preserve"> u stambenom podsektoru Grada Zagreba</w:t>
      </w:r>
      <w:r w:rsidR="00B1451A" w:rsidRPr="00B74548">
        <w:rPr>
          <w:noProof/>
        </w:rPr>
        <w:t xml:space="preserve"> u vremenskom periodu od 2008. do 2015. godine</w:t>
      </w:r>
      <w:bookmarkEnd w:id="130"/>
    </w:p>
    <w:p w14:paraId="5CF18272" w14:textId="2C4C1AD0" w:rsidR="00191C88" w:rsidRDefault="00CF69C4" w:rsidP="00191C88">
      <w:pPr>
        <w:spacing w:line="240" w:lineRule="auto"/>
        <w:jc w:val="both"/>
      </w:pPr>
      <w:r w:rsidRPr="00B74548">
        <w:t xml:space="preserve">Tijekom promatranog </w:t>
      </w:r>
      <w:r w:rsidR="00B1451A" w:rsidRPr="00B74548">
        <w:t xml:space="preserve">vremenskog perioda </w:t>
      </w:r>
      <w:r w:rsidRPr="00B74548">
        <w:t>od 2008. godine do 2015. godine ostvaren je trend povećanja grijane pov</w:t>
      </w:r>
      <w:r w:rsidR="00ED4197">
        <w:t>ršine preko toplane</w:t>
      </w:r>
      <w:r w:rsidRPr="00B74548">
        <w:t xml:space="preserve"> u st</w:t>
      </w:r>
      <w:r w:rsidR="002D5579">
        <w:t>ambenom</w:t>
      </w:r>
      <w:r w:rsidR="00141A3C">
        <w:t xml:space="preserve"> podsektoru</w:t>
      </w:r>
      <w:r w:rsidRPr="00B74548">
        <w:t xml:space="preserve"> s prosječnom godišnjom stopom</w:t>
      </w:r>
      <w:r w:rsidR="007A7337" w:rsidRPr="00B74548">
        <w:t xml:space="preserve"> povećanja</w:t>
      </w:r>
      <w:r w:rsidR="003B542E" w:rsidRPr="00B74548">
        <w:t xml:space="preserve"> od 0,47</w:t>
      </w:r>
      <w:r w:rsidRPr="00B74548">
        <w:t>%.</w:t>
      </w:r>
      <w:r w:rsidR="00191C88">
        <w:br w:type="page"/>
      </w:r>
    </w:p>
    <w:p w14:paraId="7DD95724" w14:textId="004ECCFF" w:rsidR="000F64C5" w:rsidRPr="00F046A4" w:rsidRDefault="00737B4A" w:rsidP="00E92750">
      <w:pPr>
        <w:pStyle w:val="Heading2"/>
        <w:spacing w:after="240"/>
      </w:pPr>
      <w:bookmarkStart w:id="131" w:name="_Toc258238901"/>
      <w:bookmarkStart w:id="132" w:name="_Toc468345359"/>
      <w:r w:rsidRPr="00F046A4">
        <w:lastRenderedPageBreak/>
        <w:t>ANALIZA ENERGETSKE POTROŠNJE U PODSEKTORU KOMERCIJALNIH I</w:t>
      </w:r>
      <w:r w:rsidR="000F64C5" w:rsidRPr="00F046A4">
        <w:t xml:space="preserve"> </w:t>
      </w:r>
      <w:bookmarkStart w:id="133" w:name="_Toc258238902"/>
      <w:bookmarkEnd w:id="131"/>
      <w:r w:rsidRPr="00F046A4">
        <w:t>USLUŽ</w:t>
      </w:r>
      <w:r w:rsidR="00C31910" w:rsidRPr="00F046A4">
        <w:t>NIH DJELATNOSTI GRADA ZAGREBA U</w:t>
      </w:r>
      <w:r w:rsidR="006E0CA2" w:rsidRPr="00F046A4">
        <w:t xml:space="preserve"> </w:t>
      </w:r>
      <w:r w:rsidR="000F64C5" w:rsidRPr="00F046A4">
        <w:t xml:space="preserve">2015. </w:t>
      </w:r>
      <w:bookmarkEnd w:id="133"/>
      <w:r w:rsidRPr="00F046A4">
        <w:t>GODINI</w:t>
      </w:r>
      <w:bookmarkEnd w:id="132"/>
    </w:p>
    <w:p w14:paraId="10226138" w14:textId="40D01E07" w:rsidR="008412D0" w:rsidRPr="005B457E" w:rsidRDefault="008412D0" w:rsidP="00E92750">
      <w:pPr>
        <w:spacing w:line="240" w:lineRule="auto"/>
        <w:jc w:val="both"/>
      </w:pPr>
      <w:r w:rsidRPr="00F046A4">
        <w:t xml:space="preserve">Podsektor komercijalnih i uslužnih djelatnosti obuhvaća 27 452 objekta ukupne površine 10 377 926 </w:t>
      </w:r>
      <w:r w:rsidRPr="005B457E">
        <w:t>m</w:t>
      </w:r>
      <w:r w:rsidRPr="005B457E">
        <w:rPr>
          <w:vertAlign w:val="superscript"/>
        </w:rPr>
        <w:t>2</w:t>
      </w:r>
      <w:r w:rsidRPr="005B457E">
        <w:t xml:space="preserve">. Podaci o broju i površini </w:t>
      </w:r>
      <w:r w:rsidR="00121FBD" w:rsidRPr="005B457E">
        <w:t>objekata komercijalno uslužnih djelatnosti</w:t>
      </w:r>
      <w:r w:rsidRPr="005B457E">
        <w:t xml:space="preserve"> dobiveni su od Agencije za podršku informacijskim sustavima i informacijskim tehnologijama, APIS IT d.o.o.</w:t>
      </w:r>
      <w:r w:rsidR="009F5FEB" w:rsidRPr="005B457E">
        <w:t xml:space="preserve"> iz baze po kojoj se provodi naplata komunalne naknade u Gradu Zagrebu.</w:t>
      </w:r>
      <w:r w:rsidR="005B457E">
        <w:t xml:space="preserve"> Površina komercijalnih i uslužnih djelatnosti u odnosu na 2008. godinu povećana je oko 30% (</w:t>
      </w:r>
      <w:r w:rsidR="008B4CF4">
        <w:t xml:space="preserve">površina u 2008. godini - </w:t>
      </w:r>
      <w:r w:rsidR="005B457E">
        <w:t>8 041 291 m</w:t>
      </w:r>
      <w:r w:rsidR="005B457E" w:rsidRPr="005B457E">
        <w:rPr>
          <w:vertAlign w:val="superscript"/>
        </w:rPr>
        <w:t>2</w:t>
      </w:r>
      <w:r w:rsidR="005B457E">
        <w:t>).</w:t>
      </w:r>
    </w:p>
    <w:p w14:paraId="1C29EB81" w14:textId="113AB77B" w:rsidR="009F5FEB" w:rsidRPr="00752DCE" w:rsidRDefault="00121FBD" w:rsidP="00E92750">
      <w:pPr>
        <w:pStyle w:val="NormalWeb"/>
        <w:shd w:val="clear" w:color="auto" w:fill="FFFFFF"/>
        <w:jc w:val="both"/>
        <w:rPr>
          <w:rFonts w:asciiTheme="minorHAnsi" w:hAnsiTheme="minorHAnsi" w:cstheme="minorHAnsi"/>
          <w:sz w:val="22"/>
          <w:szCs w:val="22"/>
        </w:rPr>
      </w:pPr>
      <w:r w:rsidRPr="005B457E">
        <w:rPr>
          <w:rFonts w:asciiTheme="minorHAnsi" w:hAnsiTheme="minorHAnsi" w:cstheme="minorHAnsi"/>
          <w:sz w:val="22"/>
          <w:szCs w:val="22"/>
        </w:rPr>
        <w:t>Tijekom prikupljanja podataka o potrošnji električne energije uočeno je da u skladu s Zakonom o tržištu električne energije i važećim podzakonskim propisima HEP Operator distribucijskog sustava d.o.o., Elektra Zagreb dij</w:t>
      </w:r>
      <w:r w:rsidR="00D6255F" w:rsidRPr="005B457E">
        <w:rPr>
          <w:rFonts w:asciiTheme="minorHAnsi" w:hAnsiTheme="minorHAnsi" w:cstheme="minorHAnsi"/>
          <w:sz w:val="22"/>
          <w:szCs w:val="22"/>
        </w:rPr>
        <w:t>eli kupce na kategoriju poduzetništvo i kućanstvo</w:t>
      </w:r>
      <w:r w:rsidR="00032CAF" w:rsidRPr="005B457E">
        <w:rPr>
          <w:rFonts w:asciiTheme="minorHAnsi" w:hAnsiTheme="minorHAnsi" w:cstheme="minorHAnsi"/>
          <w:sz w:val="22"/>
          <w:szCs w:val="22"/>
        </w:rPr>
        <w:t xml:space="preserve"> te </w:t>
      </w:r>
      <w:r w:rsidRPr="005B457E">
        <w:rPr>
          <w:rFonts w:asciiTheme="minorHAnsi" w:hAnsiTheme="minorHAnsi" w:cstheme="minorHAnsi"/>
          <w:sz w:val="22"/>
          <w:szCs w:val="22"/>
        </w:rPr>
        <w:t>ne vodi evidenciju potrošnje prema djelatnostima niti sektorima u gospodarstvu</w:t>
      </w:r>
      <w:r w:rsidR="00A75D5B" w:rsidRPr="005B457E">
        <w:rPr>
          <w:rFonts w:asciiTheme="minorHAnsi" w:hAnsiTheme="minorHAnsi" w:cstheme="minorHAnsi"/>
          <w:sz w:val="22"/>
          <w:szCs w:val="22"/>
        </w:rPr>
        <w:t xml:space="preserve"> te je zbog navedenog razloga,</w:t>
      </w:r>
      <w:r w:rsidRPr="005B457E">
        <w:rPr>
          <w:rFonts w:asciiTheme="minorHAnsi" w:hAnsiTheme="minorHAnsi" w:cstheme="minorHAnsi"/>
          <w:sz w:val="22"/>
          <w:szCs w:val="22"/>
        </w:rPr>
        <w:t xml:space="preserve"> potrošnja električne energije kategorije komercijalnog i us</w:t>
      </w:r>
      <w:r w:rsidR="00A75D5B" w:rsidRPr="005B457E">
        <w:rPr>
          <w:rFonts w:asciiTheme="minorHAnsi" w:hAnsiTheme="minorHAnsi" w:cstheme="minorHAnsi"/>
          <w:sz w:val="22"/>
          <w:szCs w:val="22"/>
        </w:rPr>
        <w:t xml:space="preserve">lužnog podsektora modelirana </w:t>
      </w:r>
      <w:r w:rsidRPr="005B457E">
        <w:rPr>
          <w:rFonts w:asciiTheme="minorHAnsi" w:hAnsiTheme="minorHAnsi" w:cstheme="minorHAnsi"/>
          <w:sz w:val="22"/>
          <w:szCs w:val="22"/>
        </w:rPr>
        <w:t>prema iskustvenoj procjeni za na</w:t>
      </w:r>
      <w:r w:rsidR="00D6255F" w:rsidRPr="005B457E">
        <w:rPr>
          <w:rFonts w:asciiTheme="minorHAnsi" w:hAnsiTheme="minorHAnsi" w:cstheme="minorHAnsi"/>
          <w:sz w:val="22"/>
          <w:szCs w:val="22"/>
        </w:rPr>
        <w:t xml:space="preserve">vedenu </w:t>
      </w:r>
      <w:r w:rsidR="00032CAF" w:rsidRPr="005B457E">
        <w:rPr>
          <w:rFonts w:asciiTheme="minorHAnsi" w:hAnsiTheme="minorHAnsi" w:cstheme="minorHAnsi"/>
          <w:sz w:val="22"/>
          <w:szCs w:val="22"/>
        </w:rPr>
        <w:t xml:space="preserve">kategoriju od </w:t>
      </w:r>
      <w:r w:rsidR="00896124" w:rsidRPr="005B457E">
        <w:rPr>
          <w:rFonts w:asciiTheme="minorHAnsi" w:hAnsiTheme="minorHAnsi" w:cstheme="minorHAnsi"/>
          <w:sz w:val="22"/>
          <w:szCs w:val="22"/>
        </w:rPr>
        <w:t>75</w:t>
      </w:r>
      <w:r w:rsidRPr="005B457E">
        <w:rPr>
          <w:rFonts w:asciiTheme="minorHAnsi" w:hAnsiTheme="minorHAnsi" w:cstheme="minorHAnsi"/>
          <w:sz w:val="22"/>
          <w:szCs w:val="22"/>
        </w:rPr>
        <w:t xml:space="preserve"> kWh/m</w:t>
      </w:r>
      <w:r w:rsidRPr="005B457E">
        <w:rPr>
          <w:rFonts w:asciiTheme="minorHAnsi" w:hAnsiTheme="minorHAnsi" w:cstheme="minorHAnsi"/>
          <w:sz w:val="22"/>
          <w:szCs w:val="22"/>
          <w:vertAlign w:val="superscript"/>
        </w:rPr>
        <w:t>2</w:t>
      </w:r>
      <w:r w:rsidRPr="005B457E">
        <w:rPr>
          <w:rFonts w:asciiTheme="minorHAnsi" w:hAnsiTheme="minorHAnsi" w:cstheme="minorHAnsi"/>
          <w:sz w:val="22"/>
          <w:szCs w:val="22"/>
        </w:rPr>
        <w:t>.</w:t>
      </w:r>
      <w:r w:rsidR="00A75D5B" w:rsidRPr="005B457E">
        <w:rPr>
          <w:rFonts w:asciiTheme="minorHAnsi" w:eastAsia="Calibri" w:hAnsiTheme="minorHAnsi" w:cstheme="minorHAnsi"/>
          <w:sz w:val="22"/>
          <w:szCs w:val="22"/>
        </w:rPr>
        <w:t xml:space="preserve"> Pouzdanost procjene</w:t>
      </w:r>
      <w:r w:rsidR="009F5FEB" w:rsidRPr="005B457E">
        <w:rPr>
          <w:rFonts w:asciiTheme="minorHAnsi" w:eastAsia="Calibri" w:hAnsiTheme="minorHAnsi" w:cstheme="minorHAnsi"/>
          <w:sz w:val="22"/>
          <w:szCs w:val="22"/>
        </w:rPr>
        <w:t xml:space="preserve"> je u ovom slučaju smanjenja činjenicom da su razlike u potrošnji električne energije pojedinih djelatnosti unutar </w:t>
      </w:r>
      <w:r w:rsidR="009F5FEB" w:rsidRPr="00752DCE">
        <w:rPr>
          <w:rFonts w:asciiTheme="minorHAnsi" w:eastAsia="Calibri" w:hAnsiTheme="minorHAnsi" w:cstheme="minorHAnsi"/>
          <w:sz w:val="22"/>
          <w:szCs w:val="22"/>
        </w:rPr>
        <w:t>sektora vrlo velike.</w:t>
      </w:r>
    </w:p>
    <w:p w14:paraId="769F8931" w14:textId="08366396" w:rsidR="00121FBD" w:rsidRPr="00752DCE" w:rsidRDefault="00121FBD" w:rsidP="00E92750">
      <w:pPr>
        <w:spacing w:line="240" w:lineRule="auto"/>
        <w:jc w:val="both"/>
      </w:pPr>
      <w:r w:rsidRPr="00752DCE">
        <w:t>Podaci o opskrbi Grada</w:t>
      </w:r>
      <w:r w:rsidR="00D6255F" w:rsidRPr="00752DCE">
        <w:t xml:space="preserve"> toplinskom energijom</w:t>
      </w:r>
      <w:r w:rsidRPr="00752DCE">
        <w:t xml:space="preserve"> preko toplana </w:t>
      </w:r>
      <w:r w:rsidR="00D6255F" w:rsidRPr="00752DCE">
        <w:t>u podsektoru komercijalnih i uslužnih djelatnosti Grada Zagreba</w:t>
      </w:r>
      <w:r w:rsidRPr="00752DCE">
        <w:t xml:space="preserve"> dobiveni su od HEP Toplinarstvo d.o.o., a izvor podataka o potrošnji prirodnog plina je Gradska plinara Zagreb d.o.o.</w:t>
      </w:r>
    </w:p>
    <w:p w14:paraId="615F0639" w14:textId="6799912B" w:rsidR="00121FBD" w:rsidRPr="00752DCE" w:rsidRDefault="00121FBD" w:rsidP="00E92750">
      <w:pPr>
        <w:spacing w:line="240" w:lineRule="auto"/>
        <w:jc w:val="both"/>
      </w:pPr>
      <w:r w:rsidRPr="00752DCE">
        <w:t>Potrošnja ostalih energenata procijenjena je prema očekivanoj specifičnoj korisnoj energiji za gri</w:t>
      </w:r>
      <w:r w:rsidR="00FA7E44" w:rsidRPr="00752DCE">
        <w:t>janje za objekte komercijalnih i uslužnih djelatnosti od 175</w:t>
      </w:r>
      <w:r w:rsidRPr="00752DCE">
        <w:t xml:space="preserve"> kWh/m</w:t>
      </w:r>
      <w:r w:rsidRPr="00752DCE">
        <w:rPr>
          <w:vertAlign w:val="superscript"/>
        </w:rPr>
        <w:t>2</w:t>
      </w:r>
      <w:r w:rsidRPr="00752DCE">
        <w:t>.</w:t>
      </w:r>
      <w:r w:rsidRPr="00752DCE">
        <w:rPr>
          <w:rStyle w:val="FootnoteReference"/>
        </w:rPr>
        <w:footnoteReference w:id="21"/>
      </w:r>
    </w:p>
    <w:p w14:paraId="157EA86E" w14:textId="6E0E0E7B" w:rsidR="00121FBD" w:rsidRPr="00752DCE" w:rsidRDefault="00121FBD" w:rsidP="00E92750">
      <w:pPr>
        <w:spacing w:line="240" w:lineRule="auto"/>
        <w:jc w:val="both"/>
      </w:pPr>
      <w:r w:rsidRPr="00752DCE">
        <w:t xml:space="preserve">Prikaz potrošnje energije u </w:t>
      </w:r>
      <w:r w:rsidR="00CF15F0" w:rsidRPr="00752DCE">
        <w:t>komercijalnom i uslužnom</w:t>
      </w:r>
      <w:r w:rsidRPr="00752DCE">
        <w:t xml:space="preserve"> podsektoru Grada Zagreba u 2015. godini dan je u</w:t>
      </w:r>
      <w:r w:rsidR="00A01C98" w:rsidRPr="00752DCE">
        <w:t xml:space="preserve"> </w:t>
      </w:r>
      <w:r w:rsidR="00A01C98" w:rsidRPr="00752DCE">
        <w:fldChar w:fldCharType="begin"/>
      </w:r>
      <w:r w:rsidR="00A01C98" w:rsidRPr="00752DCE">
        <w:instrText xml:space="preserve"> REF _Ref465253120 \h </w:instrText>
      </w:r>
      <w:r w:rsidR="007C7920" w:rsidRPr="00752DCE">
        <w:instrText xml:space="preserve"> \* MERGEFORMAT </w:instrText>
      </w:r>
      <w:r w:rsidR="00A01C98" w:rsidRPr="00752DCE">
        <w:fldChar w:fldCharType="separate"/>
      </w:r>
      <w:r w:rsidR="00FA61F3">
        <w:rPr>
          <w:b/>
          <w:bCs/>
        </w:rPr>
        <w:t>Tablici</w:t>
      </w:r>
      <w:r w:rsidR="009C319B" w:rsidRPr="00752DCE">
        <w:rPr>
          <w:b/>
          <w:bCs/>
        </w:rPr>
        <w:t xml:space="preserve"> </w:t>
      </w:r>
      <w:r w:rsidR="009C319B">
        <w:rPr>
          <w:b/>
          <w:bCs/>
          <w:noProof/>
        </w:rPr>
        <w:t>4</w:t>
      </w:r>
      <w:r w:rsidR="009C319B" w:rsidRPr="00752DCE">
        <w:rPr>
          <w:b/>
          <w:bCs/>
          <w:noProof/>
        </w:rPr>
        <w:t>.</w:t>
      </w:r>
      <w:r w:rsidR="009C319B">
        <w:rPr>
          <w:b/>
          <w:bCs/>
          <w:noProof/>
        </w:rPr>
        <w:t>14</w:t>
      </w:r>
      <w:r w:rsidR="00A01C98" w:rsidRPr="00752DCE">
        <w:fldChar w:fldCharType="end"/>
      </w:r>
      <w:r w:rsidR="00A01C98" w:rsidRPr="00752DCE">
        <w:t>.</w:t>
      </w:r>
    </w:p>
    <w:p w14:paraId="371030C5" w14:textId="1D568601" w:rsidR="00121FBD" w:rsidRPr="00752DCE" w:rsidRDefault="00121FBD" w:rsidP="00AB6A15">
      <w:pPr>
        <w:suppressAutoHyphens/>
        <w:autoSpaceDN w:val="0"/>
        <w:spacing w:after="0" w:line="240" w:lineRule="auto"/>
        <w:jc w:val="both"/>
        <w:textAlignment w:val="baseline"/>
      </w:pPr>
      <w:bookmarkStart w:id="134" w:name="_Ref465253120"/>
      <w:bookmarkStart w:id="135" w:name="_Toc468277506"/>
      <w:r w:rsidRPr="00752DCE">
        <w:rPr>
          <w:b/>
          <w:bCs/>
        </w:rPr>
        <w:t xml:space="preserve">Tablica </w:t>
      </w:r>
      <w:r w:rsidRPr="00752DCE">
        <w:rPr>
          <w:b/>
          <w:bCs/>
        </w:rPr>
        <w:fldChar w:fldCharType="begin"/>
      </w:r>
      <w:r w:rsidRPr="00752DCE">
        <w:rPr>
          <w:b/>
          <w:bCs/>
        </w:rPr>
        <w:instrText xml:space="preserve"> STYLEREF 1 \s </w:instrText>
      </w:r>
      <w:r w:rsidRPr="00752DCE">
        <w:rPr>
          <w:b/>
          <w:bCs/>
        </w:rPr>
        <w:fldChar w:fldCharType="separate"/>
      </w:r>
      <w:r w:rsidR="009C319B">
        <w:rPr>
          <w:b/>
          <w:bCs/>
          <w:noProof/>
        </w:rPr>
        <w:t>4</w:t>
      </w:r>
      <w:r w:rsidRPr="00752DCE">
        <w:rPr>
          <w:b/>
          <w:bCs/>
        </w:rPr>
        <w:fldChar w:fldCharType="end"/>
      </w:r>
      <w:r w:rsidRPr="00752DCE">
        <w:rPr>
          <w:b/>
          <w:bCs/>
        </w:rPr>
        <w:t>.</w:t>
      </w:r>
      <w:r w:rsidRPr="00752DCE">
        <w:rPr>
          <w:b/>
          <w:bCs/>
        </w:rPr>
        <w:fldChar w:fldCharType="begin"/>
      </w:r>
      <w:r w:rsidRPr="00752DCE">
        <w:rPr>
          <w:b/>
          <w:bCs/>
        </w:rPr>
        <w:instrText xml:space="preserve"> SEQ Tablica \* ARABIC \s 1 </w:instrText>
      </w:r>
      <w:r w:rsidRPr="00752DCE">
        <w:rPr>
          <w:b/>
          <w:bCs/>
        </w:rPr>
        <w:fldChar w:fldCharType="separate"/>
      </w:r>
      <w:r w:rsidR="009C319B">
        <w:rPr>
          <w:b/>
          <w:bCs/>
          <w:noProof/>
        </w:rPr>
        <w:t>14</w:t>
      </w:r>
      <w:r w:rsidRPr="00752DCE">
        <w:rPr>
          <w:b/>
          <w:bCs/>
        </w:rPr>
        <w:fldChar w:fldCharType="end"/>
      </w:r>
      <w:bookmarkEnd w:id="134"/>
      <w:r w:rsidR="00E87268" w:rsidRPr="00752DCE">
        <w:t xml:space="preserve"> Potrošnja energije u komercijalnom i uslužnom</w:t>
      </w:r>
      <w:r w:rsidRPr="00752DCE">
        <w:t xml:space="preserve"> podsektoru Grada Zagreba u 2015.</w:t>
      </w:r>
      <w:r w:rsidR="00A75D5B" w:rsidRPr="00752DCE">
        <w:t xml:space="preserve"> godini</w:t>
      </w:r>
      <w:bookmarkEnd w:id="135"/>
    </w:p>
    <w:tbl>
      <w:tblPr>
        <w:tblW w:w="4942" w:type="pct"/>
        <w:tblInd w:w="108" w:type="dxa"/>
        <w:tblLook w:val="04A0" w:firstRow="1" w:lastRow="0" w:firstColumn="1" w:lastColumn="0" w:noHBand="0" w:noVBand="1"/>
      </w:tblPr>
      <w:tblGrid>
        <w:gridCol w:w="5578"/>
        <w:gridCol w:w="3379"/>
      </w:tblGrid>
      <w:tr w:rsidR="00E80298" w:rsidRPr="00752DCE" w14:paraId="4587F2F0" w14:textId="77777777" w:rsidTr="000967C3">
        <w:trPr>
          <w:trHeight w:val="255"/>
        </w:trPr>
        <w:tc>
          <w:tcPr>
            <w:tcW w:w="3114"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6B1BBF" w14:textId="0026BA34" w:rsidR="00E80298" w:rsidRPr="00752DCE" w:rsidRDefault="007B36D8" w:rsidP="00E92750">
            <w:pPr>
              <w:spacing w:after="0" w:line="240" w:lineRule="auto"/>
              <w:rPr>
                <w:rFonts w:ascii="Calibri" w:eastAsia="Times New Roman" w:hAnsi="Calibri" w:cs="Calibri"/>
                <w:b/>
                <w:bCs/>
                <w:sz w:val="20"/>
                <w:szCs w:val="20"/>
                <w:lang w:eastAsia="hr-HR"/>
              </w:rPr>
            </w:pPr>
            <w:r w:rsidRPr="00752DCE">
              <w:rPr>
                <w:rFonts w:ascii="Calibri" w:eastAsia="Times New Roman" w:hAnsi="Calibri" w:cs="Calibri"/>
                <w:b/>
                <w:bCs/>
                <w:sz w:val="20"/>
                <w:szCs w:val="20"/>
                <w:lang w:eastAsia="hr-HR"/>
              </w:rPr>
              <w:t>Komercijalni i uslužni sektor</w:t>
            </w:r>
          </w:p>
        </w:tc>
        <w:tc>
          <w:tcPr>
            <w:tcW w:w="1886" w:type="pct"/>
            <w:tcBorders>
              <w:top w:val="single" w:sz="4" w:space="0" w:color="auto"/>
              <w:left w:val="nil"/>
              <w:bottom w:val="single" w:sz="4" w:space="0" w:color="auto"/>
              <w:right w:val="single" w:sz="4" w:space="0" w:color="auto"/>
            </w:tcBorders>
            <w:shd w:val="clear" w:color="000000" w:fill="D9D9D9"/>
            <w:noWrap/>
            <w:vAlign w:val="bottom"/>
            <w:hideMark/>
          </w:tcPr>
          <w:p w14:paraId="218174B3" w14:textId="5C5FCA42" w:rsidR="00E80298" w:rsidRPr="00752DCE" w:rsidRDefault="007B36D8" w:rsidP="00E92750">
            <w:pPr>
              <w:spacing w:after="0" w:line="240" w:lineRule="auto"/>
              <w:jc w:val="center"/>
              <w:rPr>
                <w:rFonts w:ascii="Calibri" w:eastAsia="Times New Roman" w:hAnsi="Calibri" w:cs="Calibri"/>
                <w:b/>
                <w:bCs/>
                <w:sz w:val="20"/>
                <w:szCs w:val="20"/>
                <w:lang w:eastAsia="hr-HR"/>
              </w:rPr>
            </w:pPr>
            <w:r w:rsidRPr="00752DCE">
              <w:rPr>
                <w:rFonts w:ascii="Calibri" w:eastAsia="Times New Roman" w:hAnsi="Calibri" w:cs="Calibri"/>
                <w:b/>
                <w:bCs/>
                <w:sz w:val="20"/>
                <w:szCs w:val="20"/>
                <w:lang w:eastAsia="hr-HR"/>
              </w:rPr>
              <w:t>Potrošnja energije (</w:t>
            </w:r>
            <w:r w:rsidR="00E80298" w:rsidRPr="00752DCE">
              <w:rPr>
                <w:rFonts w:ascii="Calibri" w:eastAsia="Times New Roman" w:hAnsi="Calibri" w:cs="Calibri"/>
                <w:b/>
                <w:bCs/>
                <w:sz w:val="20"/>
                <w:szCs w:val="20"/>
                <w:lang w:eastAsia="hr-HR"/>
              </w:rPr>
              <w:t>MWh</w:t>
            </w:r>
            <w:r w:rsidRPr="00752DCE">
              <w:rPr>
                <w:rFonts w:ascii="Calibri" w:eastAsia="Times New Roman" w:hAnsi="Calibri" w:cs="Calibri"/>
                <w:b/>
                <w:bCs/>
                <w:sz w:val="20"/>
                <w:szCs w:val="20"/>
                <w:lang w:eastAsia="hr-HR"/>
              </w:rPr>
              <w:t>)</w:t>
            </w:r>
          </w:p>
        </w:tc>
      </w:tr>
      <w:tr w:rsidR="00E80298" w:rsidRPr="00752DCE" w14:paraId="52007FF2" w14:textId="77777777" w:rsidTr="000967C3">
        <w:trPr>
          <w:trHeight w:val="255"/>
        </w:trPr>
        <w:tc>
          <w:tcPr>
            <w:tcW w:w="3114" w:type="pct"/>
            <w:tcBorders>
              <w:top w:val="nil"/>
              <w:left w:val="single" w:sz="4" w:space="0" w:color="auto"/>
              <w:bottom w:val="single" w:sz="4" w:space="0" w:color="auto"/>
              <w:right w:val="single" w:sz="4" w:space="0" w:color="auto"/>
            </w:tcBorders>
            <w:shd w:val="clear" w:color="000000" w:fill="D9D9D9"/>
            <w:noWrap/>
            <w:vAlign w:val="bottom"/>
            <w:hideMark/>
          </w:tcPr>
          <w:p w14:paraId="0B7FBCFA" w14:textId="77777777" w:rsidR="00E80298" w:rsidRPr="00752DCE" w:rsidRDefault="00E80298" w:rsidP="00E92750">
            <w:pPr>
              <w:spacing w:after="0" w:line="240" w:lineRule="auto"/>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Prirodni plin</w:t>
            </w:r>
          </w:p>
        </w:tc>
        <w:tc>
          <w:tcPr>
            <w:tcW w:w="1886" w:type="pct"/>
            <w:tcBorders>
              <w:top w:val="nil"/>
              <w:left w:val="nil"/>
              <w:bottom w:val="single" w:sz="4" w:space="0" w:color="auto"/>
              <w:right w:val="single" w:sz="4" w:space="0" w:color="auto"/>
            </w:tcBorders>
            <w:shd w:val="clear" w:color="auto" w:fill="auto"/>
            <w:noWrap/>
            <w:vAlign w:val="bottom"/>
            <w:hideMark/>
          </w:tcPr>
          <w:p w14:paraId="2091B002" w14:textId="01249315" w:rsidR="00E80298" w:rsidRPr="00752DCE" w:rsidRDefault="00700909" w:rsidP="00E92750">
            <w:pPr>
              <w:spacing w:after="0" w:line="240" w:lineRule="auto"/>
              <w:jc w:val="center"/>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 xml:space="preserve">714 </w:t>
            </w:r>
            <w:r w:rsidR="00E80298" w:rsidRPr="00752DCE">
              <w:rPr>
                <w:rFonts w:ascii="Calibri" w:eastAsia="Times New Roman" w:hAnsi="Calibri" w:cs="Calibri"/>
                <w:sz w:val="20"/>
                <w:szCs w:val="20"/>
                <w:lang w:eastAsia="hr-HR"/>
              </w:rPr>
              <w:t>612,68</w:t>
            </w:r>
          </w:p>
        </w:tc>
      </w:tr>
      <w:tr w:rsidR="00E80298" w:rsidRPr="00752DCE" w14:paraId="1AED3CC0" w14:textId="77777777" w:rsidTr="000967C3">
        <w:trPr>
          <w:trHeight w:val="255"/>
        </w:trPr>
        <w:tc>
          <w:tcPr>
            <w:tcW w:w="3114" w:type="pct"/>
            <w:tcBorders>
              <w:top w:val="nil"/>
              <w:left w:val="single" w:sz="4" w:space="0" w:color="auto"/>
              <w:bottom w:val="single" w:sz="4" w:space="0" w:color="auto"/>
              <w:right w:val="single" w:sz="4" w:space="0" w:color="auto"/>
            </w:tcBorders>
            <w:shd w:val="clear" w:color="000000" w:fill="D9D9D9"/>
            <w:noWrap/>
            <w:vAlign w:val="bottom"/>
            <w:hideMark/>
          </w:tcPr>
          <w:p w14:paraId="78393DFA" w14:textId="77777777" w:rsidR="00E80298" w:rsidRPr="00752DCE" w:rsidRDefault="00E80298" w:rsidP="00E92750">
            <w:pPr>
              <w:spacing w:after="0" w:line="240" w:lineRule="auto"/>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Ogrjevno drvo</w:t>
            </w:r>
          </w:p>
        </w:tc>
        <w:tc>
          <w:tcPr>
            <w:tcW w:w="1886" w:type="pct"/>
            <w:tcBorders>
              <w:top w:val="nil"/>
              <w:left w:val="nil"/>
              <w:bottom w:val="single" w:sz="4" w:space="0" w:color="auto"/>
              <w:right w:val="single" w:sz="4" w:space="0" w:color="auto"/>
            </w:tcBorders>
            <w:shd w:val="clear" w:color="auto" w:fill="auto"/>
            <w:noWrap/>
            <w:vAlign w:val="bottom"/>
            <w:hideMark/>
          </w:tcPr>
          <w:p w14:paraId="59C71C80" w14:textId="4DD3B8A4" w:rsidR="00E80298" w:rsidRPr="00752DCE" w:rsidRDefault="00700909" w:rsidP="00E92750">
            <w:pPr>
              <w:spacing w:after="0" w:line="240" w:lineRule="auto"/>
              <w:jc w:val="center"/>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 xml:space="preserve">7 </w:t>
            </w:r>
            <w:r w:rsidR="00E80298" w:rsidRPr="00752DCE">
              <w:rPr>
                <w:rFonts w:ascii="Calibri" w:eastAsia="Times New Roman" w:hAnsi="Calibri" w:cs="Calibri"/>
                <w:sz w:val="20"/>
                <w:szCs w:val="20"/>
                <w:lang w:eastAsia="hr-HR"/>
              </w:rPr>
              <w:t>000,00</w:t>
            </w:r>
          </w:p>
        </w:tc>
      </w:tr>
      <w:tr w:rsidR="00E80298" w:rsidRPr="00752DCE" w14:paraId="1F34C329" w14:textId="77777777" w:rsidTr="000967C3">
        <w:trPr>
          <w:trHeight w:val="255"/>
        </w:trPr>
        <w:tc>
          <w:tcPr>
            <w:tcW w:w="3114" w:type="pct"/>
            <w:tcBorders>
              <w:top w:val="nil"/>
              <w:left w:val="single" w:sz="4" w:space="0" w:color="auto"/>
              <w:bottom w:val="single" w:sz="4" w:space="0" w:color="auto"/>
              <w:right w:val="single" w:sz="4" w:space="0" w:color="auto"/>
            </w:tcBorders>
            <w:shd w:val="clear" w:color="000000" w:fill="D9D9D9"/>
            <w:noWrap/>
            <w:vAlign w:val="bottom"/>
            <w:hideMark/>
          </w:tcPr>
          <w:p w14:paraId="1A4050FE" w14:textId="77777777" w:rsidR="00E80298" w:rsidRPr="00752DCE" w:rsidRDefault="00E80298" w:rsidP="00E92750">
            <w:pPr>
              <w:spacing w:after="0" w:line="240" w:lineRule="auto"/>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Geotermalna energija</w:t>
            </w:r>
          </w:p>
        </w:tc>
        <w:tc>
          <w:tcPr>
            <w:tcW w:w="1886" w:type="pct"/>
            <w:tcBorders>
              <w:top w:val="nil"/>
              <w:left w:val="nil"/>
              <w:bottom w:val="single" w:sz="4" w:space="0" w:color="auto"/>
              <w:right w:val="single" w:sz="4" w:space="0" w:color="auto"/>
            </w:tcBorders>
            <w:shd w:val="clear" w:color="auto" w:fill="auto"/>
            <w:noWrap/>
            <w:vAlign w:val="bottom"/>
            <w:hideMark/>
          </w:tcPr>
          <w:p w14:paraId="2F8B3DFC" w14:textId="4F08B513" w:rsidR="00E80298" w:rsidRPr="00752DCE" w:rsidRDefault="00700909" w:rsidP="00E92750">
            <w:pPr>
              <w:spacing w:after="0" w:line="240" w:lineRule="auto"/>
              <w:jc w:val="center"/>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 xml:space="preserve">7 </w:t>
            </w:r>
            <w:r w:rsidR="00E80298" w:rsidRPr="00752DCE">
              <w:rPr>
                <w:rFonts w:ascii="Calibri" w:eastAsia="Times New Roman" w:hAnsi="Calibri" w:cs="Calibri"/>
                <w:sz w:val="20"/>
                <w:szCs w:val="20"/>
                <w:lang w:eastAsia="hr-HR"/>
              </w:rPr>
              <w:t>600,00</w:t>
            </w:r>
          </w:p>
        </w:tc>
      </w:tr>
      <w:tr w:rsidR="00E80298" w:rsidRPr="00752DCE" w14:paraId="348F17DA" w14:textId="77777777" w:rsidTr="000967C3">
        <w:trPr>
          <w:trHeight w:val="255"/>
        </w:trPr>
        <w:tc>
          <w:tcPr>
            <w:tcW w:w="3114" w:type="pct"/>
            <w:tcBorders>
              <w:top w:val="nil"/>
              <w:left w:val="single" w:sz="4" w:space="0" w:color="auto"/>
              <w:bottom w:val="single" w:sz="4" w:space="0" w:color="auto"/>
              <w:right w:val="single" w:sz="4" w:space="0" w:color="auto"/>
            </w:tcBorders>
            <w:shd w:val="clear" w:color="000000" w:fill="D9D9D9"/>
            <w:noWrap/>
            <w:vAlign w:val="bottom"/>
            <w:hideMark/>
          </w:tcPr>
          <w:p w14:paraId="462FCE17" w14:textId="77777777" w:rsidR="00E80298" w:rsidRPr="00752DCE" w:rsidRDefault="00E80298" w:rsidP="00E92750">
            <w:pPr>
              <w:spacing w:after="0" w:line="240" w:lineRule="auto"/>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Ostala biomasa i otpad</w:t>
            </w:r>
          </w:p>
        </w:tc>
        <w:tc>
          <w:tcPr>
            <w:tcW w:w="1886" w:type="pct"/>
            <w:tcBorders>
              <w:top w:val="single" w:sz="4" w:space="0" w:color="auto"/>
              <w:left w:val="nil"/>
              <w:bottom w:val="single" w:sz="4" w:space="0" w:color="auto"/>
              <w:right w:val="single" w:sz="4" w:space="0" w:color="auto"/>
            </w:tcBorders>
            <w:shd w:val="clear" w:color="000000" w:fill="auto"/>
            <w:noWrap/>
            <w:vAlign w:val="bottom"/>
            <w:hideMark/>
          </w:tcPr>
          <w:p w14:paraId="3DCAA18C" w14:textId="3D76BA39" w:rsidR="00E80298" w:rsidRPr="00752DCE" w:rsidRDefault="00700909" w:rsidP="00E92750">
            <w:pPr>
              <w:spacing w:after="0" w:line="240" w:lineRule="auto"/>
              <w:jc w:val="center"/>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 xml:space="preserve">2 </w:t>
            </w:r>
            <w:r w:rsidR="00E80298" w:rsidRPr="00752DCE">
              <w:rPr>
                <w:rFonts w:ascii="Calibri" w:eastAsia="Times New Roman" w:hAnsi="Calibri" w:cs="Calibri"/>
                <w:sz w:val="20"/>
                <w:szCs w:val="20"/>
                <w:lang w:eastAsia="hr-HR"/>
              </w:rPr>
              <w:t>950,00</w:t>
            </w:r>
          </w:p>
        </w:tc>
      </w:tr>
      <w:tr w:rsidR="00E80298" w:rsidRPr="00752DCE" w14:paraId="43203702" w14:textId="77777777" w:rsidTr="000967C3">
        <w:trPr>
          <w:trHeight w:val="255"/>
        </w:trPr>
        <w:tc>
          <w:tcPr>
            <w:tcW w:w="3114" w:type="pct"/>
            <w:tcBorders>
              <w:top w:val="nil"/>
              <w:left w:val="single" w:sz="4" w:space="0" w:color="auto"/>
              <w:bottom w:val="single" w:sz="4" w:space="0" w:color="auto"/>
              <w:right w:val="single" w:sz="4" w:space="0" w:color="auto"/>
            </w:tcBorders>
            <w:shd w:val="clear" w:color="000000" w:fill="D9D9D9"/>
            <w:noWrap/>
            <w:vAlign w:val="bottom"/>
            <w:hideMark/>
          </w:tcPr>
          <w:p w14:paraId="7092D3AB" w14:textId="77777777" w:rsidR="00E80298" w:rsidRPr="00752DCE" w:rsidRDefault="00E80298" w:rsidP="00E92750">
            <w:pPr>
              <w:spacing w:after="0" w:line="240" w:lineRule="auto"/>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UNP</w:t>
            </w:r>
          </w:p>
        </w:tc>
        <w:tc>
          <w:tcPr>
            <w:tcW w:w="1886" w:type="pct"/>
            <w:tcBorders>
              <w:top w:val="single" w:sz="4" w:space="0" w:color="auto"/>
              <w:left w:val="nil"/>
              <w:bottom w:val="single" w:sz="4" w:space="0" w:color="auto"/>
              <w:right w:val="single" w:sz="4" w:space="0" w:color="auto"/>
            </w:tcBorders>
            <w:shd w:val="clear" w:color="000000" w:fill="auto"/>
            <w:noWrap/>
            <w:vAlign w:val="bottom"/>
            <w:hideMark/>
          </w:tcPr>
          <w:p w14:paraId="269C6F0E" w14:textId="44896DE7" w:rsidR="00E80298" w:rsidRPr="00752DCE" w:rsidRDefault="00700909" w:rsidP="00E92750">
            <w:pPr>
              <w:spacing w:after="0" w:line="240" w:lineRule="auto"/>
              <w:jc w:val="center"/>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 xml:space="preserve">40 </w:t>
            </w:r>
            <w:r w:rsidR="00E80298" w:rsidRPr="00752DCE">
              <w:rPr>
                <w:rFonts w:ascii="Calibri" w:eastAsia="Times New Roman" w:hAnsi="Calibri" w:cs="Calibri"/>
                <w:sz w:val="20"/>
                <w:szCs w:val="20"/>
                <w:lang w:eastAsia="hr-HR"/>
              </w:rPr>
              <w:t>000,00</w:t>
            </w:r>
          </w:p>
        </w:tc>
      </w:tr>
      <w:tr w:rsidR="00E80298" w:rsidRPr="00752DCE" w14:paraId="78BDE3E2" w14:textId="77777777" w:rsidTr="000967C3">
        <w:trPr>
          <w:trHeight w:val="255"/>
        </w:trPr>
        <w:tc>
          <w:tcPr>
            <w:tcW w:w="3114" w:type="pct"/>
            <w:tcBorders>
              <w:top w:val="nil"/>
              <w:left w:val="single" w:sz="4" w:space="0" w:color="auto"/>
              <w:bottom w:val="single" w:sz="4" w:space="0" w:color="auto"/>
              <w:right w:val="single" w:sz="4" w:space="0" w:color="auto"/>
            </w:tcBorders>
            <w:shd w:val="clear" w:color="000000" w:fill="D9D9D9"/>
            <w:noWrap/>
            <w:vAlign w:val="bottom"/>
            <w:hideMark/>
          </w:tcPr>
          <w:p w14:paraId="45EB23BD" w14:textId="77777777" w:rsidR="00E80298" w:rsidRPr="00752DCE" w:rsidRDefault="00E80298" w:rsidP="00E92750">
            <w:pPr>
              <w:spacing w:after="0" w:line="240" w:lineRule="auto"/>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Ekstra lako loživo ulje</w:t>
            </w:r>
          </w:p>
        </w:tc>
        <w:tc>
          <w:tcPr>
            <w:tcW w:w="1886" w:type="pct"/>
            <w:tcBorders>
              <w:top w:val="nil"/>
              <w:left w:val="nil"/>
              <w:bottom w:val="single" w:sz="4" w:space="0" w:color="auto"/>
              <w:right w:val="single" w:sz="4" w:space="0" w:color="auto"/>
            </w:tcBorders>
            <w:shd w:val="clear" w:color="auto" w:fill="auto"/>
            <w:noWrap/>
            <w:vAlign w:val="bottom"/>
            <w:hideMark/>
          </w:tcPr>
          <w:p w14:paraId="22A472C8" w14:textId="1C44ADBD" w:rsidR="00E80298" w:rsidRPr="00752DCE" w:rsidRDefault="00700909" w:rsidP="00E92750">
            <w:pPr>
              <w:spacing w:after="0" w:line="240" w:lineRule="auto"/>
              <w:jc w:val="center"/>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 xml:space="preserve">136 </w:t>
            </w:r>
            <w:r w:rsidR="00E80298" w:rsidRPr="00752DCE">
              <w:rPr>
                <w:rFonts w:ascii="Calibri" w:eastAsia="Times New Roman" w:hAnsi="Calibri" w:cs="Calibri"/>
                <w:sz w:val="20"/>
                <w:szCs w:val="20"/>
                <w:lang w:eastAsia="hr-HR"/>
              </w:rPr>
              <w:t>800,00</w:t>
            </w:r>
          </w:p>
        </w:tc>
      </w:tr>
      <w:tr w:rsidR="00E80298" w:rsidRPr="00752DCE" w14:paraId="42EE5C3F" w14:textId="77777777" w:rsidTr="000967C3">
        <w:trPr>
          <w:trHeight w:val="255"/>
        </w:trPr>
        <w:tc>
          <w:tcPr>
            <w:tcW w:w="3114" w:type="pct"/>
            <w:tcBorders>
              <w:top w:val="nil"/>
              <w:left w:val="single" w:sz="4" w:space="0" w:color="auto"/>
              <w:bottom w:val="single" w:sz="4" w:space="0" w:color="auto"/>
              <w:right w:val="single" w:sz="4" w:space="0" w:color="auto"/>
            </w:tcBorders>
            <w:shd w:val="clear" w:color="000000" w:fill="D9D9D9"/>
            <w:noWrap/>
            <w:vAlign w:val="bottom"/>
            <w:hideMark/>
          </w:tcPr>
          <w:p w14:paraId="27DC4412" w14:textId="77777777" w:rsidR="00E80298" w:rsidRPr="00752DCE" w:rsidRDefault="00E80298" w:rsidP="00E92750">
            <w:pPr>
              <w:spacing w:after="0" w:line="240" w:lineRule="auto"/>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Loživo ulje</w:t>
            </w:r>
          </w:p>
        </w:tc>
        <w:tc>
          <w:tcPr>
            <w:tcW w:w="1886" w:type="pct"/>
            <w:tcBorders>
              <w:top w:val="nil"/>
              <w:left w:val="nil"/>
              <w:bottom w:val="single" w:sz="4" w:space="0" w:color="auto"/>
              <w:right w:val="single" w:sz="4" w:space="0" w:color="auto"/>
            </w:tcBorders>
            <w:shd w:val="clear" w:color="auto" w:fill="auto"/>
            <w:noWrap/>
            <w:vAlign w:val="bottom"/>
            <w:hideMark/>
          </w:tcPr>
          <w:p w14:paraId="011326B7" w14:textId="1AAB0292" w:rsidR="00E80298" w:rsidRPr="00752DCE" w:rsidRDefault="00700909" w:rsidP="00E92750">
            <w:pPr>
              <w:spacing w:after="0" w:line="240" w:lineRule="auto"/>
              <w:jc w:val="center"/>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 xml:space="preserve">11 </w:t>
            </w:r>
            <w:r w:rsidR="00E80298" w:rsidRPr="00752DCE">
              <w:rPr>
                <w:rFonts w:ascii="Calibri" w:eastAsia="Times New Roman" w:hAnsi="Calibri" w:cs="Calibri"/>
                <w:sz w:val="20"/>
                <w:szCs w:val="20"/>
                <w:lang w:eastAsia="hr-HR"/>
              </w:rPr>
              <w:t>000,00</w:t>
            </w:r>
          </w:p>
        </w:tc>
      </w:tr>
      <w:tr w:rsidR="00E80298" w:rsidRPr="00752DCE" w14:paraId="39F8AEA6" w14:textId="77777777" w:rsidTr="000967C3">
        <w:trPr>
          <w:trHeight w:val="255"/>
        </w:trPr>
        <w:tc>
          <w:tcPr>
            <w:tcW w:w="3114" w:type="pct"/>
            <w:tcBorders>
              <w:top w:val="nil"/>
              <w:left w:val="single" w:sz="4" w:space="0" w:color="auto"/>
              <w:bottom w:val="single" w:sz="4" w:space="0" w:color="auto"/>
              <w:right w:val="single" w:sz="4" w:space="0" w:color="auto"/>
            </w:tcBorders>
            <w:shd w:val="clear" w:color="000000" w:fill="D9D9D9"/>
            <w:noWrap/>
            <w:vAlign w:val="bottom"/>
            <w:hideMark/>
          </w:tcPr>
          <w:p w14:paraId="4D55AE1C" w14:textId="77777777" w:rsidR="00E80298" w:rsidRPr="00752DCE" w:rsidRDefault="00E80298" w:rsidP="00E92750">
            <w:pPr>
              <w:spacing w:after="0" w:line="240" w:lineRule="auto"/>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Električna energija</w:t>
            </w:r>
          </w:p>
        </w:tc>
        <w:tc>
          <w:tcPr>
            <w:tcW w:w="1886" w:type="pct"/>
            <w:tcBorders>
              <w:top w:val="nil"/>
              <w:left w:val="nil"/>
              <w:bottom w:val="single" w:sz="4" w:space="0" w:color="auto"/>
              <w:right w:val="single" w:sz="4" w:space="0" w:color="auto"/>
            </w:tcBorders>
            <w:shd w:val="clear" w:color="auto" w:fill="auto"/>
            <w:noWrap/>
            <w:vAlign w:val="bottom"/>
            <w:hideMark/>
          </w:tcPr>
          <w:p w14:paraId="69D2931D" w14:textId="3EE12399" w:rsidR="00E80298" w:rsidRPr="00752DCE" w:rsidRDefault="00700909" w:rsidP="00E92750">
            <w:pPr>
              <w:spacing w:after="0" w:line="240" w:lineRule="auto"/>
              <w:jc w:val="center"/>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 xml:space="preserve">778 </w:t>
            </w:r>
            <w:r w:rsidR="00E80298" w:rsidRPr="00752DCE">
              <w:rPr>
                <w:rFonts w:ascii="Calibri" w:eastAsia="Times New Roman" w:hAnsi="Calibri" w:cs="Calibri"/>
                <w:sz w:val="20"/>
                <w:szCs w:val="20"/>
                <w:lang w:eastAsia="hr-HR"/>
              </w:rPr>
              <w:t>344,45</w:t>
            </w:r>
          </w:p>
        </w:tc>
      </w:tr>
      <w:tr w:rsidR="00E80298" w:rsidRPr="00752DCE" w14:paraId="2C9D3FF4" w14:textId="77777777" w:rsidTr="000967C3">
        <w:trPr>
          <w:trHeight w:val="255"/>
        </w:trPr>
        <w:tc>
          <w:tcPr>
            <w:tcW w:w="3114" w:type="pct"/>
            <w:tcBorders>
              <w:top w:val="nil"/>
              <w:left w:val="single" w:sz="4" w:space="0" w:color="auto"/>
              <w:bottom w:val="single" w:sz="4" w:space="0" w:color="auto"/>
              <w:right w:val="single" w:sz="4" w:space="0" w:color="auto"/>
            </w:tcBorders>
            <w:shd w:val="clear" w:color="000000" w:fill="D9D9D9"/>
            <w:noWrap/>
            <w:vAlign w:val="bottom"/>
            <w:hideMark/>
          </w:tcPr>
          <w:p w14:paraId="1450E282" w14:textId="77777777" w:rsidR="00E80298" w:rsidRPr="00752DCE" w:rsidRDefault="00E80298" w:rsidP="00E92750">
            <w:pPr>
              <w:spacing w:after="0" w:line="240" w:lineRule="auto"/>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Para i vrela voda</w:t>
            </w:r>
          </w:p>
        </w:tc>
        <w:tc>
          <w:tcPr>
            <w:tcW w:w="1886" w:type="pct"/>
            <w:tcBorders>
              <w:top w:val="nil"/>
              <w:left w:val="nil"/>
              <w:bottom w:val="single" w:sz="4" w:space="0" w:color="auto"/>
              <w:right w:val="single" w:sz="4" w:space="0" w:color="auto"/>
            </w:tcBorders>
            <w:shd w:val="clear" w:color="auto" w:fill="auto"/>
            <w:noWrap/>
            <w:vAlign w:val="bottom"/>
            <w:hideMark/>
          </w:tcPr>
          <w:p w14:paraId="1FD1029F" w14:textId="4355C430" w:rsidR="00E80298" w:rsidRPr="00752DCE" w:rsidRDefault="00700909" w:rsidP="00E92750">
            <w:pPr>
              <w:spacing w:after="0" w:line="240" w:lineRule="auto"/>
              <w:jc w:val="center"/>
              <w:rPr>
                <w:rFonts w:ascii="Calibri" w:eastAsia="Times New Roman" w:hAnsi="Calibri" w:cs="Calibri"/>
                <w:sz w:val="20"/>
                <w:szCs w:val="20"/>
                <w:lang w:eastAsia="hr-HR"/>
              </w:rPr>
            </w:pPr>
            <w:r w:rsidRPr="00752DCE">
              <w:rPr>
                <w:rFonts w:ascii="Calibri" w:eastAsia="Times New Roman" w:hAnsi="Calibri" w:cs="Calibri"/>
                <w:sz w:val="20"/>
                <w:szCs w:val="20"/>
                <w:lang w:eastAsia="hr-HR"/>
              </w:rPr>
              <w:t xml:space="preserve">573 </w:t>
            </w:r>
            <w:r w:rsidR="00E80298" w:rsidRPr="00752DCE">
              <w:rPr>
                <w:rFonts w:ascii="Calibri" w:eastAsia="Times New Roman" w:hAnsi="Calibri" w:cs="Calibri"/>
                <w:sz w:val="20"/>
                <w:szCs w:val="20"/>
                <w:lang w:eastAsia="hr-HR"/>
              </w:rPr>
              <w:t>428,85</w:t>
            </w:r>
          </w:p>
        </w:tc>
      </w:tr>
      <w:tr w:rsidR="00E80298" w:rsidRPr="00752DCE" w14:paraId="59D9A279" w14:textId="77777777" w:rsidTr="00FB28FD">
        <w:trPr>
          <w:trHeight w:val="255"/>
        </w:trPr>
        <w:tc>
          <w:tcPr>
            <w:tcW w:w="3114" w:type="pct"/>
            <w:tcBorders>
              <w:top w:val="nil"/>
              <w:left w:val="single" w:sz="4" w:space="0" w:color="auto"/>
              <w:bottom w:val="single" w:sz="4" w:space="0" w:color="auto"/>
              <w:right w:val="single" w:sz="4" w:space="0" w:color="auto"/>
            </w:tcBorders>
            <w:shd w:val="clear" w:color="000000" w:fill="D9D9D9"/>
            <w:noWrap/>
            <w:vAlign w:val="bottom"/>
            <w:hideMark/>
          </w:tcPr>
          <w:p w14:paraId="27AB32CF" w14:textId="77777777" w:rsidR="00E80298" w:rsidRPr="00752DCE" w:rsidRDefault="00E80298" w:rsidP="00E92750">
            <w:pPr>
              <w:spacing w:after="0" w:line="240" w:lineRule="auto"/>
              <w:rPr>
                <w:rFonts w:ascii="Calibri" w:eastAsia="Times New Roman" w:hAnsi="Calibri" w:cs="Calibri"/>
                <w:b/>
                <w:bCs/>
                <w:sz w:val="20"/>
                <w:szCs w:val="20"/>
                <w:lang w:eastAsia="hr-HR"/>
              </w:rPr>
            </w:pPr>
            <w:r w:rsidRPr="00752DCE">
              <w:rPr>
                <w:rFonts w:ascii="Calibri" w:eastAsia="Times New Roman" w:hAnsi="Calibri" w:cs="Calibri"/>
                <w:b/>
                <w:bCs/>
                <w:sz w:val="20"/>
                <w:szCs w:val="20"/>
                <w:lang w:eastAsia="hr-HR"/>
              </w:rPr>
              <w:t>UKUPNO</w:t>
            </w:r>
          </w:p>
        </w:tc>
        <w:tc>
          <w:tcPr>
            <w:tcW w:w="1886" w:type="pct"/>
            <w:tcBorders>
              <w:top w:val="nil"/>
              <w:left w:val="nil"/>
              <w:bottom w:val="single" w:sz="4" w:space="0" w:color="auto"/>
              <w:right w:val="single" w:sz="4" w:space="0" w:color="auto"/>
            </w:tcBorders>
            <w:shd w:val="clear" w:color="auto" w:fill="D9D9D9" w:themeFill="background1" w:themeFillShade="D9"/>
            <w:noWrap/>
            <w:vAlign w:val="bottom"/>
            <w:hideMark/>
          </w:tcPr>
          <w:p w14:paraId="2C926DA0" w14:textId="28DA9E54" w:rsidR="00E80298" w:rsidRPr="00752DCE" w:rsidRDefault="00700909" w:rsidP="00E92750">
            <w:pPr>
              <w:spacing w:after="0" w:line="240" w:lineRule="auto"/>
              <w:jc w:val="center"/>
              <w:rPr>
                <w:rFonts w:ascii="Calibri" w:eastAsia="Times New Roman" w:hAnsi="Calibri" w:cs="Calibri"/>
                <w:b/>
                <w:bCs/>
                <w:sz w:val="20"/>
                <w:szCs w:val="20"/>
                <w:lang w:eastAsia="hr-HR"/>
              </w:rPr>
            </w:pPr>
            <w:r w:rsidRPr="00752DCE">
              <w:rPr>
                <w:rFonts w:ascii="Calibri" w:eastAsia="Times New Roman" w:hAnsi="Calibri" w:cs="Calibri"/>
                <w:b/>
                <w:bCs/>
                <w:sz w:val="20"/>
                <w:szCs w:val="20"/>
                <w:lang w:eastAsia="hr-HR"/>
              </w:rPr>
              <w:t xml:space="preserve">2 271 </w:t>
            </w:r>
            <w:r w:rsidR="00E80298" w:rsidRPr="00752DCE">
              <w:rPr>
                <w:rFonts w:ascii="Calibri" w:eastAsia="Times New Roman" w:hAnsi="Calibri" w:cs="Calibri"/>
                <w:b/>
                <w:bCs/>
                <w:sz w:val="20"/>
                <w:szCs w:val="20"/>
                <w:lang w:eastAsia="hr-HR"/>
              </w:rPr>
              <w:t>735,97</w:t>
            </w:r>
          </w:p>
        </w:tc>
      </w:tr>
    </w:tbl>
    <w:p w14:paraId="5E4AAD0B" w14:textId="4A3E2088" w:rsidR="009F5FEB" w:rsidRPr="00752DCE" w:rsidRDefault="009F5FEB" w:rsidP="00E92750">
      <w:pPr>
        <w:spacing w:before="240" w:line="240" w:lineRule="auto"/>
        <w:jc w:val="both"/>
      </w:pPr>
      <w:r w:rsidRPr="00752DCE">
        <w:t>Uku</w:t>
      </w:r>
      <w:r w:rsidR="00E87268" w:rsidRPr="00752DCE">
        <w:t>pna potrošnja energije u komercijalnom i uslužnom podsektoru</w:t>
      </w:r>
      <w:r w:rsidRPr="00752DCE">
        <w:t xml:space="preserve"> Grada Zagreba u 2015. godini iznosila je </w:t>
      </w:r>
      <w:r w:rsidR="00752DCE" w:rsidRPr="00752DCE">
        <w:t>2 271 736</w:t>
      </w:r>
      <w:r w:rsidRPr="00752DCE">
        <w:t xml:space="preserve"> MWh.</w:t>
      </w:r>
    </w:p>
    <w:p w14:paraId="71DD735B" w14:textId="21C1530D" w:rsidR="009F5FEB" w:rsidRPr="00752DCE" w:rsidRDefault="009F5FEB" w:rsidP="00E92750">
      <w:pPr>
        <w:spacing w:before="240" w:line="240" w:lineRule="auto"/>
        <w:jc w:val="both"/>
      </w:pPr>
      <w:r w:rsidRPr="00752DCE">
        <w:t xml:space="preserve">Ukupna potrošnja toplinske energije </w:t>
      </w:r>
      <w:r w:rsidR="00E87268" w:rsidRPr="00752DCE">
        <w:t>u komercijalnom</w:t>
      </w:r>
      <w:r w:rsidR="000967C3" w:rsidRPr="00752DCE">
        <w:t xml:space="preserve"> </w:t>
      </w:r>
      <w:r w:rsidR="00E87268" w:rsidRPr="00752DCE">
        <w:t>i uslužnom podsektoru</w:t>
      </w:r>
      <w:r w:rsidRPr="00752DCE">
        <w:t xml:space="preserve"> u 2015. godini iznosila je </w:t>
      </w:r>
      <w:r w:rsidR="00292AA8" w:rsidRPr="00752DCE">
        <w:t xml:space="preserve">1 773 </w:t>
      </w:r>
      <w:r w:rsidR="00752DCE" w:rsidRPr="00752DCE">
        <w:t>596</w:t>
      </w:r>
      <w:r w:rsidR="000967C3" w:rsidRPr="00752DCE">
        <w:t xml:space="preserve"> </w:t>
      </w:r>
      <w:r w:rsidRPr="00752DCE">
        <w:t>MWh, što daje specifičnu kor</w:t>
      </w:r>
      <w:r w:rsidR="000967C3" w:rsidRPr="00752DCE">
        <w:t xml:space="preserve">isnu energiju za grijanje od 170,90 </w:t>
      </w:r>
      <w:r w:rsidRPr="00752DCE">
        <w:t>kWh/m</w:t>
      </w:r>
      <w:r w:rsidRPr="00752DCE">
        <w:rPr>
          <w:vertAlign w:val="superscript"/>
        </w:rPr>
        <w:t>2</w:t>
      </w:r>
      <w:r w:rsidRPr="00752DCE">
        <w:t>.</w:t>
      </w:r>
    </w:p>
    <w:p w14:paraId="64F1C008" w14:textId="36CC5A43" w:rsidR="009F5FEB" w:rsidRPr="009C6911" w:rsidRDefault="009F5FEB" w:rsidP="00E92750">
      <w:pPr>
        <w:suppressAutoHyphens/>
        <w:autoSpaceDN w:val="0"/>
        <w:spacing w:line="240" w:lineRule="auto"/>
        <w:jc w:val="both"/>
        <w:textAlignment w:val="baseline"/>
        <w:rPr>
          <w:rFonts w:ascii="Calibri" w:eastAsia="Calibri" w:hAnsi="Calibri" w:cs="Times New Roman"/>
          <w:shd w:val="clear" w:color="auto" w:fill="FFFF00"/>
        </w:rPr>
      </w:pPr>
      <w:r w:rsidRPr="009C6911">
        <w:lastRenderedPageBreak/>
        <w:t xml:space="preserve">Prikaz zastupljenosti pojedinih energenata u ukupnoj potrošnji energije u </w:t>
      </w:r>
      <w:r w:rsidR="00E87268" w:rsidRPr="009C6911">
        <w:t>komercijalnom i uslužnom</w:t>
      </w:r>
      <w:r w:rsidRPr="009C6911">
        <w:t xml:space="preserve"> podsektoru Grada Zagreba u 2015. godini dan je na</w:t>
      </w:r>
      <w:r w:rsidR="000967C3" w:rsidRPr="009C6911">
        <w:t xml:space="preserve"> </w:t>
      </w:r>
      <w:r w:rsidR="000967C3" w:rsidRPr="009C6911">
        <w:rPr>
          <w:rFonts w:ascii="Calibri" w:eastAsia="Calibri" w:hAnsi="Calibri" w:cs="Times New Roman"/>
          <w:shd w:val="clear" w:color="auto" w:fill="FFFF00"/>
        </w:rPr>
        <w:fldChar w:fldCharType="begin"/>
      </w:r>
      <w:r w:rsidR="000967C3" w:rsidRPr="009C6911">
        <w:rPr>
          <w:rFonts w:ascii="Calibri" w:eastAsia="Calibri" w:hAnsi="Calibri" w:cs="Times New Roman"/>
          <w:shd w:val="clear" w:color="auto" w:fill="FFFF00"/>
        </w:rPr>
        <w:instrText xml:space="preserve"> REF _Ref465250905 \h  \* MERGEFORMAT </w:instrText>
      </w:r>
      <w:r w:rsidR="000967C3" w:rsidRPr="009C6911">
        <w:rPr>
          <w:rFonts w:ascii="Calibri" w:eastAsia="Calibri" w:hAnsi="Calibri" w:cs="Times New Roman"/>
          <w:shd w:val="clear" w:color="auto" w:fill="FFFF00"/>
        </w:rPr>
      </w:r>
      <w:r w:rsidR="000967C3" w:rsidRPr="009C6911">
        <w:rPr>
          <w:rFonts w:ascii="Calibri" w:eastAsia="Calibri" w:hAnsi="Calibri" w:cs="Times New Roman"/>
          <w:shd w:val="clear" w:color="auto" w:fill="FFFF00"/>
        </w:rPr>
        <w:fldChar w:fldCharType="separate"/>
      </w:r>
      <w:r w:rsidR="00BD7A7C">
        <w:rPr>
          <w:b/>
        </w:rPr>
        <w:t>Slici</w:t>
      </w:r>
      <w:r w:rsidR="009C319B" w:rsidRPr="009C6911">
        <w:rPr>
          <w:b/>
        </w:rPr>
        <w:t xml:space="preserve"> </w:t>
      </w:r>
      <w:r w:rsidR="009C319B">
        <w:rPr>
          <w:b/>
          <w:noProof/>
        </w:rPr>
        <w:t>4</w:t>
      </w:r>
      <w:r w:rsidR="009C319B" w:rsidRPr="009C6911">
        <w:rPr>
          <w:b/>
          <w:noProof/>
        </w:rPr>
        <w:t>.</w:t>
      </w:r>
      <w:r w:rsidR="009C319B">
        <w:rPr>
          <w:b/>
          <w:noProof/>
        </w:rPr>
        <w:t>27</w:t>
      </w:r>
      <w:r w:rsidR="000967C3" w:rsidRPr="009C6911">
        <w:rPr>
          <w:rFonts w:ascii="Calibri" w:eastAsia="Calibri" w:hAnsi="Calibri" w:cs="Times New Roman"/>
          <w:shd w:val="clear" w:color="auto" w:fill="FFFF00"/>
        </w:rPr>
        <w:fldChar w:fldCharType="end"/>
      </w:r>
      <w:r w:rsidRPr="009C6911">
        <w:t>.</w:t>
      </w:r>
    </w:p>
    <w:p w14:paraId="2960E001" w14:textId="1B5CF207" w:rsidR="009F5FEB" w:rsidRPr="009C6911" w:rsidRDefault="0078225E" w:rsidP="00E92750">
      <w:pPr>
        <w:suppressAutoHyphens/>
        <w:autoSpaceDN w:val="0"/>
        <w:spacing w:after="0" w:line="240" w:lineRule="auto"/>
        <w:jc w:val="center"/>
        <w:textAlignment w:val="baseline"/>
        <w:rPr>
          <w:noProof/>
          <w:lang w:eastAsia="hr-HR"/>
        </w:rPr>
      </w:pPr>
      <w:r w:rsidRPr="009C6911">
        <w:rPr>
          <w:noProof/>
          <w:lang w:eastAsia="hr-HR"/>
        </w:rPr>
        <w:drawing>
          <wp:inline distT="0" distB="0" distL="0" distR="0" wp14:anchorId="57BDA945" wp14:editId="1BD1EAF4">
            <wp:extent cx="4657725" cy="3228975"/>
            <wp:effectExtent l="0" t="0" r="0" b="0"/>
            <wp:docPr id="136" name="Chart 136">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7E4BD3" w14:textId="38DE4226" w:rsidR="009F5FEB" w:rsidRPr="009C6911" w:rsidRDefault="009F5FEB" w:rsidP="00E92750">
      <w:pPr>
        <w:spacing w:line="240" w:lineRule="auto"/>
        <w:jc w:val="center"/>
        <w:rPr>
          <w:shd w:val="clear" w:color="auto" w:fill="FFFF00"/>
        </w:rPr>
      </w:pPr>
      <w:bookmarkStart w:id="136" w:name="_Ref465250905"/>
      <w:bookmarkStart w:id="137" w:name="_Toc468277431"/>
      <w:r w:rsidRPr="009C6911">
        <w:rPr>
          <w:b/>
        </w:rPr>
        <w:t xml:space="preserve">Slika </w:t>
      </w:r>
      <w:r w:rsidRPr="009C6911">
        <w:rPr>
          <w:b/>
        </w:rPr>
        <w:fldChar w:fldCharType="begin"/>
      </w:r>
      <w:r w:rsidRPr="009C6911">
        <w:rPr>
          <w:b/>
        </w:rPr>
        <w:instrText xml:space="preserve"> STYLEREF 1 \s </w:instrText>
      </w:r>
      <w:r w:rsidRPr="009C6911">
        <w:rPr>
          <w:b/>
        </w:rPr>
        <w:fldChar w:fldCharType="separate"/>
      </w:r>
      <w:r w:rsidR="009C319B">
        <w:rPr>
          <w:b/>
          <w:noProof/>
        </w:rPr>
        <w:t>4</w:t>
      </w:r>
      <w:r w:rsidRPr="009C6911">
        <w:rPr>
          <w:b/>
          <w:noProof/>
        </w:rPr>
        <w:fldChar w:fldCharType="end"/>
      </w:r>
      <w:r w:rsidRPr="009C6911">
        <w:rPr>
          <w:b/>
        </w:rPr>
        <w:t>.</w:t>
      </w:r>
      <w:r w:rsidRPr="009C6911">
        <w:rPr>
          <w:b/>
        </w:rPr>
        <w:fldChar w:fldCharType="begin"/>
      </w:r>
      <w:r w:rsidRPr="009C6911">
        <w:rPr>
          <w:b/>
        </w:rPr>
        <w:instrText xml:space="preserve"> SEQ Slika \* ARABIC \s 1 </w:instrText>
      </w:r>
      <w:r w:rsidRPr="009C6911">
        <w:rPr>
          <w:b/>
        </w:rPr>
        <w:fldChar w:fldCharType="separate"/>
      </w:r>
      <w:r w:rsidR="009C319B">
        <w:rPr>
          <w:b/>
          <w:noProof/>
        </w:rPr>
        <w:t>27</w:t>
      </w:r>
      <w:r w:rsidRPr="009C6911">
        <w:rPr>
          <w:b/>
          <w:noProof/>
        </w:rPr>
        <w:fldChar w:fldCharType="end"/>
      </w:r>
      <w:bookmarkEnd w:id="136"/>
      <w:r w:rsidRPr="009C6911">
        <w:t xml:space="preserve"> Udio</w:t>
      </w:r>
      <w:r w:rsidR="0078225E" w:rsidRPr="009C6911">
        <w:t xml:space="preserve"> pojedinih energenta u ukupnoj potrošnji energije</w:t>
      </w:r>
      <w:r w:rsidRPr="009C6911">
        <w:t xml:space="preserve"> u </w:t>
      </w:r>
      <w:r w:rsidR="00E87268" w:rsidRPr="009C6911">
        <w:t>komercijalnom i uslužnom</w:t>
      </w:r>
      <w:r w:rsidRPr="009C6911">
        <w:t xml:space="preserve"> podsektoru Grada Zagreba</w:t>
      </w:r>
      <w:r w:rsidR="000967C3" w:rsidRPr="009C6911">
        <w:t xml:space="preserve"> u 2015.</w:t>
      </w:r>
      <w:bookmarkEnd w:id="137"/>
    </w:p>
    <w:p w14:paraId="7C2F9FBC" w14:textId="0AA23983" w:rsidR="009F5FEB" w:rsidRPr="009C6911" w:rsidRDefault="009F5FEB" w:rsidP="00E92750">
      <w:pPr>
        <w:spacing w:line="240" w:lineRule="auto"/>
        <w:jc w:val="both"/>
      </w:pPr>
      <w:r w:rsidRPr="009C6911">
        <w:t>Gledajući udio pojedinih en</w:t>
      </w:r>
      <w:r w:rsidR="000967C3" w:rsidRPr="009C6911">
        <w:t xml:space="preserve">ergenata, </w:t>
      </w:r>
      <w:r w:rsidRPr="009C6911">
        <w:t>električna energija</w:t>
      </w:r>
      <w:r w:rsidR="000967C3" w:rsidRPr="009C6911">
        <w:t xml:space="preserve"> i prirodni plin imaju najveći udio, odnosno 34,</w:t>
      </w:r>
      <w:r w:rsidRPr="009C6911">
        <w:t>2</w:t>
      </w:r>
      <w:r w:rsidR="000967C3" w:rsidRPr="009C6911">
        <w:t>6% i 31,</w:t>
      </w:r>
      <w:r w:rsidRPr="009C6911">
        <w:t>4</w:t>
      </w:r>
      <w:r w:rsidR="000967C3" w:rsidRPr="009C6911">
        <w:t>6</w:t>
      </w:r>
      <w:r w:rsidRPr="009C6911">
        <w:t>%.</w:t>
      </w:r>
    </w:p>
    <w:p w14:paraId="0C851888" w14:textId="77777777" w:rsidR="000967C3" w:rsidRPr="007C7920" w:rsidRDefault="000967C3" w:rsidP="00E92750">
      <w:pPr>
        <w:spacing w:line="240" w:lineRule="auto"/>
        <w:jc w:val="both"/>
        <w:rPr>
          <w:highlight w:val="yellow"/>
        </w:rPr>
      </w:pPr>
    </w:p>
    <w:p w14:paraId="690AC6E3" w14:textId="77777777" w:rsidR="000967C3" w:rsidRPr="007C7920" w:rsidRDefault="000967C3" w:rsidP="00E92750">
      <w:pPr>
        <w:spacing w:line="240" w:lineRule="auto"/>
        <w:jc w:val="both"/>
        <w:rPr>
          <w:highlight w:val="yellow"/>
        </w:rPr>
      </w:pPr>
    </w:p>
    <w:p w14:paraId="5D7CD61E" w14:textId="77777777" w:rsidR="000967C3" w:rsidRPr="007C7920" w:rsidRDefault="000967C3" w:rsidP="00E92750">
      <w:pPr>
        <w:spacing w:line="240" w:lineRule="auto"/>
        <w:jc w:val="both"/>
        <w:rPr>
          <w:highlight w:val="yellow"/>
        </w:rPr>
      </w:pPr>
    </w:p>
    <w:p w14:paraId="192F2D12" w14:textId="77777777" w:rsidR="000967C3" w:rsidRPr="007C7920" w:rsidRDefault="000967C3" w:rsidP="00E92750">
      <w:pPr>
        <w:spacing w:line="240" w:lineRule="auto"/>
        <w:jc w:val="both"/>
        <w:rPr>
          <w:highlight w:val="yellow"/>
        </w:rPr>
      </w:pPr>
    </w:p>
    <w:p w14:paraId="41E0BBCB" w14:textId="77777777" w:rsidR="000967C3" w:rsidRPr="007C7920" w:rsidRDefault="000967C3" w:rsidP="00E92750">
      <w:pPr>
        <w:spacing w:line="240" w:lineRule="auto"/>
        <w:jc w:val="both"/>
        <w:rPr>
          <w:highlight w:val="yellow"/>
        </w:rPr>
      </w:pPr>
    </w:p>
    <w:p w14:paraId="659133AF" w14:textId="77777777" w:rsidR="000967C3" w:rsidRPr="007C7920" w:rsidRDefault="000967C3" w:rsidP="00E92750">
      <w:pPr>
        <w:spacing w:line="240" w:lineRule="auto"/>
        <w:jc w:val="both"/>
        <w:rPr>
          <w:highlight w:val="yellow"/>
        </w:rPr>
      </w:pPr>
    </w:p>
    <w:p w14:paraId="0E78B1B8" w14:textId="77777777" w:rsidR="000967C3" w:rsidRPr="007C7920" w:rsidRDefault="000967C3" w:rsidP="00E92750">
      <w:pPr>
        <w:spacing w:line="240" w:lineRule="auto"/>
        <w:jc w:val="both"/>
        <w:rPr>
          <w:highlight w:val="yellow"/>
        </w:rPr>
      </w:pPr>
    </w:p>
    <w:p w14:paraId="47469DF6" w14:textId="77777777" w:rsidR="000967C3" w:rsidRPr="007C7920" w:rsidRDefault="000967C3" w:rsidP="00E92750">
      <w:pPr>
        <w:spacing w:line="240" w:lineRule="auto"/>
        <w:jc w:val="both"/>
        <w:rPr>
          <w:highlight w:val="yellow"/>
        </w:rPr>
      </w:pPr>
    </w:p>
    <w:p w14:paraId="144AB8F5" w14:textId="77777777" w:rsidR="0035619D" w:rsidRPr="007C7920" w:rsidRDefault="0035619D" w:rsidP="00E92750">
      <w:pPr>
        <w:spacing w:line="240" w:lineRule="auto"/>
        <w:jc w:val="both"/>
        <w:rPr>
          <w:highlight w:val="yellow"/>
        </w:rPr>
      </w:pPr>
    </w:p>
    <w:p w14:paraId="11A65D4F" w14:textId="77777777" w:rsidR="0035619D" w:rsidRPr="007C7920" w:rsidRDefault="0035619D" w:rsidP="00E92750">
      <w:pPr>
        <w:spacing w:line="240" w:lineRule="auto"/>
        <w:jc w:val="both"/>
        <w:rPr>
          <w:highlight w:val="yellow"/>
        </w:rPr>
      </w:pPr>
    </w:p>
    <w:p w14:paraId="7B26B018" w14:textId="77777777" w:rsidR="000967C3" w:rsidRPr="007C7920" w:rsidRDefault="000967C3" w:rsidP="00E92750">
      <w:pPr>
        <w:spacing w:line="240" w:lineRule="auto"/>
        <w:jc w:val="both"/>
        <w:rPr>
          <w:highlight w:val="yellow"/>
        </w:rPr>
      </w:pPr>
    </w:p>
    <w:p w14:paraId="163E7EBC" w14:textId="77777777" w:rsidR="000967C3" w:rsidRPr="007C7920" w:rsidRDefault="000967C3" w:rsidP="00E92750">
      <w:pPr>
        <w:spacing w:line="240" w:lineRule="auto"/>
        <w:jc w:val="both"/>
        <w:rPr>
          <w:highlight w:val="yellow"/>
        </w:rPr>
      </w:pPr>
    </w:p>
    <w:p w14:paraId="3ED6200B" w14:textId="64F544FB" w:rsidR="00126439" w:rsidRDefault="00AB549F" w:rsidP="00E92750">
      <w:pPr>
        <w:pStyle w:val="Heading2"/>
        <w:spacing w:after="240"/>
      </w:pPr>
      <w:bookmarkStart w:id="138" w:name="_Toc468345360"/>
      <w:r w:rsidRPr="0042554B">
        <w:lastRenderedPageBreak/>
        <w:t>P</w:t>
      </w:r>
      <w:r w:rsidR="00C0014A" w:rsidRPr="0042554B">
        <w:t xml:space="preserve">RIKAZ REZULTATA </w:t>
      </w:r>
      <w:r w:rsidR="00B879B5" w:rsidRPr="0042554B">
        <w:t xml:space="preserve">PROVEDENE </w:t>
      </w:r>
      <w:r w:rsidR="00C0014A" w:rsidRPr="0042554B">
        <w:t>ANALIZE ENERGETSKE POTROŠNJE U SEKTORU ZGRADARSTVA GRADA</w:t>
      </w:r>
      <w:r w:rsidR="00126439" w:rsidRPr="0042554B">
        <w:t xml:space="preserve"> </w:t>
      </w:r>
      <w:r w:rsidR="00C0014A" w:rsidRPr="0042554B">
        <w:t>ZAGREBA U</w:t>
      </w:r>
      <w:r w:rsidR="00C35635" w:rsidRPr="0042554B">
        <w:t xml:space="preserve"> </w:t>
      </w:r>
      <w:r w:rsidR="00126439" w:rsidRPr="0042554B">
        <w:t xml:space="preserve">2015. </w:t>
      </w:r>
      <w:r w:rsidR="00C0014A" w:rsidRPr="0042554B">
        <w:t>GODINI</w:t>
      </w:r>
      <w:bookmarkEnd w:id="138"/>
    </w:p>
    <w:p w14:paraId="08999C01" w14:textId="78F8804D" w:rsidR="003C36BA" w:rsidRPr="003C36BA" w:rsidRDefault="003C36BA" w:rsidP="003C36BA">
      <w:pPr>
        <w:jc w:val="both"/>
      </w:pPr>
      <w:r>
        <w:t xml:space="preserve">Prikaz površine sektora zgradarstva Grada Zagreba obuhvaćene energetskom analizom u 2015. godini dan je na </w:t>
      </w:r>
      <w:r>
        <w:fldChar w:fldCharType="begin"/>
      </w:r>
      <w:r>
        <w:instrText xml:space="preserve"> REF _Ref467827216 \h  \* MERGEFORMAT </w:instrText>
      </w:r>
      <w:r>
        <w:fldChar w:fldCharType="separate"/>
      </w:r>
      <w:r w:rsidR="00791F11">
        <w:rPr>
          <w:b/>
        </w:rPr>
        <w:t>Slici</w:t>
      </w:r>
      <w:r w:rsidR="009C319B" w:rsidRPr="003C36BA">
        <w:rPr>
          <w:b/>
        </w:rPr>
        <w:t xml:space="preserve"> </w:t>
      </w:r>
      <w:r w:rsidR="009C319B">
        <w:rPr>
          <w:b/>
          <w:noProof/>
        </w:rPr>
        <w:t>4</w:t>
      </w:r>
      <w:r w:rsidR="009C319B" w:rsidRPr="003C36BA">
        <w:rPr>
          <w:b/>
          <w:noProof/>
        </w:rPr>
        <w:t>.</w:t>
      </w:r>
      <w:r w:rsidR="009C319B">
        <w:rPr>
          <w:b/>
          <w:noProof/>
        </w:rPr>
        <w:t>28</w:t>
      </w:r>
      <w:r>
        <w:fldChar w:fldCharType="end"/>
      </w:r>
      <w:r>
        <w:t>.</w:t>
      </w:r>
    </w:p>
    <w:p w14:paraId="4B4BB871" w14:textId="01980C9E" w:rsidR="003C36BA" w:rsidRDefault="00D2489D" w:rsidP="003C36BA">
      <w:pPr>
        <w:spacing w:after="0" w:line="240" w:lineRule="auto"/>
        <w:jc w:val="center"/>
        <w:rPr>
          <w:noProof/>
          <w:lang w:eastAsia="hr-HR"/>
        </w:rPr>
      </w:pPr>
      <w:r>
        <w:rPr>
          <w:noProof/>
          <w:lang w:eastAsia="hr-HR"/>
        </w:rPr>
        <w:drawing>
          <wp:inline distT="0" distB="0" distL="0" distR="0" wp14:anchorId="4128ADE4" wp14:editId="558A45F7">
            <wp:extent cx="5385955" cy="3562350"/>
            <wp:effectExtent l="0" t="0" r="5715" b="0"/>
            <wp:docPr id="43" name="Chart 4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2EFAD7B" w14:textId="752FA93B" w:rsidR="003C36BA" w:rsidRPr="003C36BA" w:rsidRDefault="003C36BA" w:rsidP="003C36BA">
      <w:pPr>
        <w:spacing w:after="0" w:line="240" w:lineRule="auto"/>
        <w:jc w:val="center"/>
      </w:pPr>
      <w:bookmarkStart w:id="139" w:name="_Ref467827216"/>
      <w:bookmarkStart w:id="140" w:name="_Toc468277432"/>
      <w:r w:rsidRPr="003C36BA">
        <w:rPr>
          <w:b/>
        </w:rPr>
        <w:t xml:space="preserve">Slika </w:t>
      </w:r>
      <w:r w:rsidRPr="003C36BA">
        <w:rPr>
          <w:b/>
        </w:rPr>
        <w:fldChar w:fldCharType="begin"/>
      </w:r>
      <w:r w:rsidRPr="003C36BA">
        <w:rPr>
          <w:b/>
        </w:rPr>
        <w:instrText xml:space="preserve"> STYLEREF 1 \s </w:instrText>
      </w:r>
      <w:r w:rsidRPr="003C36BA">
        <w:rPr>
          <w:b/>
        </w:rPr>
        <w:fldChar w:fldCharType="separate"/>
      </w:r>
      <w:r w:rsidR="009C319B">
        <w:rPr>
          <w:b/>
          <w:noProof/>
        </w:rPr>
        <w:t>4</w:t>
      </w:r>
      <w:r w:rsidRPr="003C36BA">
        <w:rPr>
          <w:b/>
          <w:noProof/>
        </w:rPr>
        <w:fldChar w:fldCharType="end"/>
      </w:r>
      <w:r w:rsidRPr="003C36BA">
        <w:rPr>
          <w:b/>
        </w:rPr>
        <w:t>.</w:t>
      </w:r>
      <w:r w:rsidRPr="003C36BA">
        <w:rPr>
          <w:b/>
        </w:rPr>
        <w:fldChar w:fldCharType="begin"/>
      </w:r>
      <w:r w:rsidRPr="003C36BA">
        <w:rPr>
          <w:b/>
        </w:rPr>
        <w:instrText xml:space="preserve"> SEQ Slika \* ARABIC \s 1 </w:instrText>
      </w:r>
      <w:r w:rsidRPr="003C36BA">
        <w:rPr>
          <w:b/>
        </w:rPr>
        <w:fldChar w:fldCharType="separate"/>
      </w:r>
      <w:r w:rsidR="009C319B">
        <w:rPr>
          <w:b/>
          <w:noProof/>
        </w:rPr>
        <w:t>28</w:t>
      </w:r>
      <w:r w:rsidRPr="003C36BA">
        <w:rPr>
          <w:b/>
          <w:noProof/>
        </w:rPr>
        <w:fldChar w:fldCharType="end"/>
      </w:r>
      <w:bookmarkEnd w:id="139"/>
      <w:r w:rsidRPr="003C36BA">
        <w:rPr>
          <w:b/>
          <w:noProof/>
        </w:rPr>
        <w:t xml:space="preserve"> </w:t>
      </w:r>
      <w:r w:rsidRPr="003C36BA">
        <w:rPr>
          <w:noProof/>
        </w:rPr>
        <w:t>Površina sektora zgradarstva Grada Zagreba obuhvaćena energetskom analizom</w:t>
      </w:r>
      <w:bookmarkEnd w:id="140"/>
    </w:p>
    <w:p w14:paraId="4ADE176D" w14:textId="13ABED3C" w:rsidR="00DD50BA" w:rsidRPr="00DD50BA" w:rsidRDefault="003C36BA" w:rsidP="00DD50BA">
      <w:pPr>
        <w:spacing w:before="240" w:after="240" w:line="240" w:lineRule="auto"/>
        <w:jc w:val="both"/>
      </w:pPr>
      <w:r w:rsidRPr="00DD50BA">
        <w:t xml:space="preserve">U ukupnoj površini </w:t>
      </w:r>
      <w:r w:rsidR="00DD50BA">
        <w:t xml:space="preserve">sektora zgradarstva najveći </w:t>
      </w:r>
      <w:r w:rsidRPr="00DD50BA">
        <w:t xml:space="preserve">udio </w:t>
      </w:r>
      <w:r w:rsidR="00DD50BA">
        <w:t>čini površina</w:t>
      </w:r>
      <w:r w:rsidR="00DD50BA" w:rsidRPr="00DD50BA">
        <w:t xml:space="preserve"> stambenih zgrada – kućanstava </w:t>
      </w:r>
      <w:r w:rsidR="006B2160">
        <w:t xml:space="preserve">s udjelom </w:t>
      </w:r>
      <w:r w:rsidR="00DD50BA">
        <w:t>od</w:t>
      </w:r>
      <w:r w:rsidR="00DD50BA" w:rsidRPr="00DD50BA">
        <w:t xml:space="preserve"> </w:t>
      </w:r>
      <w:r w:rsidR="00DD50BA" w:rsidRPr="00DD50BA">
        <w:rPr>
          <w:rFonts w:ascii="Calibri" w:eastAsia="Times New Roman" w:hAnsi="Calibri" w:cs="Calibri"/>
          <w:color w:val="000000"/>
          <w:lang w:eastAsia="hr-HR"/>
        </w:rPr>
        <w:t>66,92%</w:t>
      </w:r>
      <w:r w:rsidR="00DD50BA">
        <w:rPr>
          <w:rFonts w:ascii="Calibri" w:eastAsia="Times New Roman" w:hAnsi="Calibri" w:cs="Calibri"/>
          <w:color w:val="000000"/>
          <w:lang w:eastAsia="hr-HR"/>
        </w:rPr>
        <w:t>.</w:t>
      </w:r>
    </w:p>
    <w:p w14:paraId="18E28758" w14:textId="03D1EC81" w:rsidR="00DD50BA" w:rsidRPr="00346BD2" w:rsidRDefault="003C36BA" w:rsidP="00DD50BA">
      <w:pPr>
        <w:spacing w:before="240" w:after="240" w:line="240" w:lineRule="auto"/>
        <w:jc w:val="both"/>
      </w:pPr>
      <w:r w:rsidRPr="00346BD2">
        <w:t xml:space="preserve">U nastavku je dan pregled rezultata provedene analize energetske potrošnje u sektoru zgradarstva Grada Zagreba u 2015. godini. </w:t>
      </w:r>
      <w:r w:rsidR="00DD50BA" w:rsidRPr="00346BD2">
        <w:br w:type="page"/>
      </w:r>
    </w:p>
    <w:p w14:paraId="38AADFD9" w14:textId="22ACCF8F" w:rsidR="000F64C5" w:rsidRPr="00346BD2" w:rsidRDefault="000F64C5" w:rsidP="00E92750">
      <w:pPr>
        <w:spacing w:before="240" w:after="240" w:line="240" w:lineRule="auto"/>
        <w:jc w:val="both"/>
      </w:pPr>
      <w:r w:rsidRPr="00346BD2">
        <w:lastRenderedPageBreak/>
        <w:t xml:space="preserve">Prema provedenim energetskim analizama </w:t>
      </w:r>
      <w:r w:rsidR="00AB549F" w:rsidRPr="00346BD2">
        <w:t xml:space="preserve">razmatranih </w:t>
      </w:r>
      <w:r w:rsidRPr="00346BD2">
        <w:t>podsektora sektora zgradarstva u Gradu</w:t>
      </w:r>
      <w:r w:rsidR="00AB549F" w:rsidRPr="00346BD2">
        <w:t xml:space="preserve"> Zagrebu</w:t>
      </w:r>
      <w:r w:rsidR="003C7EE5" w:rsidRPr="00346BD2">
        <w:t xml:space="preserve"> u 2015. godini </w:t>
      </w:r>
      <w:r w:rsidR="00AB549F" w:rsidRPr="00346BD2">
        <w:t>najviše energije troši podsektor stambene zgrade -</w:t>
      </w:r>
      <w:r w:rsidRPr="00346BD2">
        <w:t xml:space="preserve"> kućanstva, zatim zgrade komercijalnih i</w:t>
      </w:r>
      <w:r w:rsidR="00AB549F" w:rsidRPr="00346BD2">
        <w:t xml:space="preserve"> uslužnih djelatnosti te </w:t>
      </w:r>
      <w:r w:rsidR="003C7EE5" w:rsidRPr="00346BD2">
        <w:t>stambene i javne zgrade</w:t>
      </w:r>
      <w:r w:rsidR="00AB549F" w:rsidRPr="00346BD2">
        <w:t xml:space="preserve"> u vlasništvu Grada Zagreba</w:t>
      </w:r>
      <w:r w:rsidR="0035619D" w:rsidRPr="00346BD2">
        <w:t xml:space="preserve">, </w:t>
      </w:r>
      <w:r w:rsidR="002E77F5" w:rsidRPr="00346BD2">
        <w:rPr>
          <w:b/>
        </w:rPr>
        <w:fldChar w:fldCharType="begin"/>
      </w:r>
      <w:r w:rsidR="002E77F5" w:rsidRPr="00346BD2">
        <w:rPr>
          <w:b/>
        </w:rPr>
        <w:instrText xml:space="preserve"> REF _Ref465253156 \h </w:instrText>
      </w:r>
      <w:r w:rsidR="0035619D" w:rsidRPr="00346BD2">
        <w:rPr>
          <w:b/>
        </w:rPr>
        <w:instrText xml:space="preserve"> \* MERGEFORMAT </w:instrText>
      </w:r>
      <w:r w:rsidR="002E77F5" w:rsidRPr="00346BD2">
        <w:rPr>
          <w:b/>
        </w:rPr>
      </w:r>
      <w:r w:rsidR="002E77F5" w:rsidRPr="00346BD2">
        <w:rPr>
          <w:b/>
        </w:rPr>
        <w:fldChar w:fldCharType="separate"/>
      </w:r>
      <w:r w:rsidR="009C319B" w:rsidRPr="00346BD2">
        <w:rPr>
          <w:b/>
        </w:rPr>
        <w:t>Slika 4.29</w:t>
      </w:r>
      <w:r w:rsidR="002E77F5" w:rsidRPr="00346BD2">
        <w:rPr>
          <w:b/>
        </w:rPr>
        <w:fldChar w:fldCharType="end"/>
      </w:r>
      <w:r w:rsidR="003C18CB" w:rsidRPr="00346BD2">
        <w:rPr>
          <w:b/>
        </w:rPr>
        <w:t>.</w:t>
      </w:r>
    </w:p>
    <w:p w14:paraId="35D72CB6" w14:textId="153D1911" w:rsidR="0030366C" w:rsidRDefault="000B29DA" w:rsidP="00E92750">
      <w:pPr>
        <w:spacing w:before="240" w:after="0" w:line="240" w:lineRule="auto"/>
        <w:jc w:val="center"/>
        <w:rPr>
          <w:noProof/>
          <w:lang w:eastAsia="hr-HR"/>
        </w:rPr>
      </w:pPr>
      <w:r>
        <w:rPr>
          <w:noProof/>
          <w:lang w:eastAsia="hr-HR"/>
        </w:rPr>
        <w:drawing>
          <wp:inline distT="0" distB="0" distL="0" distR="0" wp14:anchorId="63F754A6" wp14:editId="368995F3">
            <wp:extent cx="4649821" cy="2791838"/>
            <wp:effectExtent l="0" t="0" r="0" b="8890"/>
            <wp:docPr id="155" name="Chart 15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A9E8976" w14:textId="59AD07B5" w:rsidR="000F64C5" w:rsidRPr="004C31F9" w:rsidRDefault="00A01C98" w:rsidP="00E92750">
      <w:pPr>
        <w:spacing w:line="240" w:lineRule="auto"/>
        <w:jc w:val="center"/>
      </w:pPr>
      <w:bookmarkStart w:id="141" w:name="_Ref465253156"/>
      <w:bookmarkStart w:id="142" w:name="_Toc258239026"/>
      <w:bookmarkStart w:id="143" w:name="_Toc468277433"/>
      <w:r w:rsidRPr="004C31F9">
        <w:rPr>
          <w:b/>
        </w:rPr>
        <w:t xml:space="preserve">Slika </w:t>
      </w:r>
      <w:r w:rsidRPr="004C31F9">
        <w:rPr>
          <w:b/>
        </w:rPr>
        <w:fldChar w:fldCharType="begin"/>
      </w:r>
      <w:r w:rsidRPr="004C31F9">
        <w:rPr>
          <w:b/>
        </w:rPr>
        <w:instrText xml:space="preserve"> STYLEREF 1 \s </w:instrText>
      </w:r>
      <w:r w:rsidRPr="004C31F9">
        <w:rPr>
          <w:b/>
        </w:rPr>
        <w:fldChar w:fldCharType="separate"/>
      </w:r>
      <w:r w:rsidR="009C319B">
        <w:rPr>
          <w:b/>
          <w:noProof/>
        </w:rPr>
        <w:t>4</w:t>
      </w:r>
      <w:r w:rsidRPr="004C31F9">
        <w:rPr>
          <w:b/>
          <w:noProof/>
        </w:rPr>
        <w:fldChar w:fldCharType="end"/>
      </w:r>
      <w:r w:rsidRPr="004C31F9">
        <w:rPr>
          <w:b/>
        </w:rPr>
        <w:t>.</w:t>
      </w:r>
      <w:r w:rsidRPr="004C31F9">
        <w:rPr>
          <w:b/>
        </w:rPr>
        <w:fldChar w:fldCharType="begin"/>
      </w:r>
      <w:r w:rsidRPr="004C31F9">
        <w:rPr>
          <w:b/>
        </w:rPr>
        <w:instrText xml:space="preserve"> SEQ Slika \* ARABIC \s 1 </w:instrText>
      </w:r>
      <w:r w:rsidRPr="004C31F9">
        <w:rPr>
          <w:b/>
        </w:rPr>
        <w:fldChar w:fldCharType="separate"/>
      </w:r>
      <w:r w:rsidR="009C319B">
        <w:rPr>
          <w:b/>
          <w:noProof/>
        </w:rPr>
        <w:t>29</w:t>
      </w:r>
      <w:r w:rsidRPr="004C31F9">
        <w:rPr>
          <w:b/>
          <w:noProof/>
        </w:rPr>
        <w:fldChar w:fldCharType="end"/>
      </w:r>
      <w:bookmarkEnd w:id="141"/>
      <w:r w:rsidR="00F65A42" w:rsidRPr="004C31F9">
        <w:rPr>
          <w:b/>
          <w:noProof/>
        </w:rPr>
        <w:t xml:space="preserve"> </w:t>
      </w:r>
      <w:r w:rsidR="000F64C5" w:rsidRPr="004C31F9">
        <w:t>Struktura potrošnje energije sektora zgradarstvo po podsektorima</w:t>
      </w:r>
      <w:bookmarkEnd w:id="142"/>
      <w:r w:rsidR="003C7EE5" w:rsidRPr="004C31F9">
        <w:t xml:space="preserve"> u 2015. godini</w:t>
      </w:r>
      <w:bookmarkEnd w:id="143"/>
    </w:p>
    <w:p w14:paraId="45365420" w14:textId="113FDFEC" w:rsidR="000F64C5" w:rsidRPr="004C31F9" w:rsidRDefault="000F64C5" w:rsidP="00E92750">
      <w:pPr>
        <w:spacing w:line="240" w:lineRule="auto"/>
        <w:jc w:val="both"/>
      </w:pPr>
      <w:r w:rsidRPr="004C31F9">
        <w:t>Udjeli pojedinog podsektora u ukupnoj potrošnji električne energije prikazani su na</w:t>
      </w:r>
      <w:r w:rsidR="00F65A42" w:rsidRPr="004C31F9">
        <w:t xml:space="preserve"> </w:t>
      </w:r>
      <w:r w:rsidR="00CB41BD" w:rsidRPr="004C31F9">
        <w:rPr>
          <w:b/>
        </w:rPr>
        <w:fldChar w:fldCharType="begin"/>
      </w:r>
      <w:r w:rsidR="00CB41BD" w:rsidRPr="004C31F9">
        <w:rPr>
          <w:b/>
        </w:rPr>
        <w:instrText xml:space="preserve"> REF _Ref465253277 \h </w:instrText>
      </w:r>
      <w:r w:rsidR="00F65A42" w:rsidRPr="004C31F9">
        <w:rPr>
          <w:b/>
        </w:rPr>
        <w:instrText xml:space="preserve"> \* MERGEFORMAT </w:instrText>
      </w:r>
      <w:r w:rsidR="00CB41BD" w:rsidRPr="004C31F9">
        <w:rPr>
          <w:b/>
        </w:rPr>
      </w:r>
      <w:r w:rsidR="00CB41BD" w:rsidRPr="004C31F9">
        <w:rPr>
          <w:b/>
        </w:rPr>
        <w:fldChar w:fldCharType="separate"/>
      </w:r>
      <w:r w:rsidR="00E52F06">
        <w:rPr>
          <w:b/>
        </w:rPr>
        <w:t>Slici</w:t>
      </w:r>
      <w:r w:rsidR="009C319B" w:rsidRPr="004C31F9">
        <w:rPr>
          <w:b/>
        </w:rPr>
        <w:t xml:space="preserve"> </w:t>
      </w:r>
      <w:r w:rsidR="009C319B">
        <w:rPr>
          <w:b/>
        </w:rPr>
        <w:t>4</w:t>
      </w:r>
      <w:r w:rsidR="009C319B" w:rsidRPr="004C31F9">
        <w:rPr>
          <w:b/>
        </w:rPr>
        <w:t>.</w:t>
      </w:r>
      <w:r w:rsidR="009C319B">
        <w:rPr>
          <w:b/>
        </w:rPr>
        <w:t>30</w:t>
      </w:r>
      <w:r w:rsidR="00CB41BD" w:rsidRPr="004C31F9">
        <w:rPr>
          <w:b/>
        </w:rPr>
        <w:fldChar w:fldCharType="end"/>
      </w:r>
      <w:r w:rsidR="00CB41BD" w:rsidRPr="004C31F9">
        <w:t xml:space="preserve">, a udjeli pojedinog podsektora u ukupnoj potrošnji toplinske energije </w:t>
      </w:r>
      <w:r w:rsidR="00F65A42" w:rsidRPr="004C31F9">
        <w:t xml:space="preserve">na </w:t>
      </w:r>
      <w:r w:rsidR="00CB41BD" w:rsidRPr="004C31F9">
        <w:rPr>
          <w:b/>
        </w:rPr>
        <w:fldChar w:fldCharType="begin"/>
      </w:r>
      <w:r w:rsidR="00CB41BD" w:rsidRPr="004C31F9">
        <w:rPr>
          <w:b/>
        </w:rPr>
        <w:instrText xml:space="preserve"> REF _Ref465253359 \h </w:instrText>
      </w:r>
      <w:r w:rsidR="00F65A42" w:rsidRPr="004C31F9">
        <w:rPr>
          <w:b/>
        </w:rPr>
        <w:instrText xml:space="preserve"> \* MERGEFORMAT </w:instrText>
      </w:r>
      <w:r w:rsidR="00CB41BD" w:rsidRPr="004C31F9">
        <w:rPr>
          <w:b/>
        </w:rPr>
      </w:r>
      <w:r w:rsidR="00CB41BD" w:rsidRPr="004C31F9">
        <w:rPr>
          <w:b/>
        </w:rPr>
        <w:fldChar w:fldCharType="separate"/>
      </w:r>
      <w:r w:rsidR="00E52F06">
        <w:rPr>
          <w:b/>
        </w:rPr>
        <w:t>Slici</w:t>
      </w:r>
      <w:r w:rsidR="009C319B" w:rsidRPr="004C31F9">
        <w:rPr>
          <w:b/>
        </w:rPr>
        <w:t xml:space="preserve"> </w:t>
      </w:r>
      <w:r w:rsidR="009C319B">
        <w:rPr>
          <w:b/>
        </w:rPr>
        <w:t>4</w:t>
      </w:r>
      <w:r w:rsidR="009C319B" w:rsidRPr="004C31F9">
        <w:rPr>
          <w:b/>
        </w:rPr>
        <w:t>.</w:t>
      </w:r>
      <w:r w:rsidR="009C319B">
        <w:rPr>
          <w:b/>
        </w:rPr>
        <w:t>31</w:t>
      </w:r>
      <w:r w:rsidR="00CB41BD" w:rsidRPr="004C31F9">
        <w:rPr>
          <w:b/>
        </w:rPr>
        <w:fldChar w:fldCharType="end"/>
      </w:r>
      <w:r w:rsidR="00CB41BD" w:rsidRPr="004C31F9">
        <w:t>.</w:t>
      </w:r>
    </w:p>
    <w:p w14:paraId="2EF688CD" w14:textId="7A4C3E13" w:rsidR="000F64C5" w:rsidRDefault="000B29DA" w:rsidP="00E92750">
      <w:pPr>
        <w:suppressAutoHyphens/>
        <w:autoSpaceDN w:val="0"/>
        <w:spacing w:after="0" w:line="240" w:lineRule="auto"/>
        <w:jc w:val="center"/>
        <w:textAlignment w:val="baseline"/>
        <w:rPr>
          <w:noProof/>
          <w:lang w:eastAsia="hr-HR"/>
        </w:rPr>
      </w:pPr>
      <w:r>
        <w:rPr>
          <w:noProof/>
          <w:lang w:eastAsia="hr-HR"/>
        </w:rPr>
        <w:drawing>
          <wp:inline distT="0" distB="0" distL="0" distR="0" wp14:anchorId="59F6610D" wp14:editId="77C9F989">
            <wp:extent cx="4717915" cy="3035030"/>
            <wp:effectExtent l="0" t="0" r="6985" b="0"/>
            <wp:docPr id="156" name="Chart 15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EAE3AF" w14:textId="4621F200" w:rsidR="000F64C5" w:rsidRPr="004C31F9" w:rsidRDefault="00A01C98" w:rsidP="00E92750">
      <w:pPr>
        <w:spacing w:after="0" w:line="240" w:lineRule="auto"/>
        <w:jc w:val="center"/>
        <w:rPr>
          <w:shd w:val="clear" w:color="auto" w:fill="FFFF00"/>
        </w:rPr>
      </w:pPr>
      <w:bookmarkStart w:id="144" w:name="_Ref465253277"/>
      <w:bookmarkStart w:id="145" w:name="_Toc258239027"/>
      <w:bookmarkStart w:id="146" w:name="_Toc468277434"/>
      <w:r w:rsidRPr="004C31F9">
        <w:rPr>
          <w:b/>
        </w:rPr>
        <w:t xml:space="preserve">Slika </w:t>
      </w:r>
      <w:r w:rsidRPr="004C31F9">
        <w:rPr>
          <w:b/>
        </w:rPr>
        <w:fldChar w:fldCharType="begin"/>
      </w:r>
      <w:r w:rsidRPr="004C31F9">
        <w:rPr>
          <w:b/>
        </w:rPr>
        <w:instrText xml:space="preserve"> STYLEREF 1 \s </w:instrText>
      </w:r>
      <w:r w:rsidRPr="004C31F9">
        <w:rPr>
          <w:b/>
        </w:rPr>
        <w:fldChar w:fldCharType="separate"/>
      </w:r>
      <w:r w:rsidR="009C319B">
        <w:rPr>
          <w:b/>
          <w:noProof/>
        </w:rPr>
        <w:t>4</w:t>
      </w:r>
      <w:r w:rsidRPr="004C31F9">
        <w:rPr>
          <w:b/>
          <w:noProof/>
        </w:rPr>
        <w:fldChar w:fldCharType="end"/>
      </w:r>
      <w:r w:rsidRPr="004C31F9">
        <w:rPr>
          <w:b/>
        </w:rPr>
        <w:t>.</w:t>
      </w:r>
      <w:r w:rsidRPr="004C31F9">
        <w:rPr>
          <w:b/>
        </w:rPr>
        <w:fldChar w:fldCharType="begin"/>
      </w:r>
      <w:r w:rsidRPr="004C31F9">
        <w:rPr>
          <w:b/>
        </w:rPr>
        <w:instrText xml:space="preserve"> SEQ Slika \* ARABIC \s 1 </w:instrText>
      </w:r>
      <w:r w:rsidRPr="004C31F9">
        <w:rPr>
          <w:b/>
        </w:rPr>
        <w:fldChar w:fldCharType="separate"/>
      </w:r>
      <w:r w:rsidR="009C319B">
        <w:rPr>
          <w:b/>
          <w:noProof/>
        </w:rPr>
        <w:t>30</w:t>
      </w:r>
      <w:r w:rsidRPr="004C31F9">
        <w:rPr>
          <w:b/>
          <w:noProof/>
        </w:rPr>
        <w:fldChar w:fldCharType="end"/>
      </w:r>
      <w:bookmarkEnd w:id="144"/>
      <w:r w:rsidR="00F65A42" w:rsidRPr="004C31F9">
        <w:rPr>
          <w:b/>
          <w:noProof/>
        </w:rPr>
        <w:t xml:space="preserve"> </w:t>
      </w:r>
      <w:r w:rsidR="000F64C5" w:rsidRPr="004C31F9">
        <w:t>Struktura potrošnje električne energije sektora zgradarstvo po podsektorima</w:t>
      </w:r>
      <w:bookmarkEnd w:id="145"/>
      <w:r w:rsidR="00320589" w:rsidRPr="004C31F9">
        <w:t xml:space="preserve"> u 2015. godini</w:t>
      </w:r>
      <w:bookmarkEnd w:id="146"/>
    </w:p>
    <w:p w14:paraId="482D87CA" w14:textId="13A47F1C" w:rsidR="000F64C5" w:rsidRPr="007C7920" w:rsidRDefault="000F64C5" w:rsidP="00E92750">
      <w:pPr>
        <w:suppressAutoHyphens/>
        <w:autoSpaceDN w:val="0"/>
        <w:spacing w:line="240" w:lineRule="auto"/>
        <w:jc w:val="center"/>
        <w:textAlignment w:val="baseline"/>
        <w:rPr>
          <w:noProof/>
          <w:highlight w:val="yellow"/>
          <w:lang w:eastAsia="hr-HR"/>
        </w:rPr>
      </w:pPr>
    </w:p>
    <w:p w14:paraId="28AD07D3" w14:textId="5E5D5637" w:rsidR="00DA5685" w:rsidRPr="007C7920" w:rsidRDefault="00DA5685" w:rsidP="00E92750">
      <w:pPr>
        <w:suppressAutoHyphens/>
        <w:autoSpaceDN w:val="0"/>
        <w:spacing w:after="0" w:line="240" w:lineRule="auto"/>
        <w:jc w:val="center"/>
        <w:textAlignment w:val="baseline"/>
        <w:rPr>
          <w:noProof/>
          <w:highlight w:val="yellow"/>
          <w:lang w:eastAsia="hr-HR"/>
        </w:rPr>
      </w:pPr>
    </w:p>
    <w:p w14:paraId="3DC1621C" w14:textId="511B5332" w:rsidR="00320589" w:rsidRPr="007C7920" w:rsidRDefault="000B29DA" w:rsidP="00E92750">
      <w:pPr>
        <w:suppressAutoHyphens/>
        <w:autoSpaceDN w:val="0"/>
        <w:spacing w:after="0" w:line="240" w:lineRule="auto"/>
        <w:jc w:val="center"/>
        <w:textAlignment w:val="baseline"/>
        <w:rPr>
          <w:noProof/>
          <w:highlight w:val="yellow"/>
          <w:lang w:eastAsia="hr-HR"/>
        </w:rPr>
      </w:pPr>
      <w:r>
        <w:rPr>
          <w:noProof/>
          <w:lang w:eastAsia="hr-HR"/>
        </w:rPr>
        <w:lastRenderedPageBreak/>
        <w:drawing>
          <wp:inline distT="0" distB="0" distL="0" distR="0" wp14:anchorId="20537989" wp14:editId="0A7230EA">
            <wp:extent cx="4299626" cy="2694562"/>
            <wp:effectExtent l="0" t="0" r="5715" b="0"/>
            <wp:docPr id="157" name="Chart 15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43C01ED" w14:textId="7F259A9A" w:rsidR="000F64C5" w:rsidRPr="004C31F9" w:rsidRDefault="00CB41BD" w:rsidP="00E92750">
      <w:pPr>
        <w:suppressAutoHyphens/>
        <w:autoSpaceDN w:val="0"/>
        <w:spacing w:line="240" w:lineRule="auto"/>
        <w:jc w:val="center"/>
        <w:textAlignment w:val="baseline"/>
        <w:rPr>
          <w:shd w:val="clear" w:color="auto" w:fill="FFFF00"/>
        </w:rPr>
      </w:pPr>
      <w:bookmarkStart w:id="147" w:name="_Ref465253359"/>
      <w:bookmarkStart w:id="148" w:name="_Toc258239028"/>
      <w:bookmarkStart w:id="149" w:name="_Toc468277435"/>
      <w:r w:rsidRPr="004C31F9">
        <w:rPr>
          <w:b/>
        </w:rPr>
        <w:t xml:space="preserve">Slika </w:t>
      </w:r>
      <w:r w:rsidRPr="004C31F9">
        <w:rPr>
          <w:b/>
        </w:rPr>
        <w:fldChar w:fldCharType="begin"/>
      </w:r>
      <w:r w:rsidRPr="004C31F9">
        <w:rPr>
          <w:b/>
        </w:rPr>
        <w:instrText xml:space="preserve"> STYLEREF 1 \s </w:instrText>
      </w:r>
      <w:r w:rsidRPr="004C31F9">
        <w:rPr>
          <w:b/>
        </w:rPr>
        <w:fldChar w:fldCharType="separate"/>
      </w:r>
      <w:r w:rsidR="009C319B">
        <w:rPr>
          <w:b/>
          <w:noProof/>
        </w:rPr>
        <w:t>4</w:t>
      </w:r>
      <w:r w:rsidRPr="004C31F9">
        <w:rPr>
          <w:b/>
          <w:noProof/>
        </w:rPr>
        <w:fldChar w:fldCharType="end"/>
      </w:r>
      <w:r w:rsidRPr="004C31F9">
        <w:rPr>
          <w:b/>
        </w:rPr>
        <w:t>.</w:t>
      </w:r>
      <w:r w:rsidRPr="004C31F9">
        <w:rPr>
          <w:b/>
        </w:rPr>
        <w:fldChar w:fldCharType="begin"/>
      </w:r>
      <w:r w:rsidRPr="004C31F9">
        <w:rPr>
          <w:b/>
        </w:rPr>
        <w:instrText xml:space="preserve"> SEQ Slika \* ARABIC \s 1 </w:instrText>
      </w:r>
      <w:r w:rsidRPr="004C31F9">
        <w:rPr>
          <w:b/>
        </w:rPr>
        <w:fldChar w:fldCharType="separate"/>
      </w:r>
      <w:r w:rsidR="009C319B">
        <w:rPr>
          <w:b/>
          <w:noProof/>
        </w:rPr>
        <w:t>31</w:t>
      </w:r>
      <w:r w:rsidRPr="004C31F9">
        <w:rPr>
          <w:b/>
          <w:noProof/>
        </w:rPr>
        <w:fldChar w:fldCharType="end"/>
      </w:r>
      <w:bookmarkEnd w:id="147"/>
      <w:r w:rsidRPr="004C31F9">
        <w:rPr>
          <w:b/>
          <w:noProof/>
        </w:rPr>
        <w:t xml:space="preserve"> </w:t>
      </w:r>
      <w:r w:rsidR="000F64C5" w:rsidRPr="004C31F9">
        <w:t>Struktura potrošnje toplinske energije sektora zgradarstvo po podsektorima</w:t>
      </w:r>
      <w:bookmarkEnd w:id="148"/>
      <w:r w:rsidR="00320589" w:rsidRPr="004C31F9">
        <w:t xml:space="preserve"> u 2015. godini</w:t>
      </w:r>
      <w:bookmarkEnd w:id="149"/>
    </w:p>
    <w:p w14:paraId="47E35B84" w14:textId="70B6DACC" w:rsidR="00C56762" w:rsidRPr="009246DB" w:rsidRDefault="00C56762" w:rsidP="00E92750">
      <w:pPr>
        <w:spacing w:line="240" w:lineRule="auto"/>
        <w:jc w:val="both"/>
        <w:rPr>
          <w:shd w:val="clear" w:color="auto" w:fill="FFFF00"/>
        </w:rPr>
      </w:pPr>
      <w:r w:rsidRPr="009246DB">
        <w:t xml:space="preserve">Prikaz potrošnje energije sektora zgradarstvo prema energentima dan je na </w:t>
      </w:r>
      <w:r w:rsidRPr="009246DB">
        <w:fldChar w:fldCharType="begin"/>
      </w:r>
      <w:r w:rsidRPr="009246DB">
        <w:instrText xml:space="preserve"> REF _Ref465257552 \h  \* MERGEFORMAT </w:instrText>
      </w:r>
      <w:r w:rsidRPr="009246DB">
        <w:fldChar w:fldCharType="separate"/>
      </w:r>
      <w:r w:rsidR="007F00D7">
        <w:rPr>
          <w:b/>
        </w:rPr>
        <w:t>Slici</w:t>
      </w:r>
      <w:r w:rsidR="009C319B" w:rsidRPr="00F71C62">
        <w:rPr>
          <w:b/>
        </w:rPr>
        <w:t xml:space="preserve"> </w:t>
      </w:r>
      <w:r w:rsidR="009C319B">
        <w:rPr>
          <w:b/>
          <w:noProof/>
        </w:rPr>
        <w:t>4</w:t>
      </w:r>
      <w:r w:rsidR="009C319B" w:rsidRPr="00F71C62">
        <w:rPr>
          <w:b/>
          <w:noProof/>
        </w:rPr>
        <w:t>.</w:t>
      </w:r>
      <w:r w:rsidR="009C319B">
        <w:rPr>
          <w:b/>
          <w:noProof/>
        </w:rPr>
        <w:t>32</w:t>
      </w:r>
      <w:r w:rsidRPr="009246DB">
        <w:fldChar w:fldCharType="end"/>
      </w:r>
      <w:r w:rsidRPr="009246DB">
        <w:t>.</w:t>
      </w:r>
    </w:p>
    <w:p w14:paraId="783ABDFA" w14:textId="14124017" w:rsidR="00C56762" w:rsidRDefault="000B29DA" w:rsidP="00E92750">
      <w:pPr>
        <w:spacing w:after="0" w:line="240" w:lineRule="auto"/>
        <w:jc w:val="center"/>
        <w:rPr>
          <w:noProof/>
          <w:lang w:eastAsia="hr-HR"/>
        </w:rPr>
      </w:pPr>
      <w:r>
        <w:rPr>
          <w:noProof/>
          <w:lang w:eastAsia="hr-HR"/>
        </w:rPr>
        <w:drawing>
          <wp:inline distT="0" distB="0" distL="0" distR="0" wp14:anchorId="1B316157" wp14:editId="05AEFB97">
            <wp:extent cx="5800725" cy="3442970"/>
            <wp:effectExtent l="0" t="0" r="0" b="5080"/>
            <wp:docPr id="158" name="Chart 158">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DE85E7" w14:textId="77777777" w:rsidR="00756879" w:rsidRDefault="00C56762" w:rsidP="00756879">
      <w:pPr>
        <w:spacing w:line="240" w:lineRule="auto"/>
        <w:jc w:val="center"/>
      </w:pPr>
      <w:bookmarkStart w:id="150" w:name="_Ref465257552"/>
      <w:bookmarkStart w:id="151" w:name="_Toc468277436"/>
      <w:r w:rsidRPr="00F71C62">
        <w:rPr>
          <w:b/>
        </w:rPr>
        <w:t xml:space="preserve">Slika </w:t>
      </w:r>
      <w:r w:rsidRPr="00F71C62">
        <w:rPr>
          <w:b/>
        </w:rPr>
        <w:fldChar w:fldCharType="begin"/>
      </w:r>
      <w:r w:rsidRPr="00F71C62">
        <w:rPr>
          <w:b/>
        </w:rPr>
        <w:instrText xml:space="preserve"> STYLEREF 1 \s </w:instrText>
      </w:r>
      <w:r w:rsidRPr="00F71C62">
        <w:rPr>
          <w:b/>
        </w:rPr>
        <w:fldChar w:fldCharType="separate"/>
      </w:r>
      <w:r w:rsidR="009C319B">
        <w:rPr>
          <w:b/>
          <w:noProof/>
        </w:rPr>
        <w:t>4</w:t>
      </w:r>
      <w:r w:rsidRPr="00F71C62">
        <w:rPr>
          <w:b/>
          <w:noProof/>
        </w:rPr>
        <w:fldChar w:fldCharType="end"/>
      </w:r>
      <w:r w:rsidRPr="00F71C62">
        <w:rPr>
          <w:b/>
        </w:rPr>
        <w:t>.</w:t>
      </w:r>
      <w:r w:rsidRPr="00F71C62">
        <w:rPr>
          <w:b/>
        </w:rPr>
        <w:fldChar w:fldCharType="begin"/>
      </w:r>
      <w:r w:rsidRPr="00F71C62">
        <w:rPr>
          <w:b/>
        </w:rPr>
        <w:instrText xml:space="preserve"> SEQ Slika \* ARABIC \s 1 </w:instrText>
      </w:r>
      <w:r w:rsidRPr="00F71C62">
        <w:rPr>
          <w:b/>
        </w:rPr>
        <w:fldChar w:fldCharType="separate"/>
      </w:r>
      <w:r w:rsidR="009C319B">
        <w:rPr>
          <w:b/>
          <w:noProof/>
        </w:rPr>
        <w:t>32</w:t>
      </w:r>
      <w:r w:rsidRPr="00F71C62">
        <w:rPr>
          <w:b/>
          <w:noProof/>
        </w:rPr>
        <w:fldChar w:fldCharType="end"/>
      </w:r>
      <w:bookmarkEnd w:id="150"/>
      <w:r w:rsidRPr="00F71C62">
        <w:rPr>
          <w:b/>
          <w:noProof/>
        </w:rPr>
        <w:t xml:space="preserve"> </w:t>
      </w:r>
      <w:r w:rsidRPr="00F71C62">
        <w:t>Struktura potrošnje energije sektora zgradarstvo po energentima</w:t>
      </w:r>
      <w:r w:rsidR="004556D6" w:rsidRPr="00F71C62">
        <w:t xml:space="preserve"> u 2015. godini</w:t>
      </w:r>
      <w:bookmarkEnd w:id="151"/>
    </w:p>
    <w:p w14:paraId="37AEA465" w14:textId="7C76749E" w:rsidR="00A14215" w:rsidRPr="007C7920" w:rsidRDefault="00756879" w:rsidP="006640DE">
      <w:pPr>
        <w:spacing w:after="0" w:line="240" w:lineRule="auto"/>
        <w:jc w:val="both"/>
        <w:rPr>
          <w:highlight w:val="yellow"/>
          <w:shd w:val="clear" w:color="auto" w:fill="FFFF00"/>
        </w:rPr>
      </w:pPr>
      <w:r>
        <w:t>Prirodni plin</w:t>
      </w:r>
      <w:r w:rsidR="006640DE">
        <w:t xml:space="preserve"> (39,39%), </w:t>
      </w:r>
      <w:r>
        <w:t>električna energija</w:t>
      </w:r>
      <w:r w:rsidR="006640DE">
        <w:t xml:space="preserve"> (25,92%)</w:t>
      </w:r>
      <w:r>
        <w:t xml:space="preserve"> </w:t>
      </w:r>
      <w:r w:rsidR="006640DE">
        <w:t>i toplana para i toplana vrelovod (21,02%)</w:t>
      </w:r>
      <w:r>
        <w:t>su najzastupljeniji energenti u ukupnoj potrošnji energije sektora zgradarstvo.</w:t>
      </w:r>
      <w:r w:rsidR="00A14215" w:rsidRPr="007C7920">
        <w:rPr>
          <w:highlight w:val="yellow"/>
        </w:rPr>
        <w:br w:type="page"/>
      </w:r>
    </w:p>
    <w:p w14:paraId="1B83C04F" w14:textId="0BA7D1B9" w:rsidR="004160FA" w:rsidRPr="005F5A9C" w:rsidRDefault="004160FA" w:rsidP="00E92750">
      <w:pPr>
        <w:pStyle w:val="Heading1"/>
        <w:spacing w:before="0" w:after="240" w:line="240" w:lineRule="auto"/>
        <w:jc w:val="both"/>
        <w:rPr>
          <w:rFonts w:eastAsia="Times New Roman"/>
          <w:b/>
        </w:rPr>
      </w:pPr>
      <w:bookmarkStart w:id="152" w:name="_Toc468345361"/>
      <w:r w:rsidRPr="00FB300F">
        <w:rPr>
          <w:rFonts w:eastAsia="Times New Roman"/>
          <w:b/>
        </w:rPr>
        <w:lastRenderedPageBreak/>
        <w:t>ANALIZA ENERGETSKE POTROŠNJE U SEKTORU PROMETA</w:t>
      </w:r>
      <w:r w:rsidR="00FC25E4" w:rsidRPr="00FB300F">
        <w:rPr>
          <w:rFonts w:eastAsia="Times New Roman"/>
          <w:b/>
        </w:rPr>
        <w:t xml:space="preserve"> GRADA </w:t>
      </w:r>
      <w:r w:rsidR="000F64C5" w:rsidRPr="005F5A9C">
        <w:rPr>
          <w:rFonts w:eastAsia="Times New Roman"/>
          <w:b/>
        </w:rPr>
        <w:t>ZAGREBA</w:t>
      </w:r>
      <w:r w:rsidR="00FC25E4" w:rsidRPr="005F5A9C">
        <w:rPr>
          <w:rFonts w:eastAsia="Times New Roman"/>
          <w:b/>
        </w:rPr>
        <w:t xml:space="preserve"> U </w:t>
      </w:r>
      <w:r w:rsidR="000F64C5" w:rsidRPr="005F5A9C">
        <w:rPr>
          <w:rFonts w:eastAsia="Times New Roman"/>
          <w:b/>
        </w:rPr>
        <w:t>2015</w:t>
      </w:r>
      <w:r w:rsidR="00FC25E4" w:rsidRPr="005F5A9C">
        <w:rPr>
          <w:rFonts w:eastAsia="Times New Roman"/>
          <w:b/>
        </w:rPr>
        <w:t>. GODINI</w:t>
      </w:r>
      <w:bookmarkEnd w:id="152"/>
    </w:p>
    <w:p w14:paraId="2875538B" w14:textId="37EDEFC4" w:rsidR="004912C8" w:rsidRPr="005F5A9C" w:rsidRDefault="004912C8" w:rsidP="00E92750">
      <w:pPr>
        <w:pStyle w:val="NoSpacing"/>
      </w:pPr>
      <w:r w:rsidRPr="005F5A9C">
        <w:t>Za potrebe analize energetske potrošnje sektor prometa podijeljen je na sljedeće podsektore:</w:t>
      </w:r>
    </w:p>
    <w:p w14:paraId="3812C1DB" w14:textId="26240595" w:rsidR="004912C8" w:rsidRPr="005F5A9C" w:rsidRDefault="004912C8" w:rsidP="00E92750">
      <w:pPr>
        <w:pStyle w:val="NoSpacing"/>
        <w:numPr>
          <w:ilvl w:val="0"/>
          <w:numId w:val="2"/>
        </w:numPr>
      </w:pPr>
      <w:r w:rsidRPr="005F5A9C">
        <w:t xml:space="preserve">Vozni park u vlasništvu i korištenju Grada </w:t>
      </w:r>
      <w:r w:rsidR="000F64C5" w:rsidRPr="005F5A9C">
        <w:t>Zagreba</w:t>
      </w:r>
      <w:r w:rsidRPr="005F5A9C">
        <w:t>;</w:t>
      </w:r>
    </w:p>
    <w:p w14:paraId="42A3B78A" w14:textId="7BA7A49C" w:rsidR="004912C8" w:rsidRPr="005F5A9C" w:rsidRDefault="004912C8" w:rsidP="00E92750">
      <w:pPr>
        <w:pStyle w:val="NoSpacing"/>
        <w:numPr>
          <w:ilvl w:val="0"/>
          <w:numId w:val="2"/>
        </w:numPr>
      </w:pPr>
      <w:r w:rsidRPr="005F5A9C">
        <w:t>Javni prijevoz</w:t>
      </w:r>
      <w:r w:rsidR="001F519F" w:rsidRPr="005F5A9C">
        <w:t xml:space="preserve"> i</w:t>
      </w:r>
    </w:p>
    <w:p w14:paraId="1DC4FFD4" w14:textId="77777777" w:rsidR="004912C8" w:rsidRPr="005F5A9C" w:rsidRDefault="004912C8" w:rsidP="00E92750">
      <w:pPr>
        <w:pStyle w:val="NoSpacing"/>
        <w:numPr>
          <w:ilvl w:val="0"/>
          <w:numId w:val="2"/>
        </w:numPr>
        <w:spacing w:after="240"/>
      </w:pPr>
      <w:r w:rsidRPr="005F5A9C">
        <w:t>Osobna i komercijalna vozila.</w:t>
      </w:r>
    </w:p>
    <w:p w14:paraId="78659773" w14:textId="6B1FBF7D" w:rsidR="004912C8" w:rsidRPr="009C7E46" w:rsidRDefault="004912C8" w:rsidP="00E92750">
      <w:pPr>
        <w:pStyle w:val="NoSpacing"/>
      </w:pPr>
      <w:r w:rsidRPr="009C7E46">
        <w:t xml:space="preserve">Na temelju prikupljenih podataka, za sve podsektore </w:t>
      </w:r>
      <w:r w:rsidR="00B70DD2" w:rsidRPr="009C7E46">
        <w:t xml:space="preserve">sektora </w:t>
      </w:r>
      <w:r w:rsidRPr="009C7E46">
        <w:t>prometa određeni su sljedeći parametri:</w:t>
      </w:r>
    </w:p>
    <w:p w14:paraId="6C701C13" w14:textId="77777777" w:rsidR="004912C8" w:rsidRPr="009C7E46" w:rsidRDefault="004912C8" w:rsidP="00E92750">
      <w:pPr>
        <w:pStyle w:val="NoSpacing"/>
        <w:numPr>
          <w:ilvl w:val="0"/>
          <w:numId w:val="1"/>
        </w:numPr>
      </w:pPr>
      <w:r w:rsidRPr="009C7E46">
        <w:t>Opći podaci o podsektoru;</w:t>
      </w:r>
    </w:p>
    <w:p w14:paraId="11C9E776" w14:textId="77777777" w:rsidR="004912C8" w:rsidRPr="009C7E46" w:rsidRDefault="004912C8" w:rsidP="00E92750">
      <w:pPr>
        <w:pStyle w:val="NoSpacing"/>
        <w:numPr>
          <w:ilvl w:val="0"/>
          <w:numId w:val="1"/>
        </w:numPr>
      </w:pPr>
      <w:r w:rsidRPr="009C7E46">
        <w:t>Klasifikacija vozila prema vrsti korištenog goriva i</w:t>
      </w:r>
    </w:p>
    <w:p w14:paraId="09C15E0E" w14:textId="38298004" w:rsidR="004912C8" w:rsidRPr="005B3B04" w:rsidRDefault="004912C8" w:rsidP="00E92750">
      <w:pPr>
        <w:pStyle w:val="NoSpacing"/>
        <w:numPr>
          <w:ilvl w:val="0"/>
          <w:numId w:val="1"/>
        </w:numPr>
      </w:pPr>
      <w:r w:rsidRPr="005B3B04">
        <w:t xml:space="preserve">Potrošnja </w:t>
      </w:r>
      <w:r w:rsidR="00436F13" w:rsidRPr="005B3B04">
        <w:t>energije po podsektorima</w:t>
      </w:r>
      <w:r w:rsidRPr="005B3B04">
        <w:t>.</w:t>
      </w:r>
    </w:p>
    <w:p w14:paraId="5A41FDCD" w14:textId="1BBEFBB2" w:rsidR="004912C8" w:rsidRPr="005B3B04" w:rsidRDefault="00B91211" w:rsidP="00E92750">
      <w:pPr>
        <w:pStyle w:val="Heading2"/>
        <w:spacing w:after="240"/>
      </w:pPr>
      <w:bookmarkStart w:id="153" w:name="_Toc447803197"/>
      <w:bookmarkStart w:id="154" w:name="_Toc468345362"/>
      <w:r w:rsidRPr="005B3B04">
        <w:t>VOZNI PARK U VLASNIŠTVU I KORIŠTENJU</w:t>
      </w:r>
      <w:r w:rsidR="004912C8" w:rsidRPr="005B3B04">
        <w:t xml:space="preserve"> </w:t>
      </w:r>
      <w:bookmarkEnd w:id="153"/>
      <w:r w:rsidRPr="005B3B04">
        <w:t>GRADA ZAGREBA</w:t>
      </w:r>
      <w:bookmarkEnd w:id="154"/>
      <w:r w:rsidR="002E74F3" w:rsidRPr="005B3B04">
        <w:t xml:space="preserve"> </w:t>
      </w:r>
    </w:p>
    <w:p w14:paraId="5C6534FE" w14:textId="77777777" w:rsidR="002E5201" w:rsidRPr="002E5201" w:rsidRDefault="004912C8" w:rsidP="00E92750">
      <w:pPr>
        <w:pStyle w:val="Heading3"/>
        <w:spacing w:after="240" w:line="240" w:lineRule="auto"/>
        <w:jc w:val="both"/>
        <w:rPr>
          <w:rFonts w:cstheme="minorHAnsi"/>
        </w:rPr>
      </w:pPr>
      <w:bookmarkStart w:id="155" w:name="_Toc447803198"/>
      <w:bookmarkStart w:id="156" w:name="_Toc468345363"/>
      <w:r w:rsidRPr="005B3B04">
        <w:t>Opći podaci</w:t>
      </w:r>
      <w:bookmarkEnd w:id="155"/>
      <w:bookmarkEnd w:id="156"/>
      <w:r w:rsidR="00453468" w:rsidRPr="005B3B04">
        <w:t xml:space="preserve"> </w:t>
      </w:r>
    </w:p>
    <w:p w14:paraId="3A5E76D4" w14:textId="47B07050" w:rsidR="004912C8" w:rsidRPr="006B2160" w:rsidRDefault="002E5201" w:rsidP="00E92750">
      <w:pPr>
        <w:spacing w:line="240" w:lineRule="auto"/>
        <w:jc w:val="both"/>
      </w:pPr>
      <w:r>
        <w:t>Vo</w:t>
      </w:r>
      <w:r w:rsidR="004912C8" w:rsidRPr="002E5201">
        <w:t xml:space="preserve">zni park u vlasništvu </w:t>
      </w:r>
      <w:r w:rsidR="00706A3D" w:rsidRPr="002E5201">
        <w:t xml:space="preserve">i korištenju </w:t>
      </w:r>
      <w:r w:rsidR="004912C8" w:rsidRPr="002E5201">
        <w:t xml:space="preserve">Grada </w:t>
      </w:r>
      <w:r w:rsidR="000F64C5" w:rsidRPr="002E5201">
        <w:t>Zagreba</w:t>
      </w:r>
      <w:r w:rsidR="004912C8" w:rsidRPr="002E5201">
        <w:t xml:space="preserve"> </w:t>
      </w:r>
      <w:r w:rsidR="00D62A6A" w:rsidRPr="002E5201">
        <w:t>obuhvaća</w:t>
      </w:r>
      <w:r w:rsidR="004912C8" w:rsidRPr="002E5201">
        <w:t xml:space="preserve"> osobne automobile te </w:t>
      </w:r>
      <w:r w:rsidR="000752FE" w:rsidRPr="002E5201">
        <w:t>ostala</w:t>
      </w:r>
      <w:r w:rsidR="004912C8" w:rsidRPr="002E5201">
        <w:t xml:space="preserve"> vozila u vlasništvu i </w:t>
      </w:r>
      <w:r w:rsidR="00E739E4" w:rsidRPr="002E5201">
        <w:t xml:space="preserve">korištenju </w:t>
      </w:r>
      <w:r w:rsidR="007700F9" w:rsidRPr="002E5201">
        <w:t>Gradske uprave, gradskih ustanova</w:t>
      </w:r>
      <w:r w:rsidR="00AC66A3" w:rsidRPr="002E5201">
        <w:t xml:space="preserve"> te trgovačkih</w:t>
      </w:r>
      <w:r w:rsidR="007700F9" w:rsidRPr="002E5201">
        <w:t xml:space="preserve"> društva u vlasništvu Grada</w:t>
      </w:r>
      <w:r w:rsidR="00D62A6A" w:rsidRPr="002E5201">
        <w:t xml:space="preserve"> Zagreba</w:t>
      </w:r>
      <w:r w:rsidR="007700F9" w:rsidRPr="002E5201">
        <w:t xml:space="preserve"> (primarno Zagrebački holding d.o.o.).</w:t>
      </w:r>
      <w:r w:rsidR="006B2160">
        <w:t xml:space="preserve"> </w:t>
      </w:r>
      <w:r w:rsidR="002922B8" w:rsidRPr="007B5061">
        <w:rPr>
          <w:rFonts w:cstheme="minorHAnsi"/>
        </w:rPr>
        <w:t xml:space="preserve">Ukupan broj vozila </w:t>
      </w:r>
      <w:r w:rsidR="002E74F3" w:rsidRPr="007B5061">
        <w:rPr>
          <w:rFonts w:cstheme="minorHAnsi"/>
        </w:rPr>
        <w:t>u ovoj kategoriji</w:t>
      </w:r>
      <w:r w:rsidR="0065210C" w:rsidRPr="007B5061">
        <w:rPr>
          <w:rFonts w:cstheme="minorHAnsi"/>
        </w:rPr>
        <w:t xml:space="preserve"> procijenjen</w:t>
      </w:r>
      <w:r w:rsidR="002E74F3" w:rsidRPr="007B5061">
        <w:rPr>
          <w:rFonts w:cstheme="minorHAnsi"/>
        </w:rPr>
        <w:t xml:space="preserve"> </w:t>
      </w:r>
      <w:r w:rsidR="002922B8" w:rsidRPr="007B5061">
        <w:rPr>
          <w:rFonts w:cstheme="minorHAnsi"/>
        </w:rPr>
        <w:t xml:space="preserve">je </w:t>
      </w:r>
      <w:r w:rsidR="0065210C" w:rsidRPr="007B5061">
        <w:rPr>
          <w:rFonts w:cstheme="minorHAnsi"/>
        </w:rPr>
        <w:t xml:space="preserve">na </w:t>
      </w:r>
      <w:r w:rsidR="00A85224" w:rsidRPr="007B5061">
        <w:rPr>
          <w:rFonts w:cstheme="minorHAnsi"/>
        </w:rPr>
        <w:t xml:space="preserve">2 </w:t>
      </w:r>
      <w:r w:rsidR="000752FE" w:rsidRPr="007B5061">
        <w:rPr>
          <w:rFonts w:cstheme="minorHAnsi"/>
        </w:rPr>
        <w:t>618</w:t>
      </w:r>
      <w:r w:rsidR="00C64640" w:rsidRPr="007B5061">
        <w:rPr>
          <w:rFonts w:cstheme="minorHAnsi"/>
        </w:rPr>
        <w:t>, od če</w:t>
      </w:r>
      <w:r w:rsidR="00EC6A1D" w:rsidRPr="007B5061">
        <w:rPr>
          <w:rFonts w:cstheme="minorHAnsi"/>
        </w:rPr>
        <w:t>ga je u vlasništvu Holdinga 2 318.</w:t>
      </w:r>
      <w:r w:rsidR="00EC6A1D" w:rsidRPr="007B5061">
        <w:rPr>
          <w:rFonts w:ascii="Calibri" w:eastAsia="Times New Roman" w:hAnsi="Calibri" w:cs="Calibri"/>
          <w:color w:val="000000"/>
          <w:lang w:eastAsia="hr-HR"/>
        </w:rPr>
        <w:t xml:space="preserve"> </w:t>
      </w:r>
      <w:r w:rsidR="00EC6A1D" w:rsidRPr="007B5061">
        <w:t>S obzirom na namje</w:t>
      </w:r>
      <w:r w:rsidR="00FD10C3" w:rsidRPr="007B5061">
        <w:t>nu 446 je osobnih vozila te 2 172 ostalih</w:t>
      </w:r>
      <w:r w:rsidR="000752FE" w:rsidRPr="007B5061">
        <w:t xml:space="preserve"> vozila</w:t>
      </w:r>
      <w:r w:rsidR="00A73F46">
        <w:t xml:space="preserve"> (teretna i radna)</w:t>
      </w:r>
      <w:r w:rsidR="000752FE" w:rsidRPr="007B5061">
        <w:t>.</w:t>
      </w:r>
    </w:p>
    <w:p w14:paraId="5501779C" w14:textId="1555E2DD" w:rsidR="004912C8" w:rsidRPr="007B5061" w:rsidRDefault="00406103" w:rsidP="00E92750">
      <w:pPr>
        <w:spacing w:line="240" w:lineRule="auto"/>
        <w:jc w:val="both"/>
      </w:pPr>
      <w:r w:rsidRPr="007B5061">
        <w:t xml:space="preserve">Prikaz potrošnje </w:t>
      </w:r>
      <w:r w:rsidR="004912C8" w:rsidRPr="007B5061">
        <w:t>goriva</w:t>
      </w:r>
      <w:r w:rsidRPr="007B5061">
        <w:t xml:space="preserve"> podsektora dan je</w:t>
      </w:r>
      <w:r w:rsidR="004912C8" w:rsidRPr="007B5061">
        <w:t xml:space="preserve"> u</w:t>
      </w:r>
      <w:r w:rsidR="00706A3D" w:rsidRPr="007B5061">
        <w:t xml:space="preserve"> </w:t>
      </w:r>
      <w:r w:rsidR="00706A3D" w:rsidRPr="007B5061">
        <w:fldChar w:fldCharType="begin"/>
      </w:r>
      <w:r w:rsidR="00706A3D" w:rsidRPr="007B5061">
        <w:instrText xml:space="preserve"> REF _Ref465669576 \h </w:instrText>
      </w:r>
      <w:r w:rsidR="007C7920" w:rsidRPr="007B5061">
        <w:instrText xml:space="preserve"> \* MERGEFORMAT </w:instrText>
      </w:r>
      <w:r w:rsidR="00706A3D" w:rsidRPr="007B5061">
        <w:fldChar w:fldCharType="separate"/>
      </w:r>
      <w:r w:rsidR="00D966AD">
        <w:rPr>
          <w:b/>
        </w:rPr>
        <w:t>Tablici</w:t>
      </w:r>
      <w:r w:rsidR="009C319B" w:rsidRPr="007B5061">
        <w:rPr>
          <w:b/>
        </w:rPr>
        <w:t xml:space="preserve"> </w:t>
      </w:r>
      <w:r w:rsidR="009C319B">
        <w:rPr>
          <w:b/>
          <w:noProof/>
        </w:rPr>
        <w:t>5</w:t>
      </w:r>
      <w:r w:rsidR="009C319B" w:rsidRPr="007B5061">
        <w:rPr>
          <w:b/>
          <w:noProof/>
        </w:rPr>
        <w:t>.</w:t>
      </w:r>
      <w:r w:rsidR="009C319B">
        <w:rPr>
          <w:b/>
          <w:noProof/>
        </w:rPr>
        <w:t>1</w:t>
      </w:r>
      <w:r w:rsidR="00706A3D" w:rsidRPr="007B5061">
        <w:fldChar w:fldCharType="end"/>
      </w:r>
      <w:r w:rsidR="004912C8" w:rsidRPr="007B5061">
        <w:t>.</w:t>
      </w:r>
    </w:p>
    <w:p w14:paraId="34567849" w14:textId="7BC4A792" w:rsidR="004912C8" w:rsidRPr="007B5061" w:rsidRDefault="004912C8" w:rsidP="00E92750">
      <w:pPr>
        <w:spacing w:after="0" w:line="240" w:lineRule="auto"/>
        <w:jc w:val="both"/>
      </w:pPr>
      <w:bookmarkStart w:id="157" w:name="_Ref465669576"/>
      <w:bookmarkStart w:id="158" w:name="_Toc468277507"/>
      <w:r w:rsidRPr="007B5061">
        <w:rPr>
          <w:b/>
        </w:rPr>
        <w:t xml:space="preserve">Tablica </w:t>
      </w:r>
      <w:r w:rsidR="000B3499" w:rsidRPr="007B5061">
        <w:rPr>
          <w:b/>
        </w:rPr>
        <w:fldChar w:fldCharType="begin"/>
      </w:r>
      <w:r w:rsidR="000B3499" w:rsidRPr="007B5061">
        <w:rPr>
          <w:b/>
        </w:rPr>
        <w:instrText xml:space="preserve"> STYLEREF 1 \s </w:instrText>
      </w:r>
      <w:r w:rsidR="000B3499" w:rsidRPr="007B5061">
        <w:rPr>
          <w:b/>
        </w:rPr>
        <w:fldChar w:fldCharType="separate"/>
      </w:r>
      <w:r w:rsidR="009C319B">
        <w:rPr>
          <w:b/>
          <w:noProof/>
        </w:rPr>
        <w:t>5</w:t>
      </w:r>
      <w:r w:rsidR="000B3499" w:rsidRPr="007B5061">
        <w:rPr>
          <w:b/>
        </w:rPr>
        <w:fldChar w:fldCharType="end"/>
      </w:r>
      <w:r w:rsidR="000B3499" w:rsidRPr="007B5061">
        <w:rPr>
          <w:b/>
        </w:rPr>
        <w:t>.</w:t>
      </w:r>
      <w:r w:rsidR="000B3499" w:rsidRPr="007B5061">
        <w:rPr>
          <w:b/>
        </w:rPr>
        <w:fldChar w:fldCharType="begin"/>
      </w:r>
      <w:r w:rsidR="000B3499" w:rsidRPr="007B5061">
        <w:rPr>
          <w:b/>
        </w:rPr>
        <w:instrText xml:space="preserve"> SEQ Tablica \* ARABIC \s 1 </w:instrText>
      </w:r>
      <w:r w:rsidR="000B3499" w:rsidRPr="007B5061">
        <w:rPr>
          <w:b/>
        </w:rPr>
        <w:fldChar w:fldCharType="separate"/>
      </w:r>
      <w:r w:rsidR="009C319B">
        <w:rPr>
          <w:b/>
          <w:noProof/>
        </w:rPr>
        <w:t>1</w:t>
      </w:r>
      <w:r w:rsidR="000B3499" w:rsidRPr="007B5061">
        <w:rPr>
          <w:b/>
        </w:rPr>
        <w:fldChar w:fldCharType="end"/>
      </w:r>
      <w:bookmarkEnd w:id="157"/>
      <w:r w:rsidRPr="007B5061">
        <w:rPr>
          <w:b/>
        </w:rPr>
        <w:t xml:space="preserve"> </w:t>
      </w:r>
      <w:r w:rsidRPr="007B5061">
        <w:t xml:space="preserve">Potrošnje goriva vozila u vlasništvu </w:t>
      </w:r>
      <w:r w:rsidR="0046711D" w:rsidRPr="007B5061">
        <w:t xml:space="preserve">i korištenju </w:t>
      </w:r>
      <w:r w:rsidRPr="007B5061">
        <w:t xml:space="preserve">Grada </w:t>
      </w:r>
      <w:r w:rsidR="000F64C5" w:rsidRPr="007B5061">
        <w:t>Zagreba</w:t>
      </w:r>
      <w:bookmarkEnd w:id="158"/>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937"/>
        <w:gridCol w:w="1659"/>
        <w:gridCol w:w="2078"/>
        <w:gridCol w:w="1901"/>
      </w:tblGrid>
      <w:tr w:rsidR="006D0DB7" w:rsidRPr="007B5061" w14:paraId="480D3B5B" w14:textId="77777777" w:rsidTr="006D0DB7">
        <w:trPr>
          <w:trHeight w:val="95"/>
        </w:trPr>
        <w:tc>
          <w:tcPr>
            <w:tcW w:w="772" w:type="pct"/>
            <w:shd w:val="clear" w:color="000000" w:fill="D9D9D9"/>
            <w:hideMark/>
          </w:tcPr>
          <w:p w14:paraId="143E033E" w14:textId="77777777" w:rsidR="00406103" w:rsidRPr="007B5061" w:rsidRDefault="00406103" w:rsidP="00E92750">
            <w:pPr>
              <w:spacing w:after="0" w:line="240" w:lineRule="auto"/>
              <w:jc w:val="center"/>
              <w:rPr>
                <w:rFonts w:ascii="Calibri" w:eastAsia="Times New Roman" w:hAnsi="Calibri" w:cs="Times New Roman"/>
                <w:b/>
                <w:bCs/>
                <w:color w:val="000000"/>
                <w:sz w:val="20"/>
                <w:szCs w:val="20"/>
                <w:lang w:eastAsia="hr-HR"/>
              </w:rPr>
            </w:pPr>
            <w:r w:rsidRPr="007B5061">
              <w:rPr>
                <w:rFonts w:ascii="Calibri" w:eastAsia="Times New Roman" w:hAnsi="Calibri" w:cs="Times New Roman"/>
                <w:b/>
                <w:bCs/>
                <w:color w:val="000000"/>
                <w:sz w:val="20"/>
                <w:szCs w:val="20"/>
                <w:lang w:eastAsia="hr-HR"/>
              </w:rPr>
              <w:t>Broj osobnih automobila</w:t>
            </w:r>
          </w:p>
        </w:tc>
        <w:tc>
          <w:tcPr>
            <w:tcW w:w="1081" w:type="pct"/>
            <w:shd w:val="clear" w:color="000000" w:fill="D9D9D9"/>
            <w:hideMark/>
          </w:tcPr>
          <w:p w14:paraId="2A0F1F7E" w14:textId="2FDBC622" w:rsidR="00406103" w:rsidRPr="007B5061" w:rsidRDefault="00406103" w:rsidP="00E92750">
            <w:pPr>
              <w:spacing w:after="0" w:line="240" w:lineRule="auto"/>
              <w:jc w:val="center"/>
              <w:rPr>
                <w:rFonts w:ascii="Calibri" w:eastAsia="Times New Roman" w:hAnsi="Calibri" w:cs="Times New Roman"/>
                <w:b/>
                <w:bCs/>
                <w:color w:val="000000"/>
                <w:sz w:val="20"/>
                <w:szCs w:val="20"/>
                <w:lang w:eastAsia="hr-HR"/>
              </w:rPr>
            </w:pPr>
            <w:r w:rsidRPr="007B5061">
              <w:rPr>
                <w:rFonts w:ascii="Calibri" w:eastAsia="Times New Roman" w:hAnsi="Calibri" w:cs="Times New Roman"/>
                <w:b/>
                <w:bCs/>
                <w:color w:val="000000"/>
                <w:sz w:val="20"/>
                <w:szCs w:val="20"/>
                <w:lang w:eastAsia="hr-HR"/>
              </w:rPr>
              <w:t xml:space="preserve">Broj </w:t>
            </w:r>
            <w:r w:rsidR="000752FE" w:rsidRPr="007B5061">
              <w:rPr>
                <w:rFonts w:ascii="Calibri" w:eastAsia="Times New Roman" w:hAnsi="Calibri" w:cs="Times New Roman"/>
                <w:b/>
                <w:bCs/>
                <w:color w:val="000000"/>
                <w:sz w:val="20"/>
                <w:szCs w:val="20"/>
                <w:lang w:eastAsia="hr-HR"/>
              </w:rPr>
              <w:t>ostalih vozila</w:t>
            </w:r>
          </w:p>
        </w:tc>
        <w:tc>
          <w:tcPr>
            <w:tcW w:w="926" w:type="pct"/>
            <w:shd w:val="clear" w:color="000000" w:fill="D9D9D9"/>
            <w:hideMark/>
          </w:tcPr>
          <w:p w14:paraId="2137E092" w14:textId="77777777" w:rsidR="00406103" w:rsidRPr="007B5061" w:rsidRDefault="00406103" w:rsidP="00E92750">
            <w:pPr>
              <w:spacing w:after="0" w:line="240" w:lineRule="auto"/>
              <w:jc w:val="center"/>
              <w:rPr>
                <w:rFonts w:ascii="Calibri" w:eastAsia="Times New Roman" w:hAnsi="Calibri" w:cs="Times New Roman"/>
                <w:b/>
                <w:bCs/>
                <w:color w:val="000000"/>
                <w:sz w:val="20"/>
                <w:szCs w:val="20"/>
                <w:lang w:eastAsia="hr-HR"/>
              </w:rPr>
            </w:pPr>
            <w:r w:rsidRPr="007B5061">
              <w:rPr>
                <w:rFonts w:ascii="Calibri" w:eastAsia="Times New Roman" w:hAnsi="Calibri" w:cs="Times New Roman"/>
                <w:b/>
                <w:bCs/>
                <w:color w:val="000000"/>
                <w:sz w:val="20"/>
                <w:szCs w:val="20"/>
                <w:lang w:eastAsia="hr-HR"/>
              </w:rPr>
              <w:t>Potrošnja dizela (l)</w:t>
            </w:r>
          </w:p>
        </w:tc>
        <w:tc>
          <w:tcPr>
            <w:tcW w:w="1160" w:type="pct"/>
            <w:shd w:val="clear" w:color="000000" w:fill="D9D9D9"/>
            <w:hideMark/>
          </w:tcPr>
          <w:p w14:paraId="77AEF290" w14:textId="77777777" w:rsidR="00406103" w:rsidRPr="007B5061" w:rsidRDefault="00406103" w:rsidP="00E92750">
            <w:pPr>
              <w:spacing w:after="0" w:line="240" w:lineRule="auto"/>
              <w:jc w:val="center"/>
              <w:rPr>
                <w:rFonts w:ascii="Calibri" w:eastAsia="Times New Roman" w:hAnsi="Calibri" w:cs="Times New Roman"/>
                <w:b/>
                <w:bCs/>
                <w:color w:val="000000"/>
                <w:sz w:val="20"/>
                <w:szCs w:val="20"/>
                <w:lang w:eastAsia="hr-HR"/>
              </w:rPr>
            </w:pPr>
            <w:r w:rsidRPr="007B5061">
              <w:rPr>
                <w:rFonts w:ascii="Calibri" w:eastAsia="Times New Roman" w:hAnsi="Calibri" w:cs="Times New Roman"/>
                <w:b/>
                <w:bCs/>
                <w:color w:val="000000"/>
                <w:sz w:val="20"/>
                <w:szCs w:val="20"/>
                <w:lang w:eastAsia="hr-HR"/>
              </w:rPr>
              <w:t>Potrošnja motornog benzina (l)</w:t>
            </w:r>
          </w:p>
        </w:tc>
        <w:tc>
          <w:tcPr>
            <w:tcW w:w="1061" w:type="pct"/>
            <w:shd w:val="clear" w:color="000000" w:fill="D9D9D9"/>
            <w:hideMark/>
          </w:tcPr>
          <w:p w14:paraId="0D9C80FE" w14:textId="77777777" w:rsidR="00406103" w:rsidRPr="007B5061" w:rsidRDefault="00406103" w:rsidP="00E92750">
            <w:pPr>
              <w:spacing w:after="0" w:line="240" w:lineRule="auto"/>
              <w:jc w:val="center"/>
              <w:rPr>
                <w:rFonts w:ascii="Calibri" w:eastAsia="Times New Roman" w:hAnsi="Calibri" w:cs="Times New Roman"/>
                <w:b/>
                <w:bCs/>
                <w:color w:val="000000"/>
                <w:sz w:val="20"/>
                <w:szCs w:val="20"/>
                <w:lang w:eastAsia="hr-HR"/>
              </w:rPr>
            </w:pPr>
            <w:r w:rsidRPr="007B5061">
              <w:rPr>
                <w:rFonts w:ascii="Calibri" w:eastAsia="Times New Roman" w:hAnsi="Calibri" w:cs="Times New Roman"/>
                <w:b/>
                <w:bCs/>
                <w:color w:val="000000"/>
                <w:sz w:val="20"/>
                <w:szCs w:val="20"/>
                <w:lang w:eastAsia="hr-HR"/>
              </w:rPr>
              <w:t>Potrošnja stlačenog prirodnog plina (m</w:t>
            </w:r>
            <w:r w:rsidRPr="007B5061">
              <w:rPr>
                <w:rFonts w:ascii="Calibri" w:eastAsia="Times New Roman" w:hAnsi="Calibri" w:cs="Times New Roman"/>
                <w:b/>
                <w:bCs/>
                <w:color w:val="000000"/>
                <w:sz w:val="20"/>
                <w:szCs w:val="20"/>
                <w:vertAlign w:val="superscript"/>
                <w:lang w:eastAsia="hr-HR"/>
              </w:rPr>
              <w:t>3</w:t>
            </w:r>
            <w:r w:rsidRPr="007B5061">
              <w:rPr>
                <w:rFonts w:ascii="Calibri" w:eastAsia="Times New Roman" w:hAnsi="Calibri" w:cs="Times New Roman"/>
                <w:b/>
                <w:bCs/>
                <w:color w:val="000000"/>
                <w:sz w:val="20"/>
                <w:szCs w:val="20"/>
                <w:lang w:eastAsia="hr-HR"/>
              </w:rPr>
              <w:t>)</w:t>
            </w:r>
          </w:p>
        </w:tc>
      </w:tr>
      <w:tr w:rsidR="006D0DB7" w:rsidRPr="007B5061" w14:paraId="5677A289" w14:textId="77777777" w:rsidTr="006D0DB7">
        <w:trPr>
          <w:trHeight w:val="64"/>
        </w:trPr>
        <w:tc>
          <w:tcPr>
            <w:tcW w:w="772" w:type="pct"/>
            <w:shd w:val="clear" w:color="000000" w:fill="D9D9D9"/>
            <w:noWrap/>
            <w:hideMark/>
          </w:tcPr>
          <w:p w14:paraId="4330EB8B" w14:textId="77777777" w:rsidR="00406103" w:rsidRPr="007B5061" w:rsidRDefault="00406103" w:rsidP="00E92750">
            <w:pPr>
              <w:spacing w:after="0" w:line="240" w:lineRule="auto"/>
              <w:jc w:val="center"/>
              <w:rPr>
                <w:rFonts w:ascii="Calibri" w:eastAsia="Times New Roman" w:hAnsi="Calibri" w:cs="Times New Roman"/>
                <w:bCs/>
                <w:color w:val="000000"/>
                <w:sz w:val="20"/>
                <w:szCs w:val="20"/>
                <w:lang w:eastAsia="hr-HR"/>
              </w:rPr>
            </w:pPr>
            <w:r w:rsidRPr="007B5061">
              <w:rPr>
                <w:rFonts w:ascii="Calibri" w:eastAsia="Times New Roman" w:hAnsi="Calibri" w:cs="Times New Roman"/>
                <w:bCs/>
                <w:color w:val="000000"/>
                <w:sz w:val="20"/>
                <w:szCs w:val="20"/>
                <w:lang w:eastAsia="hr-HR"/>
              </w:rPr>
              <w:t>446</w:t>
            </w:r>
          </w:p>
        </w:tc>
        <w:tc>
          <w:tcPr>
            <w:tcW w:w="1081" w:type="pct"/>
            <w:shd w:val="clear" w:color="000000" w:fill="D9D9D9"/>
            <w:noWrap/>
            <w:hideMark/>
          </w:tcPr>
          <w:p w14:paraId="46C8FF40" w14:textId="37D2D4CE" w:rsidR="00406103" w:rsidRPr="007B5061" w:rsidRDefault="003E4983" w:rsidP="00E92750">
            <w:pPr>
              <w:spacing w:after="0" w:line="240" w:lineRule="auto"/>
              <w:jc w:val="center"/>
              <w:rPr>
                <w:rFonts w:ascii="Calibri" w:eastAsia="Times New Roman" w:hAnsi="Calibri" w:cs="Times New Roman"/>
                <w:bCs/>
                <w:color w:val="000000"/>
                <w:sz w:val="20"/>
                <w:szCs w:val="20"/>
                <w:lang w:eastAsia="hr-HR"/>
              </w:rPr>
            </w:pPr>
            <w:r w:rsidRPr="007B5061">
              <w:rPr>
                <w:rFonts w:ascii="Calibri" w:eastAsia="Times New Roman" w:hAnsi="Calibri" w:cs="Times New Roman"/>
                <w:bCs/>
                <w:color w:val="000000"/>
                <w:sz w:val="20"/>
                <w:szCs w:val="20"/>
                <w:lang w:eastAsia="hr-HR"/>
              </w:rPr>
              <w:t xml:space="preserve">2 </w:t>
            </w:r>
            <w:r w:rsidR="000752FE" w:rsidRPr="007B5061">
              <w:rPr>
                <w:rFonts w:ascii="Calibri" w:eastAsia="Times New Roman" w:hAnsi="Calibri" w:cs="Times New Roman"/>
                <w:bCs/>
                <w:color w:val="000000"/>
                <w:sz w:val="20"/>
                <w:szCs w:val="20"/>
                <w:lang w:eastAsia="hr-HR"/>
              </w:rPr>
              <w:t>172</w:t>
            </w:r>
          </w:p>
        </w:tc>
        <w:tc>
          <w:tcPr>
            <w:tcW w:w="926" w:type="pct"/>
            <w:shd w:val="clear" w:color="000000" w:fill="D9D9D9"/>
            <w:noWrap/>
            <w:hideMark/>
          </w:tcPr>
          <w:p w14:paraId="27F5063B" w14:textId="56B95B08" w:rsidR="00406103" w:rsidRPr="007B5061" w:rsidRDefault="000752FE" w:rsidP="00E92750">
            <w:pPr>
              <w:spacing w:after="0" w:line="240" w:lineRule="auto"/>
              <w:jc w:val="center"/>
              <w:rPr>
                <w:rFonts w:ascii="Calibri" w:eastAsia="Times New Roman" w:hAnsi="Calibri" w:cs="Times New Roman"/>
                <w:bCs/>
                <w:color w:val="000000"/>
                <w:sz w:val="20"/>
                <w:szCs w:val="20"/>
                <w:lang w:eastAsia="hr-HR"/>
              </w:rPr>
            </w:pPr>
            <w:r w:rsidRPr="007B5061">
              <w:rPr>
                <w:rFonts w:ascii="Calibri" w:eastAsia="Times New Roman" w:hAnsi="Calibri" w:cs="Times New Roman"/>
                <w:bCs/>
                <w:color w:val="000000"/>
                <w:sz w:val="20"/>
                <w:szCs w:val="20"/>
                <w:lang w:eastAsia="hr-HR"/>
              </w:rPr>
              <w:t>3 603 887</w:t>
            </w:r>
          </w:p>
        </w:tc>
        <w:tc>
          <w:tcPr>
            <w:tcW w:w="1160" w:type="pct"/>
            <w:shd w:val="clear" w:color="000000" w:fill="D9D9D9"/>
            <w:noWrap/>
            <w:hideMark/>
          </w:tcPr>
          <w:p w14:paraId="7DFCBFF3" w14:textId="352B6435" w:rsidR="00406103" w:rsidRPr="007B5061" w:rsidRDefault="000752FE" w:rsidP="00E92750">
            <w:pPr>
              <w:spacing w:after="0" w:line="240" w:lineRule="auto"/>
              <w:jc w:val="center"/>
              <w:rPr>
                <w:rFonts w:ascii="Calibri" w:eastAsia="Times New Roman" w:hAnsi="Calibri" w:cs="Times New Roman"/>
                <w:bCs/>
                <w:color w:val="000000"/>
                <w:sz w:val="20"/>
                <w:szCs w:val="20"/>
                <w:lang w:eastAsia="hr-HR"/>
              </w:rPr>
            </w:pPr>
            <w:r w:rsidRPr="007B5061">
              <w:rPr>
                <w:rFonts w:ascii="Calibri" w:eastAsia="Times New Roman" w:hAnsi="Calibri" w:cs="Times New Roman"/>
                <w:bCs/>
                <w:color w:val="000000"/>
                <w:sz w:val="20"/>
                <w:szCs w:val="20"/>
                <w:lang w:eastAsia="hr-HR"/>
              </w:rPr>
              <w:t>188 027</w:t>
            </w:r>
          </w:p>
        </w:tc>
        <w:tc>
          <w:tcPr>
            <w:tcW w:w="1061" w:type="pct"/>
            <w:shd w:val="clear" w:color="000000" w:fill="D9D9D9"/>
            <w:noWrap/>
            <w:hideMark/>
          </w:tcPr>
          <w:p w14:paraId="645CC828" w14:textId="756BA405" w:rsidR="00406103" w:rsidRPr="007B5061" w:rsidRDefault="003E4983" w:rsidP="00E92750">
            <w:pPr>
              <w:spacing w:after="0" w:line="240" w:lineRule="auto"/>
              <w:jc w:val="center"/>
              <w:rPr>
                <w:rFonts w:ascii="Calibri" w:eastAsia="Times New Roman" w:hAnsi="Calibri" w:cs="Times New Roman"/>
                <w:bCs/>
                <w:color w:val="000000"/>
                <w:sz w:val="20"/>
                <w:szCs w:val="20"/>
                <w:lang w:eastAsia="hr-HR"/>
              </w:rPr>
            </w:pPr>
            <w:r w:rsidRPr="007B5061">
              <w:rPr>
                <w:rFonts w:ascii="Calibri" w:eastAsia="Times New Roman" w:hAnsi="Calibri" w:cs="Times New Roman"/>
                <w:bCs/>
                <w:color w:val="000000"/>
                <w:sz w:val="20"/>
                <w:szCs w:val="20"/>
                <w:lang w:eastAsia="hr-HR"/>
              </w:rPr>
              <w:t xml:space="preserve">20 </w:t>
            </w:r>
            <w:r w:rsidR="00406103" w:rsidRPr="007B5061">
              <w:rPr>
                <w:rFonts w:ascii="Calibri" w:eastAsia="Times New Roman" w:hAnsi="Calibri" w:cs="Times New Roman"/>
                <w:bCs/>
                <w:color w:val="000000"/>
                <w:sz w:val="20"/>
                <w:szCs w:val="20"/>
                <w:lang w:eastAsia="hr-HR"/>
              </w:rPr>
              <w:t>778</w:t>
            </w:r>
          </w:p>
        </w:tc>
      </w:tr>
    </w:tbl>
    <w:p w14:paraId="0125754A" w14:textId="33C50A92" w:rsidR="004912C8" w:rsidRPr="007B5061" w:rsidRDefault="004912C8" w:rsidP="00A16956">
      <w:pPr>
        <w:spacing w:before="240" w:line="240" w:lineRule="auto"/>
        <w:jc w:val="both"/>
        <w:rPr>
          <w:rFonts w:eastAsia="Calibri" w:cs="Times New Roman"/>
        </w:rPr>
      </w:pPr>
      <w:r w:rsidRPr="007B5061">
        <w:rPr>
          <w:rFonts w:eastAsia="Calibri" w:cs="Times New Roman"/>
        </w:rPr>
        <w:t>Struktura voznog parka</w:t>
      </w:r>
      <w:r w:rsidR="00A16956">
        <w:rPr>
          <w:rFonts w:eastAsia="Calibri" w:cs="Times New Roman"/>
        </w:rPr>
        <w:t xml:space="preserve"> u vlasništvu i korištenju Grada Zagreba</w:t>
      </w:r>
      <w:r w:rsidR="00706A3D" w:rsidRPr="007B5061">
        <w:rPr>
          <w:rFonts w:eastAsia="Calibri" w:cs="Times New Roman"/>
        </w:rPr>
        <w:t xml:space="preserve"> prema namjeni vozila prikazana je na </w:t>
      </w:r>
      <w:r w:rsidR="00706A3D" w:rsidRPr="007B5061">
        <w:rPr>
          <w:rFonts w:eastAsia="Calibri" w:cs="Times New Roman"/>
        </w:rPr>
        <w:fldChar w:fldCharType="begin"/>
      </w:r>
      <w:r w:rsidR="00706A3D" w:rsidRPr="007B5061">
        <w:rPr>
          <w:rFonts w:eastAsia="Calibri" w:cs="Times New Roman"/>
        </w:rPr>
        <w:instrText xml:space="preserve"> REF _Ref465669654 \h </w:instrText>
      </w:r>
      <w:r w:rsidR="007C7920" w:rsidRPr="007B5061">
        <w:rPr>
          <w:rFonts w:eastAsia="Calibri" w:cs="Times New Roman"/>
        </w:rPr>
        <w:instrText xml:space="preserve"> \* MERGEFORMAT </w:instrText>
      </w:r>
      <w:r w:rsidR="00706A3D" w:rsidRPr="007B5061">
        <w:rPr>
          <w:rFonts w:eastAsia="Calibri" w:cs="Times New Roman"/>
        </w:rPr>
      </w:r>
      <w:r w:rsidR="00706A3D" w:rsidRPr="007B5061">
        <w:rPr>
          <w:rFonts w:eastAsia="Calibri" w:cs="Times New Roman"/>
        </w:rPr>
        <w:fldChar w:fldCharType="separate"/>
      </w:r>
      <w:r w:rsidR="00E33757">
        <w:rPr>
          <w:rFonts w:eastAsia="Calibri" w:cs="Times New Roman"/>
          <w:b/>
          <w:bCs/>
        </w:rPr>
        <w:t>Slici</w:t>
      </w:r>
      <w:r w:rsidR="009C319B" w:rsidRPr="00E979BB">
        <w:rPr>
          <w:rFonts w:eastAsia="Calibri" w:cs="Times New Roman"/>
          <w:b/>
          <w:bCs/>
        </w:rPr>
        <w:t xml:space="preserve"> </w:t>
      </w:r>
      <w:r w:rsidR="009C319B">
        <w:rPr>
          <w:rFonts w:eastAsia="Calibri" w:cs="Times New Roman"/>
          <w:b/>
          <w:bCs/>
          <w:noProof/>
        </w:rPr>
        <w:t>5</w:t>
      </w:r>
      <w:r w:rsidR="009C319B" w:rsidRPr="00E979BB">
        <w:rPr>
          <w:rFonts w:eastAsia="Calibri" w:cs="Times New Roman"/>
          <w:b/>
          <w:bCs/>
          <w:noProof/>
        </w:rPr>
        <w:t>.</w:t>
      </w:r>
      <w:r w:rsidR="009C319B">
        <w:rPr>
          <w:rFonts w:eastAsia="Calibri" w:cs="Times New Roman"/>
          <w:b/>
          <w:bCs/>
          <w:noProof/>
        </w:rPr>
        <w:t>1</w:t>
      </w:r>
      <w:r w:rsidR="00706A3D" w:rsidRPr="007B5061">
        <w:rPr>
          <w:rFonts w:eastAsia="Calibri" w:cs="Times New Roman"/>
        </w:rPr>
        <w:fldChar w:fldCharType="end"/>
      </w:r>
      <w:r w:rsidRPr="007B5061">
        <w:rPr>
          <w:rFonts w:eastAsia="Calibri" w:cs="Times New Roman"/>
        </w:rPr>
        <w:t xml:space="preserve">., dok </w:t>
      </w:r>
      <w:r w:rsidR="0046711D" w:rsidRPr="007B5061">
        <w:rPr>
          <w:rFonts w:eastAsia="Calibri" w:cs="Times New Roman"/>
        </w:rPr>
        <w:t>je potrošnja goriva</w:t>
      </w:r>
      <w:r w:rsidRPr="007B5061">
        <w:rPr>
          <w:rFonts w:eastAsia="Calibri" w:cs="Times New Roman"/>
        </w:rPr>
        <w:t xml:space="preserve"> prema vrsti</w:t>
      </w:r>
      <w:r w:rsidR="0005645D">
        <w:rPr>
          <w:rFonts w:eastAsia="Calibri" w:cs="Times New Roman"/>
        </w:rPr>
        <w:t xml:space="preserve"> pogonskog</w:t>
      </w:r>
      <w:r w:rsidRPr="007B5061">
        <w:rPr>
          <w:rFonts w:eastAsia="Calibri" w:cs="Times New Roman"/>
        </w:rPr>
        <w:t xml:space="preserve"> goriva prikazana n</w:t>
      </w:r>
      <w:r w:rsidR="002922B8" w:rsidRPr="007B5061">
        <w:rPr>
          <w:rFonts w:eastAsia="Calibri" w:cs="Times New Roman"/>
        </w:rPr>
        <w:t xml:space="preserve">a </w:t>
      </w:r>
      <w:r w:rsidR="00706A3D" w:rsidRPr="007B5061">
        <w:rPr>
          <w:rFonts w:eastAsia="Calibri" w:cs="Times New Roman"/>
        </w:rPr>
        <w:fldChar w:fldCharType="begin"/>
      </w:r>
      <w:r w:rsidR="00706A3D" w:rsidRPr="007B5061">
        <w:rPr>
          <w:rFonts w:eastAsia="Calibri" w:cs="Times New Roman"/>
        </w:rPr>
        <w:instrText xml:space="preserve"> REF _Ref465669703 \h </w:instrText>
      </w:r>
      <w:r w:rsidR="007C7920" w:rsidRPr="007B5061">
        <w:rPr>
          <w:rFonts w:eastAsia="Calibri" w:cs="Times New Roman"/>
        </w:rPr>
        <w:instrText xml:space="preserve"> \* MERGEFORMAT </w:instrText>
      </w:r>
      <w:r w:rsidR="00706A3D" w:rsidRPr="007B5061">
        <w:rPr>
          <w:rFonts w:eastAsia="Calibri" w:cs="Times New Roman"/>
        </w:rPr>
      </w:r>
      <w:r w:rsidR="00706A3D" w:rsidRPr="007B5061">
        <w:rPr>
          <w:rFonts w:eastAsia="Calibri" w:cs="Times New Roman"/>
        </w:rPr>
        <w:fldChar w:fldCharType="separate"/>
      </w:r>
      <w:r w:rsidR="00E33757">
        <w:rPr>
          <w:rFonts w:eastAsia="Calibri" w:cs="Times New Roman"/>
          <w:b/>
          <w:bCs/>
        </w:rPr>
        <w:t>Slici</w:t>
      </w:r>
      <w:r w:rsidR="009C319B" w:rsidRPr="007E0247">
        <w:rPr>
          <w:rFonts w:eastAsia="Calibri" w:cs="Times New Roman"/>
          <w:b/>
          <w:bCs/>
        </w:rPr>
        <w:t xml:space="preserve"> </w:t>
      </w:r>
      <w:r w:rsidR="009C319B">
        <w:rPr>
          <w:rFonts w:eastAsia="Calibri" w:cs="Times New Roman"/>
          <w:b/>
          <w:bCs/>
          <w:noProof/>
        </w:rPr>
        <w:t>5</w:t>
      </w:r>
      <w:r w:rsidR="009C319B" w:rsidRPr="007E0247">
        <w:rPr>
          <w:rFonts w:eastAsia="Calibri" w:cs="Times New Roman"/>
          <w:b/>
          <w:bCs/>
          <w:noProof/>
        </w:rPr>
        <w:t>.</w:t>
      </w:r>
      <w:r w:rsidR="009C319B">
        <w:rPr>
          <w:rFonts w:eastAsia="Calibri" w:cs="Times New Roman"/>
          <w:b/>
          <w:bCs/>
          <w:noProof/>
        </w:rPr>
        <w:t>2</w:t>
      </w:r>
      <w:r w:rsidR="00706A3D" w:rsidRPr="007B5061">
        <w:rPr>
          <w:rFonts w:eastAsia="Calibri" w:cs="Times New Roman"/>
        </w:rPr>
        <w:fldChar w:fldCharType="end"/>
      </w:r>
      <w:r w:rsidRPr="007B5061">
        <w:rPr>
          <w:rFonts w:eastAsia="Calibri" w:cs="Times New Roman"/>
        </w:rPr>
        <w:t>.</w:t>
      </w:r>
    </w:p>
    <w:p w14:paraId="15113748" w14:textId="5DC0F813" w:rsidR="004912C8" w:rsidRPr="00E979BB" w:rsidRDefault="00604FE6" w:rsidP="00E92750">
      <w:pPr>
        <w:spacing w:after="0" w:line="240" w:lineRule="auto"/>
        <w:jc w:val="center"/>
        <w:rPr>
          <w:noProof/>
          <w:lang w:eastAsia="hr-HR"/>
        </w:rPr>
      </w:pPr>
      <w:r w:rsidRPr="00E979BB">
        <w:rPr>
          <w:noProof/>
          <w:lang w:eastAsia="hr-HR"/>
        </w:rPr>
        <w:drawing>
          <wp:inline distT="0" distB="0" distL="0" distR="0" wp14:anchorId="4EF9DC80" wp14:editId="13030AD1">
            <wp:extent cx="3657600" cy="1989734"/>
            <wp:effectExtent l="38100" t="0" r="0" b="0"/>
            <wp:docPr id="5" name="Chart 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0827CC1" w14:textId="0C883927" w:rsidR="004912C8" w:rsidRPr="00E979BB" w:rsidRDefault="004912C8" w:rsidP="00E92750">
      <w:pPr>
        <w:spacing w:line="240" w:lineRule="auto"/>
        <w:jc w:val="center"/>
        <w:rPr>
          <w:rFonts w:eastAsia="Calibri" w:cs="Times New Roman"/>
          <w:bCs/>
          <w:noProof/>
        </w:rPr>
      </w:pPr>
      <w:bookmarkStart w:id="159" w:name="_Ref465669654"/>
      <w:bookmarkStart w:id="160" w:name="_Toc447802985"/>
      <w:bookmarkStart w:id="161" w:name="_Toc468277437"/>
      <w:r w:rsidRPr="00E979BB">
        <w:rPr>
          <w:rFonts w:eastAsia="Calibri" w:cs="Times New Roman"/>
          <w:b/>
          <w:bCs/>
        </w:rPr>
        <w:t xml:space="preserve">Slika </w:t>
      </w:r>
      <w:r w:rsidRPr="00E979BB">
        <w:rPr>
          <w:rFonts w:eastAsia="Calibri" w:cs="Times New Roman"/>
          <w:b/>
          <w:bCs/>
        </w:rPr>
        <w:fldChar w:fldCharType="begin"/>
      </w:r>
      <w:r w:rsidRPr="00E979BB">
        <w:rPr>
          <w:rFonts w:eastAsia="Calibri" w:cs="Times New Roman"/>
          <w:b/>
          <w:bCs/>
        </w:rPr>
        <w:instrText xml:space="preserve"> STYLEREF 1 \s </w:instrText>
      </w:r>
      <w:r w:rsidRPr="00E979BB">
        <w:rPr>
          <w:rFonts w:eastAsia="Calibri" w:cs="Times New Roman"/>
          <w:b/>
          <w:bCs/>
        </w:rPr>
        <w:fldChar w:fldCharType="separate"/>
      </w:r>
      <w:r w:rsidR="009C319B">
        <w:rPr>
          <w:rFonts w:eastAsia="Calibri" w:cs="Times New Roman"/>
          <w:b/>
          <w:bCs/>
          <w:noProof/>
        </w:rPr>
        <w:t>5</w:t>
      </w:r>
      <w:r w:rsidRPr="00E979BB">
        <w:rPr>
          <w:rFonts w:eastAsia="Calibri" w:cs="Times New Roman"/>
          <w:b/>
          <w:bCs/>
        </w:rPr>
        <w:fldChar w:fldCharType="end"/>
      </w:r>
      <w:r w:rsidRPr="00E979BB">
        <w:rPr>
          <w:rFonts w:eastAsia="Calibri" w:cs="Times New Roman"/>
          <w:b/>
          <w:bCs/>
        </w:rPr>
        <w:t>.</w:t>
      </w:r>
      <w:r w:rsidRPr="00E979BB">
        <w:rPr>
          <w:rFonts w:eastAsia="Calibri" w:cs="Times New Roman"/>
          <w:b/>
          <w:bCs/>
        </w:rPr>
        <w:fldChar w:fldCharType="begin"/>
      </w:r>
      <w:r w:rsidRPr="00E979BB">
        <w:rPr>
          <w:rFonts w:eastAsia="Calibri" w:cs="Times New Roman"/>
          <w:b/>
          <w:bCs/>
        </w:rPr>
        <w:instrText xml:space="preserve"> SEQ Slika \* ARABIC \s 1 </w:instrText>
      </w:r>
      <w:r w:rsidRPr="00E979BB">
        <w:rPr>
          <w:rFonts w:eastAsia="Calibri" w:cs="Times New Roman"/>
          <w:b/>
          <w:bCs/>
        </w:rPr>
        <w:fldChar w:fldCharType="separate"/>
      </w:r>
      <w:r w:rsidR="009C319B">
        <w:rPr>
          <w:rFonts w:eastAsia="Calibri" w:cs="Times New Roman"/>
          <w:b/>
          <w:bCs/>
          <w:noProof/>
        </w:rPr>
        <w:t>1</w:t>
      </w:r>
      <w:r w:rsidRPr="00E979BB">
        <w:rPr>
          <w:rFonts w:eastAsia="Calibri" w:cs="Times New Roman"/>
          <w:b/>
          <w:bCs/>
        </w:rPr>
        <w:fldChar w:fldCharType="end"/>
      </w:r>
      <w:bookmarkEnd w:id="159"/>
      <w:r w:rsidRPr="00E979BB">
        <w:rPr>
          <w:rFonts w:eastAsia="Calibri" w:cs="Times New Roman"/>
          <w:b/>
          <w:bCs/>
          <w:noProof/>
        </w:rPr>
        <w:t xml:space="preserve"> </w:t>
      </w:r>
      <w:r w:rsidR="00403427" w:rsidRPr="00E979BB">
        <w:rPr>
          <w:rFonts w:eastAsia="Calibri" w:cs="Times New Roman"/>
          <w:bCs/>
          <w:noProof/>
        </w:rPr>
        <w:t>Struktura voznog</w:t>
      </w:r>
      <w:r w:rsidR="00706A3D" w:rsidRPr="00E979BB">
        <w:rPr>
          <w:rFonts w:eastAsia="Calibri" w:cs="Times New Roman"/>
          <w:bCs/>
          <w:noProof/>
        </w:rPr>
        <w:t xml:space="preserve"> parka</w:t>
      </w:r>
      <w:r w:rsidR="00403427" w:rsidRPr="00E979BB">
        <w:rPr>
          <w:rFonts w:eastAsia="Calibri" w:cs="Times New Roman"/>
          <w:bCs/>
          <w:noProof/>
        </w:rPr>
        <w:t xml:space="preserve"> </w:t>
      </w:r>
      <w:r w:rsidR="00FB1EA0" w:rsidRPr="00E979BB">
        <w:rPr>
          <w:rFonts w:eastAsia="Calibri" w:cs="Times New Roman"/>
          <w:bCs/>
          <w:noProof/>
        </w:rPr>
        <w:t xml:space="preserve">podsektora </w:t>
      </w:r>
      <w:bookmarkEnd w:id="160"/>
      <w:r w:rsidR="006D0DB7" w:rsidRPr="00E979BB">
        <w:rPr>
          <w:rFonts w:eastAsia="Calibri" w:cs="Times New Roman"/>
          <w:bCs/>
          <w:noProof/>
        </w:rPr>
        <w:t>vozni park u vlasništvu i korištenju Grada Zagreba</w:t>
      </w:r>
      <w:r w:rsidR="00706A3D" w:rsidRPr="00E979BB">
        <w:rPr>
          <w:rFonts w:eastAsia="Calibri" w:cs="Times New Roman"/>
          <w:bCs/>
          <w:noProof/>
        </w:rPr>
        <w:t xml:space="preserve"> prema namjeni vozila</w:t>
      </w:r>
      <w:bookmarkEnd w:id="161"/>
    </w:p>
    <w:p w14:paraId="6F255361" w14:textId="544370C2" w:rsidR="00520A2F" w:rsidRPr="00E979BB" w:rsidRDefault="006D0DB7" w:rsidP="008B4018">
      <w:pPr>
        <w:spacing w:before="240" w:line="240" w:lineRule="auto"/>
        <w:jc w:val="both"/>
        <w:rPr>
          <w:rFonts w:eastAsia="Calibri" w:cs="Times New Roman"/>
          <w:b/>
          <w:bCs/>
        </w:rPr>
      </w:pPr>
      <w:r w:rsidRPr="00E979BB">
        <w:rPr>
          <w:rFonts w:eastAsia="Calibri" w:cs="Times New Roman"/>
          <w:bCs/>
          <w:noProof/>
        </w:rPr>
        <w:t xml:space="preserve">Gledajući </w:t>
      </w:r>
      <w:r w:rsidR="00706A3D" w:rsidRPr="00E979BB">
        <w:rPr>
          <w:rFonts w:eastAsia="Calibri" w:cs="Times New Roman"/>
          <w:bCs/>
          <w:noProof/>
        </w:rPr>
        <w:t xml:space="preserve">strukturu voznog parka </w:t>
      </w:r>
      <w:r w:rsidR="00E979BB" w:rsidRPr="00E979BB">
        <w:rPr>
          <w:rFonts w:eastAsia="Calibri" w:cs="Times New Roman"/>
          <w:bCs/>
          <w:noProof/>
        </w:rPr>
        <w:t>u vlasništvu i korištenju Grada Zagreba</w:t>
      </w:r>
      <w:r w:rsidR="00706A3D" w:rsidRPr="00E979BB">
        <w:rPr>
          <w:rFonts w:eastAsia="Calibri" w:cs="Times New Roman"/>
          <w:bCs/>
          <w:noProof/>
        </w:rPr>
        <w:t xml:space="preserve"> s obzirom na namjenu vozila</w:t>
      </w:r>
      <w:r w:rsidR="00C22DAA" w:rsidRPr="00E979BB">
        <w:rPr>
          <w:rFonts w:eastAsia="Calibri" w:cs="Times New Roman"/>
          <w:bCs/>
          <w:noProof/>
        </w:rPr>
        <w:t>,</w:t>
      </w:r>
      <w:r w:rsidR="00604FE6" w:rsidRPr="00E979BB">
        <w:rPr>
          <w:rFonts w:eastAsia="Calibri" w:cs="Times New Roman"/>
          <w:bCs/>
          <w:noProof/>
        </w:rPr>
        <w:t xml:space="preserve"> 82,96</w:t>
      </w:r>
      <w:r w:rsidR="00520A2F" w:rsidRPr="00E979BB">
        <w:rPr>
          <w:rFonts w:eastAsia="Calibri" w:cs="Times New Roman"/>
          <w:bCs/>
          <w:noProof/>
        </w:rPr>
        <w:t xml:space="preserve">% čine </w:t>
      </w:r>
      <w:r w:rsidR="00604FE6" w:rsidRPr="00E979BB">
        <w:rPr>
          <w:rFonts w:eastAsia="Calibri" w:cs="Times New Roman"/>
          <w:bCs/>
          <w:noProof/>
        </w:rPr>
        <w:t xml:space="preserve">ostala </w:t>
      </w:r>
      <w:r w:rsidRPr="00E979BB">
        <w:rPr>
          <w:rFonts w:eastAsia="Calibri" w:cs="Times New Roman"/>
          <w:bCs/>
          <w:noProof/>
        </w:rPr>
        <w:t xml:space="preserve">vozila, dok </w:t>
      </w:r>
      <w:r w:rsidR="00604FE6" w:rsidRPr="00E979BB">
        <w:rPr>
          <w:rFonts w:eastAsia="Calibri" w:cs="Times New Roman"/>
          <w:bCs/>
          <w:noProof/>
        </w:rPr>
        <w:t>je udio osobnih automobila 17,04</w:t>
      </w:r>
      <w:r w:rsidRPr="00E979BB">
        <w:rPr>
          <w:rFonts w:eastAsia="Calibri" w:cs="Times New Roman"/>
          <w:bCs/>
          <w:noProof/>
        </w:rPr>
        <w:t>%.</w:t>
      </w:r>
    </w:p>
    <w:p w14:paraId="5616BC5A" w14:textId="08C4A501" w:rsidR="0080543C" w:rsidRPr="007E0247" w:rsidRDefault="0080543C" w:rsidP="00E92750">
      <w:pPr>
        <w:spacing w:after="0" w:line="240" w:lineRule="auto"/>
        <w:jc w:val="center"/>
        <w:rPr>
          <w:noProof/>
          <w:lang w:eastAsia="hr-HR"/>
        </w:rPr>
      </w:pPr>
      <w:r w:rsidRPr="007E0247">
        <w:rPr>
          <w:noProof/>
          <w:lang w:eastAsia="hr-HR"/>
        </w:rPr>
        <w:lastRenderedPageBreak/>
        <w:drawing>
          <wp:inline distT="0" distB="0" distL="0" distR="0" wp14:anchorId="7AFABDA6" wp14:editId="004A828B">
            <wp:extent cx="5042036" cy="3047898"/>
            <wp:effectExtent l="0" t="0" r="6350" b="635"/>
            <wp:docPr id="9" name="Chart 9">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708C23" w14:textId="292DA58B" w:rsidR="009A185E" w:rsidRPr="007E0247" w:rsidRDefault="004912C8" w:rsidP="00E92750">
      <w:pPr>
        <w:spacing w:line="240" w:lineRule="auto"/>
        <w:jc w:val="center"/>
        <w:rPr>
          <w:rFonts w:eastAsia="Calibri" w:cs="Times New Roman"/>
          <w:bCs/>
          <w:noProof/>
        </w:rPr>
      </w:pPr>
      <w:bookmarkStart w:id="162" w:name="_Ref465669703"/>
      <w:bookmarkStart w:id="163" w:name="_Toc468277438"/>
      <w:bookmarkStart w:id="164" w:name="_Toc447802986"/>
      <w:r w:rsidRPr="007E0247">
        <w:rPr>
          <w:rFonts w:eastAsia="Calibri" w:cs="Times New Roman"/>
          <w:b/>
          <w:bCs/>
        </w:rPr>
        <w:t xml:space="preserve">Slika </w:t>
      </w:r>
      <w:r w:rsidRPr="007E0247">
        <w:rPr>
          <w:rFonts w:eastAsia="Calibri" w:cs="Times New Roman"/>
          <w:b/>
          <w:bCs/>
        </w:rPr>
        <w:fldChar w:fldCharType="begin"/>
      </w:r>
      <w:r w:rsidRPr="007E0247">
        <w:rPr>
          <w:rFonts w:eastAsia="Calibri" w:cs="Times New Roman"/>
          <w:b/>
          <w:bCs/>
        </w:rPr>
        <w:instrText xml:space="preserve"> STYLEREF 1 \s </w:instrText>
      </w:r>
      <w:r w:rsidRPr="007E0247">
        <w:rPr>
          <w:rFonts w:eastAsia="Calibri" w:cs="Times New Roman"/>
          <w:b/>
          <w:bCs/>
        </w:rPr>
        <w:fldChar w:fldCharType="separate"/>
      </w:r>
      <w:r w:rsidR="009C319B">
        <w:rPr>
          <w:rFonts w:eastAsia="Calibri" w:cs="Times New Roman"/>
          <w:b/>
          <w:bCs/>
          <w:noProof/>
        </w:rPr>
        <w:t>5</w:t>
      </w:r>
      <w:r w:rsidRPr="007E0247">
        <w:rPr>
          <w:rFonts w:eastAsia="Calibri" w:cs="Times New Roman"/>
          <w:b/>
          <w:bCs/>
        </w:rPr>
        <w:fldChar w:fldCharType="end"/>
      </w:r>
      <w:r w:rsidRPr="007E0247">
        <w:rPr>
          <w:rFonts w:eastAsia="Calibri" w:cs="Times New Roman"/>
          <w:b/>
          <w:bCs/>
        </w:rPr>
        <w:t>.</w:t>
      </w:r>
      <w:r w:rsidRPr="007E0247">
        <w:rPr>
          <w:rFonts w:eastAsia="Calibri" w:cs="Times New Roman"/>
          <w:b/>
          <w:bCs/>
        </w:rPr>
        <w:fldChar w:fldCharType="begin"/>
      </w:r>
      <w:r w:rsidRPr="007E0247">
        <w:rPr>
          <w:rFonts w:eastAsia="Calibri" w:cs="Times New Roman"/>
          <w:b/>
          <w:bCs/>
        </w:rPr>
        <w:instrText xml:space="preserve"> SEQ Slika \* ARABIC \s 1 </w:instrText>
      </w:r>
      <w:r w:rsidRPr="007E0247">
        <w:rPr>
          <w:rFonts w:eastAsia="Calibri" w:cs="Times New Roman"/>
          <w:b/>
          <w:bCs/>
        </w:rPr>
        <w:fldChar w:fldCharType="separate"/>
      </w:r>
      <w:r w:rsidR="009C319B">
        <w:rPr>
          <w:rFonts w:eastAsia="Calibri" w:cs="Times New Roman"/>
          <w:b/>
          <w:bCs/>
          <w:noProof/>
        </w:rPr>
        <w:t>2</w:t>
      </w:r>
      <w:r w:rsidRPr="007E0247">
        <w:rPr>
          <w:rFonts w:eastAsia="Calibri" w:cs="Times New Roman"/>
          <w:b/>
          <w:bCs/>
        </w:rPr>
        <w:fldChar w:fldCharType="end"/>
      </w:r>
      <w:bookmarkEnd w:id="162"/>
      <w:r w:rsidRPr="007E0247">
        <w:rPr>
          <w:rFonts w:eastAsia="Calibri" w:cs="Times New Roman"/>
          <w:b/>
          <w:bCs/>
          <w:noProof/>
        </w:rPr>
        <w:t xml:space="preserve"> </w:t>
      </w:r>
      <w:r w:rsidRPr="007E0247">
        <w:rPr>
          <w:rFonts w:eastAsia="Calibri" w:cs="Times New Roman"/>
          <w:bCs/>
          <w:noProof/>
        </w:rPr>
        <w:t xml:space="preserve">Struktura potrošnje </w:t>
      </w:r>
      <w:r w:rsidR="0016104D" w:rsidRPr="007E0247">
        <w:rPr>
          <w:rFonts w:eastAsia="Calibri" w:cs="Times New Roman"/>
          <w:bCs/>
          <w:noProof/>
        </w:rPr>
        <w:t xml:space="preserve">pogonskog </w:t>
      </w:r>
      <w:r w:rsidR="009753E4" w:rsidRPr="007E0247">
        <w:rPr>
          <w:rFonts w:eastAsia="Calibri" w:cs="Times New Roman"/>
          <w:bCs/>
          <w:noProof/>
        </w:rPr>
        <w:t>goriva</w:t>
      </w:r>
      <w:r w:rsidRPr="007E0247">
        <w:rPr>
          <w:rFonts w:eastAsia="Calibri" w:cs="Times New Roman"/>
          <w:bCs/>
          <w:noProof/>
        </w:rPr>
        <w:t xml:space="preserve"> </w:t>
      </w:r>
      <w:r w:rsidR="009753E4" w:rsidRPr="007E0247">
        <w:rPr>
          <w:rFonts w:eastAsia="Calibri" w:cs="Times New Roman"/>
          <w:bCs/>
          <w:noProof/>
        </w:rPr>
        <w:t>voznog</w:t>
      </w:r>
      <w:r w:rsidR="00385C8C" w:rsidRPr="007E0247">
        <w:rPr>
          <w:rFonts w:eastAsia="Calibri" w:cs="Times New Roman"/>
          <w:bCs/>
          <w:noProof/>
        </w:rPr>
        <w:t xml:space="preserve"> park</w:t>
      </w:r>
      <w:r w:rsidR="009753E4" w:rsidRPr="007E0247">
        <w:rPr>
          <w:rFonts w:eastAsia="Calibri" w:cs="Times New Roman"/>
          <w:bCs/>
          <w:noProof/>
        </w:rPr>
        <w:t>a</w:t>
      </w:r>
      <w:r w:rsidR="00385C8C" w:rsidRPr="007E0247">
        <w:rPr>
          <w:rFonts w:eastAsia="Calibri" w:cs="Times New Roman"/>
          <w:bCs/>
          <w:noProof/>
        </w:rPr>
        <w:t xml:space="preserve"> u vlasništvu i korištenju Grada Zagreba</w:t>
      </w:r>
      <w:bookmarkEnd w:id="163"/>
      <w:r w:rsidR="00385C8C" w:rsidRPr="007E0247">
        <w:rPr>
          <w:rFonts w:eastAsia="Calibri" w:cs="Times New Roman"/>
          <w:bCs/>
          <w:noProof/>
        </w:rPr>
        <w:t xml:space="preserve"> </w:t>
      </w:r>
      <w:bookmarkEnd w:id="164"/>
    </w:p>
    <w:p w14:paraId="79F64244" w14:textId="77777777" w:rsidR="0025538A" w:rsidRDefault="009A185E" w:rsidP="00E92750">
      <w:pPr>
        <w:spacing w:line="240" w:lineRule="auto"/>
        <w:jc w:val="both"/>
        <w:rPr>
          <w:rFonts w:eastAsia="Calibri" w:cs="Times New Roman"/>
          <w:bCs/>
          <w:noProof/>
        </w:rPr>
      </w:pPr>
      <w:r w:rsidRPr="007E0247">
        <w:rPr>
          <w:rFonts w:eastAsia="Calibri" w:cs="Times New Roman"/>
          <w:bCs/>
          <w:noProof/>
        </w:rPr>
        <w:t>Gledajući strukturu</w:t>
      </w:r>
      <w:r w:rsidR="00222582" w:rsidRPr="007E0247">
        <w:rPr>
          <w:rFonts w:eastAsia="Calibri" w:cs="Times New Roman"/>
          <w:bCs/>
          <w:noProof/>
        </w:rPr>
        <w:t xml:space="preserve"> potrošenog</w:t>
      </w:r>
      <w:r w:rsidRPr="007E0247">
        <w:rPr>
          <w:rFonts w:eastAsia="Calibri" w:cs="Times New Roman"/>
          <w:bCs/>
          <w:noProof/>
        </w:rPr>
        <w:t xml:space="preserve"> pogonskog goriva, </w:t>
      </w:r>
      <w:r w:rsidR="0080543C" w:rsidRPr="007E0247">
        <w:rPr>
          <w:rFonts w:eastAsia="Calibri" w:cs="Times New Roman"/>
          <w:bCs/>
          <w:noProof/>
        </w:rPr>
        <w:t>94,64</w:t>
      </w:r>
      <w:r w:rsidR="00222582" w:rsidRPr="007E0247">
        <w:rPr>
          <w:rFonts w:eastAsia="Calibri" w:cs="Times New Roman"/>
          <w:bCs/>
          <w:noProof/>
        </w:rPr>
        <w:t>% se odnosi na</w:t>
      </w:r>
      <w:r w:rsidRPr="007E0247">
        <w:rPr>
          <w:rFonts w:eastAsia="Calibri" w:cs="Times New Roman"/>
          <w:bCs/>
          <w:noProof/>
        </w:rPr>
        <w:t xml:space="preserve"> dizel vozila, zatim slijede </w:t>
      </w:r>
      <w:r w:rsidR="0080543C" w:rsidRPr="007E0247">
        <w:rPr>
          <w:rFonts w:eastAsia="Calibri" w:cs="Times New Roman"/>
          <w:bCs/>
          <w:noProof/>
        </w:rPr>
        <w:t>vozila s benzinskim motorom 4,63</w:t>
      </w:r>
      <w:r w:rsidRPr="007E0247">
        <w:rPr>
          <w:rFonts w:eastAsia="Calibri" w:cs="Times New Roman"/>
          <w:bCs/>
          <w:noProof/>
        </w:rPr>
        <w:t>% te vozila na stlačeni prirodni plin čiji je udio manji od 1%.</w:t>
      </w:r>
      <w:r w:rsidR="0025538A">
        <w:rPr>
          <w:rFonts w:eastAsia="Calibri" w:cs="Times New Roman"/>
          <w:bCs/>
          <w:noProof/>
        </w:rPr>
        <w:t xml:space="preserve"> </w:t>
      </w:r>
    </w:p>
    <w:p w14:paraId="3937941C" w14:textId="6C742181" w:rsidR="00E17ED4" w:rsidRPr="007C7920" w:rsidRDefault="0025538A" w:rsidP="00E92750">
      <w:pPr>
        <w:spacing w:line="240" w:lineRule="auto"/>
        <w:jc w:val="both"/>
        <w:rPr>
          <w:rFonts w:eastAsia="Calibri" w:cs="Times New Roman"/>
          <w:bCs/>
          <w:noProof/>
          <w:highlight w:val="yellow"/>
        </w:rPr>
      </w:pPr>
      <w:r>
        <w:rPr>
          <w:rFonts w:eastAsia="Calibri" w:cs="Times New Roman"/>
          <w:bCs/>
          <w:noProof/>
        </w:rPr>
        <w:t>Grad Zagreb krajem 2015. godine proširio je vozni park i za ekološki prihvatljivija vozila – električna vozila – detaljnije u poglavlju 9. ovog dokumenta.</w:t>
      </w:r>
      <w:r w:rsidR="00E17ED4" w:rsidRPr="007C7920">
        <w:rPr>
          <w:rFonts w:eastAsia="Calibri" w:cs="Times New Roman"/>
          <w:bCs/>
          <w:noProof/>
          <w:highlight w:val="yellow"/>
        </w:rPr>
        <w:br w:type="page"/>
      </w:r>
    </w:p>
    <w:p w14:paraId="311D5012" w14:textId="6862AB85" w:rsidR="004912C8" w:rsidRPr="00E16AF1" w:rsidRDefault="00B91211" w:rsidP="00E92750">
      <w:pPr>
        <w:pStyle w:val="Heading2"/>
        <w:spacing w:before="0" w:after="240"/>
      </w:pPr>
      <w:bookmarkStart w:id="165" w:name="_Toc468345364"/>
      <w:r w:rsidRPr="00E16AF1">
        <w:lastRenderedPageBreak/>
        <w:t>JAVNI PRIJEVOZ</w:t>
      </w:r>
      <w:bookmarkEnd w:id="165"/>
    </w:p>
    <w:p w14:paraId="2C5B085A" w14:textId="2E4DA284" w:rsidR="00363528" w:rsidRPr="00E16AF1" w:rsidRDefault="00363528" w:rsidP="00E92750">
      <w:pPr>
        <w:spacing w:line="240" w:lineRule="auto"/>
        <w:jc w:val="both"/>
      </w:pPr>
      <w:r w:rsidRPr="00E16AF1">
        <w:t>U podsektoru javnog prijevoza, razmatran je javni prijevoz koji obav</w:t>
      </w:r>
      <w:r w:rsidR="00850496" w:rsidRPr="00E16AF1">
        <w:t>lja Zagrebački holding d.o.o., p</w:t>
      </w:r>
      <w:r w:rsidRPr="00E16AF1">
        <w:t xml:space="preserve">odružnica </w:t>
      </w:r>
      <w:r w:rsidR="00E91AEF" w:rsidRPr="00E16AF1">
        <w:t>Zagrebački električni tramvaj</w:t>
      </w:r>
      <w:r w:rsidR="00850496" w:rsidRPr="00E16AF1">
        <w:t xml:space="preserve"> - ZET</w:t>
      </w:r>
      <w:r w:rsidR="00E91AEF" w:rsidRPr="00E16AF1">
        <w:t xml:space="preserve"> te javni prijevoz koji obavlja HŽ Putnički prijevoz d.o.o.</w:t>
      </w:r>
    </w:p>
    <w:p w14:paraId="49677072" w14:textId="798050B8" w:rsidR="00E91AEF" w:rsidRPr="001B694B" w:rsidRDefault="00E16AF1" w:rsidP="00E92750">
      <w:pPr>
        <w:pStyle w:val="Heading3"/>
        <w:spacing w:after="240" w:line="240" w:lineRule="auto"/>
        <w:jc w:val="both"/>
      </w:pPr>
      <w:bookmarkStart w:id="166" w:name="_Toc468345365"/>
      <w:r w:rsidRPr="001B694B">
        <w:t>P</w:t>
      </w:r>
      <w:r w:rsidR="00DA3F01" w:rsidRPr="001B694B">
        <w:t>odružnica</w:t>
      </w:r>
      <w:r w:rsidR="00E91AEF" w:rsidRPr="001B694B">
        <w:t xml:space="preserve"> Zagrebački električni tramvaj - ZET</w:t>
      </w:r>
      <w:bookmarkEnd w:id="166"/>
    </w:p>
    <w:p w14:paraId="599277B5" w14:textId="1EEA8B49" w:rsidR="009471B6" w:rsidRPr="001B694B" w:rsidRDefault="005F3A3E" w:rsidP="00E92750">
      <w:pPr>
        <w:spacing w:line="240" w:lineRule="auto"/>
        <w:jc w:val="both"/>
      </w:pPr>
      <w:r w:rsidRPr="001B694B">
        <w:t>Sukladno o</w:t>
      </w:r>
      <w:r w:rsidR="009471B6" w:rsidRPr="001B694B">
        <w:t>dluci o prijevozu putnika u javnom prometu</w:t>
      </w:r>
      <w:r w:rsidRPr="001B694B">
        <w:rPr>
          <w:rFonts w:eastAsia="Calibri" w:cstheme="minorHAnsi"/>
          <w:b/>
        </w:rPr>
        <w:t xml:space="preserve"> (u daljnjem tekstu: javni prijevoz)</w:t>
      </w:r>
      <w:r w:rsidRPr="001B694B">
        <w:rPr>
          <w:rFonts w:eastAsia="Calibri" w:cstheme="minorHAnsi"/>
        </w:rPr>
        <w:t xml:space="preserve"> </w:t>
      </w:r>
      <w:r w:rsidR="009471B6" w:rsidRPr="001B694B">
        <w:t>Gradski ured za prostorno uređenje, izgradnju Grada, graditeljstvo, komunalne poslove i promet registrira linije i vozni red jav</w:t>
      </w:r>
      <w:r w:rsidRPr="001B694B">
        <w:t>noga gradskog prijevoza putnika</w:t>
      </w:r>
      <w:r w:rsidR="009471B6" w:rsidRPr="001B694B">
        <w:t xml:space="preserve"> te sve promjene na njima.</w:t>
      </w:r>
    </w:p>
    <w:p w14:paraId="4C4833A0" w14:textId="7213CBB3" w:rsidR="00B91211" w:rsidRPr="001B694B" w:rsidRDefault="005F3A3E" w:rsidP="00E92750">
      <w:pPr>
        <w:spacing w:after="240" w:line="240" w:lineRule="auto"/>
        <w:jc w:val="both"/>
        <w:rPr>
          <w:rFonts w:eastAsia="Calibri" w:cstheme="minorHAnsi"/>
        </w:rPr>
      </w:pPr>
      <w:r w:rsidRPr="001B694B">
        <w:rPr>
          <w:rFonts w:eastAsia="Calibri" w:cstheme="minorHAnsi"/>
        </w:rPr>
        <w:t xml:space="preserve">Javni prijevoz </w:t>
      </w:r>
      <w:r w:rsidR="005A512C" w:rsidRPr="001B694B">
        <w:rPr>
          <w:rFonts w:eastAsia="Calibri" w:cstheme="minorHAnsi"/>
        </w:rPr>
        <w:t>obavlja se autobusima, tramvajima, uspinjačom i žičarom na određenim linijama po unaprijed utvrđenom voznom redu, cijeni i općim prijevoznim uvjetima.</w:t>
      </w:r>
      <w:r w:rsidR="005A512C" w:rsidRPr="001B694B">
        <w:rPr>
          <w:rStyle w:val="FootnoteReference"/>
          <w:rFonts w:eastAsia="Calibri"/>
        </w:rPr>
        <w:footnoteReference w:id="22"/>
      </w:r>
      <w:r w:rsidR="005A512C" w:rsidRPr="001B694B">
        <w:rPr>
          <w:rFonts w:eastAsia="Calibri" w:cstheme="minorHAnsi"/>
        </w:rPr>
        <w:t xml:space="preserve"> Javni prijevoz autobusima, tramvajima, uspinjačom i žičarom obav</w:t>
      </w:r>
      <w:r w:rsidR="00850496" w:rsidRPr="001B694B">
        <w:rPr>
          <w:rFonts w:eastAsia="Calibri" w:cstheme="minorHAnsi"/>
        </w:rPr>
        <w:t>lja Zagrebački holding d.o.o., p</w:t>
      </w:r>
      <w:r w:rsidR="005A512C" w:rsidRPr="001B694B">
        <w:rPr>
          <w:rFonts w:eastAsia="Calibri" w:cstheme="minorHAnsi"/>
        </w:rPr>
        <w:t>odružnic</w:t>
      </w:r>
      <w:r w:rsidR="00B6112C" w:rsidRPr="001B694B">
        <w:rPr>
          <w:rFonts w:eastAsia="Calibri" w:cstheme="minorHAnsi"/>
        </w:rPr>
        <w:t>a Zagrebački električni tramvaj</w:t>
      </w:r>
      <w:r w:rsidR="00B46BAD" w:rsidRPr="001B694B">
        <w:rPr>
          <w:rFonts w:eastAsia="Calibri" w:cstheme="minorHAnsi"/>
        </w:rPr>
        <w:t xml:space="preserve"> </w:t>
      </w:r>
      <w:r w:rsidR="00B46BAD" w:rsidRPr="001B694B">
        <w:rPr>
          <w:rFonts w:eastAsia="Calibri" w:cstheme="minorHAnsi"/>
          <w:b/>
        </w:rPr>
        <w:t>(u daljnjem tekstu: ZET)</w:t>
      </w:r>
      <w:r w:rsidR="005A512C" w:rsidRPr="001B694B">
        <w:rPr>
          <w:rFonts w:eastAsia="Calibri" w:cstheme="minorHAnsi"/>
        </w:rPr>
        <w:t>.</w:t>
      </w:r>
      <w:r w:rsidR="005A512C" w:rsidRPr="001B694B">
        <w:rPr>
          <w:rStyle w:val="FootnoteReference"/>
          <w:rFonts w:eastAsia="Calibri"/>
        </w:rPr>
        <w:footnoteReference w:id="23"/>
      </w:r>
      <w:r w:rsidR="00B6112C" w:rsidRPr="001B694B">
        <w:rPr>
          <w:rFonts w:eastAsia="Calibri" w:cstheme="minorHAnsi"/>
        </w:rPr>
        <w:t xml:space="preserve"> </w:t>
      </w:r>
    </w:p>
    <w:p w14:paraId="13505F0D" w14:textId="54DE7CC4" w:rsidR="005A512C" w:rsidRPr="001B694B" w:rsidRDefault="00B91211" w:rsidP="00E92750">
      <w:pPr>
        <w:spacing w:after="240" w:line="240" w:lineRule="auto"/>
        <w:jc w:val="both"/>
        <w:rPr>
          <w:rFonts w:eastAsia="Calibri" w:cstheme="minorHAnsi"/>
        </w:rPr>
      </w:pPr>
      <w:r w:rsidRPr="001B694B">
        <w:rPr>
          <w:rFonts w:eastAsia="Calibri" w:cstheme="minorHAnsi"/>
        </w:rPr>
        <w:t xml:space="preserve">Za osobe s invaliditetom i </w:t>
      </w:r>
      <w:r w:rsidR="001B694B" w:rsidRPr="001B694B">
        <w:rPr>
          <w:rFonts w:eastAsia="Calibri" w:cstheme="minorHAnsi"/>
        </w:rPr>
        <w:t>djecu s teškoćama u razvoju koji</w:t>
      </w:r>
      <w:r w:rsidRPr="001B694B">
        <w:rPr>
          <w:rFonts w:eastAsia="Calibri" w:cstheme="minorHAnsi"/>
        </w:rPr>
        <w:t xml:space="preserve"> se kreću po</w:t>
      </w:r>
      <w:r w:rsidR="009471B6" w:rsidRPr="001B694B">
        <w:rPr>
          <w:rFonts w:eastAsia="Calibri" w:cstheme="minorHAnsi"/>
        </w:rPr>
        <w:t>moću invalidskih kolica organiziran je</w:t>
      </w:r>
      <w:r w:rsidRPr="001B694B">
        <w:rPr>
          <w:rFonts w:eastAsia="Calibri" w:cstheme="minorHAnsi"/>
        </w:rPr>
        <w:t xml:space="preserve"> javni prijevoz koji nije linijski već se oba</w:t>
      </w:r>
      <w:r w:rsidR="009471B6" w:rsidRPr="001B694B">
        <w:rPr>
          <w:rFonts w:eastAsia="Calibri" w:cstheme="minorHAnsi"/>
        </w:rPr>
        <w:t>vlja prema potrebama tih osoba</w:t>
      </w:r>
      <w:r w:rsidR="005A512C" w:rsidRPr="001B694B">
        <w:rPr>
          <w:rFonts w:eastAsia="Calibri" w:cstheme="minorHAnsi"/>
        </w:rPr>
        <w:t>.</w:t>
      </w:r>
      <w:r w:rsidR="00B6112C" w:rsidRPr="001B694B">
        <w:rPr>
          <w:rStyle w:val="FootnoteReference"/>
          <w:rFonts w:eastAsia="Calibri"/>
        </w:rPr>
        <w:footnoteReference w:id="24"/>
      </w:r>
    </w:p>
    <w:p w14:paraId="6A5C849B" w14:textId="0EB1B0A0" w:rsidR="009471B6" w:rsidRPr="001B694B" w:rsidRDefault="00925933" w:rsidP="00E92750">
      <w:pPr>
        <w:spacing w:after="240" w:line="240" w:lineRule="auto"/>
        <w:jc w:val="both"/>
        <w:rPr>
          <w:rFonts w:eastAsia="Calibri" w:cstheme="minorHAnsi"/>
        </w:rPr>
      </w:pPr>
      <w:r w:rsidRPr="001B694B">
        <w:rPr>
          <w:rFonts w:eastAsia="Calibri" w:cstheme="minorHAnsi"/>
        </w:rPr>
        <w:t>Podjela javnog</w:t>
      </w:r>
      <w:r w:rsidR="009471B6" w:rsidRPr="001B694B">
        <w:rPr>
          <w:rFonts w:eastAsia="Calibri" w:cstheme="minorHAnsi"/>
        </w:rPr>
        <w:t xml:space="preserve"> prije</w:t>
      </w:r>
      <w:r w:rsidRPr="001B694B">
        <w:rPr>
          <w:rFonts w:eastAsia="Calibri" w:cstheme="minorHAnsi"/>
        </w:rPr>
        <w:t xml:space="preserve">voza </w:t>
      </w:r>
      <w:r w:rsidR="00850496" w:rsidRPr="001B694B">
        <w:rPr>
          <w:rFonts w:eastAsia="Calibri" w:cstheme="minorHAnsi"/>
        </w:rPr>
        <w:t>u organizaciji ZET</w:t>
      </w:r>
      <w:r w:rsidR="00385790" w:rsidRPr="001B694B">
        <w:rPr>
          <w:rFonts w:eastAsia="Calibri" w:cstheme="minorHAnsi"/>
        </w:rPr>
        <w:t>-a</w:t>
      </w:r>
      <w:r w:rsidR="00850496" w:rsidRPr="001B694B">
        <w:rPr>
          <w:rFonts w:eastAsia="Calibri" w:cstheme="minorHAnsi"/>
        </w:rPr>
        <w:t xml:space="preserve"> </w:t>
      </w:r>
      <w:r w:rsidRPr="001B694B">
        <w:rPr>
          <w:rFonts w:eastAsia="Calibri" w:cstheme="minorHAnsi"/>
        </w:rPr>
        <w:t>dana je u nastavku</w:t>
      </w:r>
      <w:r w:rsidR="009471B6" w:rsidRPr="001B694B">
        <w:rPr>
          <w:rFonts w:eastAsia="Calibri" w:cstheme="minorHAnsi"/>
        </w:rPr>
        <w:t>:</w:t>
      </w:r>
    </w:p>
    <w:p w14:paraId="177CF49B" w14:textId="17618A1B" w:rsidR="009471B6" w:rsidRPr="001B694B" w:rsidRDefault="009471B6" w:rsidP="00EE7021">
      <w:pPr>
        <w:pStyle w:val="ListParagraph"/>
        <w:numPr>
          <w:ilvl w:val="0"/>
          <w:numId w:val="32"/>
        </w:numPr>
        <w:spacing w:after="240" w:line="240" w:lineRule="auto"/>
        <w:jc w:val="both"/>
        <w:rPr>
          <w:rFonts w:asciiTheme="minorHAnsi" w:hAnsiTheme="minorHAnsi" w:cstheme="minorHAnsi"/>
        </w:rPr>
      </w:pPr>
      <w:r w:rsidRPr="001B694B">
        <w:rPr>
          <w:rFonts w:asciiTheme="minorHAnsi" w:hAnsiTheme="minorHAnsi" w:cstheme="minorHAnsi"/>
        </w:rPr>
        <w:t>Zagrebački električni tramvaj;</w:t>
      </w:r>
    </w:p>
    <w:p w14:paraId="16AD74AB" w14:textId="7EB3359D" w:rsidR="009471B6" w:rsidRPr="001B694B" w:rsidRDefault="009471B6" w:rsidP="00EE7021">
      <w:pPr>
        <w:pStyle w:val="ListParagraph"/>
        <w:numPr>
          <w:ilvl w:val="0"/>
          <w:numId w:val="32"/>
        </w:numPr>
        <w:spacing w:after="240" w:line="240" w:lineRule="auto"/>
        <w:jc w:val="both"/>
        <w:rPr>
          <w:rFonts w:asciiTheme="minorHAnsi" w:hAnsiTheme="minorHAnsi" w:cstheme="minorHAnsi"/>
        </w:rPr>
      </w:pPr>
      <w:r w:rsidRPr="001B694B">
        <w:rPr>
          <w:rFonts w:asciiTheme="minorHAnsi" w:hAnsiTheme="minorHAnsi" w:cstheme="minorHAnsi"/>
        </w:rPr>
        <w:t>Autobusni prijevoz</w:t>
      </w:r>
      <w:r w:rsidR="00184348" w:rsidRPr="001B694B">
        <w:rPr>
          <w:rFonts w:asciiTheme="minorHAnsi" w:hAnsiTheme="minorHAnsi" w:cstheme="minorHAnsi"/>
        </w:rPr>
        <w:t xml:space="preserve"> i</w:t>
      </w:r>
    </w:p>
    <w:p w14:paraId="75D47490" w14:textId="05A4C277" w:rsidR="009471B6" w:rsidRPr="001B694B" w:rsidRDefault="00850496" w:rsidP="00EE7021">
      <w:pPr>
        <w:pStyle w:val="ListParagraph"/>
        <w:numPr>
          <w:ilvl w:val="0"/>
          <w:numId w:val="32"/>
        </w:numPr>
        <w:spacing w:after="240" w:line="240" w:lineRule="auto"/>
        <w:jc w:val="both"/>
        <w:rPr>
          <w:rFonts w:asciiTheme="minorHAnsi" w:hAnsiTheme="minorHAnsi" w:cstheme="minorHAnsi"/>
        </w:rPr>
      </w:pPr>
      <w:r w:rsidRPr="001B694B">
        <w:rPr>
          <w:rFonts w:asciiTheme="minorHAnsi" w:hAnsiTheme="minorHAnsi" w:cstheme="minorHAnsi"/>
        </w:rPr>
        <w:t>Ostali javni prijevoz</w:t>
      </w:r>
      <w:r w:rsidR="005F3A3E" w:rsidRPr="001B694B">
        <w:rPr>
          <w:rFonts w:asciiTheme="minorHAnsi" w:hAnsiTheme="minorHAnsi" w:cstheme="minorHAnsi"/>
        </w:rPr>
        <w:t>:</w:t>
      </w:r>
    </w:p>
    <w:p w14:paraId="757CD7D6" w14:textId="77777777" w:rsidR="00184348" w:rsidRPr="001B694B" w:rsidRDefault="009471B6" w:rsidP="00EE7021">
      <w:pPr>
        <w:pStyle w:val="ListParagraph"/>
        <w:numPr>
          <w:ilvl w:val="0"/>
          <w:numId w:val="33"/>
        </w:numPr>
        <w:spacing w:after="240" w:line="240" w:lineRule="auto"/>
        <w:jc w:val="both"/>
        <w:rPr>
          <w:rFonts w:asciiTheme="minorHAnsi" w:hAnsiTheme="minorHAnsi" w:cstheme="minorHAnsi"/>
        </w:rPr>
      </w:pPr>
      <w:r w:rsidRPr="001B694B">
        <w:rPr>
          <w:rFonts w:asciiTheme="minorHAnsi" w:hAnsiTheme="minorHAnsi" w:cstheme="minorHAnsi"/>
        </w:rPr>
        <w:t>Prijevoz osoba s invaliditetom;</w:t>
      </w:r>
    </w:p>
    <w:p w14:paraId="3C8F8A2E" w14:textId="77777777" w:rsidR="00184348" w:rsidRPr="001B694B" w:rsidRDefault="009471B6" w:rsidP="00EE7021">
      <w:pPr>
        <w:pStyle w:val="ListParagraph"/>
        <w:numPr>
          <w:ilvl w:val="0"/>
          <w:numId w:val="33"/>
        </w:numPr>
        <w:spacing w:after="240" w:line="240" w:lineRule="auto"/>
        <w:jc w:val="both"/>
        <w:rPr>
          <w:rFonts w:asciiTheme="minorHAnsi" w:hAnsiTheme="minorHAnsi" w:cstheme="minorHAnsi"/>
        </w:rPr>
      </w:pPr>
      <w:r w:rsidRPr="001B694B">
        <w:rPr>
          <w:rFonts w:asciiTheme="minorHAnsi" w:hAnsiTheme="minorHAnsi" w:cstheme="minorHAnsi"/>
        </w:rPr>
        <w:t>Školski prijevoz;</w:t>
      </w:r>
    </w:p>
    <w:p w14:paraId="4FDEB7DF" w14:textId="4F1324B0" w:rsidR="00184348" w:rsidRPr="001B694B" w:rsidRDefault="00184348" w:rsidP="00EE7021">
      <w:pPr>
        <w:pStyle w:val="ListParagraph"/>
        <w:numPr>
          <w:ilvl w:val="0"/>
          <w:numId w:val="33"/>
        </w:numPr>
        <w:spacing w:after="240" w:line="240" w:lineRule="auto"/>
        <w:jc w:val="both"/>
        <w:rPr>
          <w:rFonts w:asciiTheme="minorHAnsi" w:hAnsiTheme="minorHAnsi" w:cstheme="minorHAnsi"/>
        </w:rPr>
      </w:pPr>
      <w:r w:rsidRPr="001B694B">
        <w:rPr>
          <w:rFonts w:asciiTheme="minorHAnsi" w:hAnsiTheme="minorHAnsi" w:cstheme="minorHAnsi"/>
        </w:rPr>
        <w:t>Uspinjača i</w:t>
      </w:r>
    </w:p>
    <w:p w14:paraId="7A582E0F" w14:textId="2E40C0C0" w:rsidR="009471B6" w:rsidRPr="001B694B" w:rsidRDefault="009471B6" w:rsidP="00EE7021">
      <w:pPr>
        <w:pStyle w:val="ListParagraph"/>
        <w:numPr>
          <w:ilvl w:val="0"/>
          <w:numId w:val="33"/>
        </w:numPr>
        <w:spacing w:after="240" w:line="240" w:lineRule="auto"/>
        <w:jc w:val="both"/>
        <w:rPr>
          <w:rFonts w:asciiTheme="minorHAnsi" w:hAnsiTheme="minorHAnsi" w:cstheme="minorHAnsi"/>
        </w:rPr>
      </w:pPr>
      <w:r w:rsidRPr="001B694B">
        <w:rPr>
          <w:rFonts w:asciiTheme="minorHAnsi" w:hAnsiTheme="minorHAnsi" w:cstheme="minorHAnsi"/>
        </w:rPr>
        <w:t>Turistički prijevoz.</w:t>
      </w:r>
    </w:p>
    <w:p w14:paraId="64A147B2" w14:textId="22A7AC16" w:rsidR="00F47804" w:rsidRPr="0060662D" w:rsidRDefault="00B46BAD" w:rsidP="00E92750">
      <w:pPr>
        <w:spacing w:line="240" w:lineRule="auto"/>
        <w:jc w:val="both"/>
        <w:rPr>
          <w:rFonts w:eastAsia="Calibri" w:cstheme="minorHAnsi"/>
        </w:rPr>
      </w:pPr>
      <w:r w:rsidRPr="0060662D">
        <w:rPr>
          <w:rFonts w:eastAsia="Calibri" w:cstheme="minorHAnsi"/>
        </w:rPr>
        <w:t>Prema podacima dobivenim od ZET-a, j</w:t>
      </w:r>
      <w:r w:rsidR="00184348" w:rsidRPr="0060662D">
        <w:rPr>
          <w:rFonts w:eastAsia="Calibri" w:cstheme="minorHAnsi"/>
        </w:rPr>
        <w:t>avnim prijevozom u 2015</w:t>
      </w:r>
      <w:r w:rsidR="0060662D">
        <w:rPr>
          <w:rFonts w:eastAsia="Calibri" w:cstheme="minorHAnsi"/>
        </w:rPr>
        <w:t>. godini prevezeno je skoro 300 milijuna</w:t>
      </w:r>
      <w:r w:rsidR="00184348" w:rsidRPr="0060662D">
        <w:rPr>
          <w:rFonts w:eastAsia="Calibri" w:cstheme="minorHAnsi"/>
        </w:rPr>
        <w:t xml:space="preserve"> </w:t>
      </w:r>
      <w:r w:rsidR="00C72ECF" w:rsidRPr="0060662D">
        <w:rPr>
          <w:rFonts w:eastAsia="Calibri" w:cstheme="minorHAnsi"/>
        </w:rPr>
        <w:t xml:space="preserve">putnika, </w:t>
      </w:r>
      <w:r w:rsidR="00F47804" w:rsidRPr="0060662D">
        <w:rPr>
          <w:rFonts w:eastAsia="Calibri" w:cstheme="minorHAnsi"/>
        </w:rPr>
        <w:fldChar w:fldCharType="begin"/>
      </w:r>
      <w:r w:rsidR="00F47804" w:rsidRPr="0060662D">
        <w:rPr>
          <w:rFonts w:eastAsia="Calibri" w:cstheme="minorHAnsi"/>
        </w:rPr>
        <w:instrText xml:space="preserve"> REF _Ref464730154 \h </w:instrText>
      </w:r>
      <w:r w:rsidR="007C7920" w:rsidRPr="0060662D">
        <w:rPr>
          <w:rFonts w:eastAsia="Calibri" w:cstheme="minorHAnsi"/>
        </w:rPr>
        <w:instrText xml:space="preserve"> \* MERGEFORMAT </w:instrText>
      </w:r>
      <w:r w:rsidR="00F47804" w:rsidRPr="0060662D">
        <w:rPr>
          <w:rFonts w:eastAsia="Calibri" w:cstheme="minorHAnsi"/>
        </w:rPr>
      </w:r>
      <w:r w:rsidR="00F47804" w:rsidRPr="0060662D">
        <w:rPr>
          <w:rFonts w:eastAsia="Calibri" w:cstheme="minorHAnsi"/>
        </w:rPr>
        <w:fldChar w:fldCharType="separate"/>
      </w:r>
      <w:r w:rsidR="009C319B" w:rsidRPr="0060662D">
        <w:rPr>
          <w:b/>
        </w:rPr>
        <w:t xml:space="preserve">Tablica </w:t>
      </w:r>
      <w:r w:rsidR="009C319B">
        <w:rPr>
          <w:b/>
          <w:noProof/>
        </w:rPr>
        <w:t>5</w:t>
      </w:r>
      <w:r w:rsidR="009C319B" w:rsidRPr="0060662D">
        <w:rPr>
          <w:b/>
          <w:noProof/>
        </w:rPr>
        <w:t>.</w:t>
      </w:r>
      <w:r w:rsidR="009C319B">
        <w:rPr>
          <w:b/>
          <w:noProof/>
        </w:rPr>
        <w:t>2</w:t>
      </w:r>
      <w:r w:rsidR="00F47804" w:rsidRPr="0060662D">
        <w:rPr>
          <w:rFonts w:eastAsia="Calibri" w:cstheme="minorHAnsi"/>
        </w:rPr>
        <w:fldChar w:fldCharType="end"/>
      </w:r>
      <w:r w:rsidR="00F47804" w:rsidRPr="0060662D">
        <w:rPr>
          <w:rFonts w:eastAsia="Calibri" w:cstheme="minorHAnsi"/>
        </w:rPr>
        <w:t>.</w:t>
      </w:r>
    </w:p>
    <w:p w14:paraId="636B9389" w14:textId="76428C9C" w:rsidR="00F47804" w:rsidRPr="0060662D" w:rsidRDefault="00F47804" w:rsidP="00E92750">
      <w:pPr>
        <w:spacing w:after="0" w:line="240" w:lineRule="auto"/>
        <w:jc w:val="both"/>
        <w:rPr>
          <w:rFonts w:eastAsia="Calibri" w:cstheme="minorHAnsi"/>
          <w:b/>
        </w:rPr>
      </w:pPr>
      <w:bookmarkStart w:id="167" w:name="_Ref464730154"/>
      <w:bookmarkStart w:id="168" w:name="_Toc468277508"/>
      <w:r w:rsidRPr="0060662D">
        <w:rPr>
          <w:b/>
        </w:rPr>
        <w:t xml:space="preserve">Tablica </w:t>
      </w:r>
      <w:r w:rsidRPr="0060662D">
        <w:rPr>
          <w:b/>
        </w:rPr>
        <w:fldChar w:fldCharType="begin"/>
      </w:r>
      <w:r w:rsidRPr="0060662D">
        <w:rPr>
          <w:b/>
        </w:rPr>
        <w:instrText xml:space="preserve"> STYLEREF 1 \s </w:instrText>
      </w:r>
      <w:r w:rsidRPr="0060662D">
        <w:rPr>
          <w:b/>
        </w:rPr>
        <w:fldChar w:fldCharType="separate"/>
      </w:r>
      <w:r w:rsidR="009C319B">
        <w:rPr>
          <w:b/>
          <w:noProof/>
        </w:rPr>
        <w:t>5</w:t>
      </w:r>
      <w:r w:rsidRPr="0060662D">
        <w:rPr>
          <w:b/>
          <w:noProof/>
        </w:rPr>
        <w:fldChar w:fldCharType="end"/>
      </w:r>
      <w:r w:rsidRPr="0060662D">
        <w:rPr>
          <w:b/>
        </w:rPr>
        <w:t>.</w:t>
      </w:r>
      <w:r w:rsidRPr="0060662D">
        <w:rPr>
          <w:b/>
        </w:rPr>
        <w:fldChar w:fldCharType="begin"/>
      </w:r>
      <w:r w:rsidRPr="0060662D">
        <w:rPr>
          <w:b/>
        </w:rPr>
        <w:instrText xml:space="preserve"> SEQ Tablica \* ARABIC \s 1 </w:instrText>
      </w:r>
      <w:r w:rsidRPr="0060662D">
        <w:rPr>
          <w:b/>
        </w:rPr>
        <w:fldChar w:fldCharType="separate"/>
      </w:r>
      <w:r w:rsidR="009C319B">
        <w:rPr>
          <w:b/>
          <w:noProof/>
        </w:rPr>
        <w:t>2</w:t>
      </w:r>
      <w:r w:rsidRPr="0060662D">
        <w:rPr>
          <w:b/>
          <w:noProof/>
        </w:rPr>
        <w:fldChar w:fldCharType="end"/>
      </w:r>
      <w:bookmarkEnd w:id="167"/>
      <w:r w:rsidRPr="0060662D">
        <w:rPr>
          <w:b/>
          <w:noProof/>
        </w:rPr>
        <w:t xml:space="preserve"> </w:t>
      </w:r>
      <w:r w:rsidRPr="0060662D">
        <w:rPr>
          <w:noProof/>
        </w:rPr>
        <w:t>Broj prevezenih putnika javnim prijevozom</w:t>
      </w:r>
      <w:r w:rsidR="00C72ECF" w:rsidRPr="0060662D">
        <w:rPr>
          <w:noProof/>
        </w:rPr>
        <w:t xml:space="preserve"> u organizaciji ZET-a</w:t>
      </w:r>
      <w:bookmarkEnd w:id="168"/>
    </w:p>
    <w:tbl>
      <w:tblPr>
        <w:tblW w:w="4942" w:type="pct"/>
        <w:tblInd w:w="108" w:type="dxa"/>
        <w:tblLook w:val="04A0" w:firstRow="1" w:lastRow="0" w:firstColumn="1" w:lastColumn="0" w:noHBand="0" w:noVBand="1"/>
      </w:tblPr>
      <w:tblGrid>
        <w:gridCol w:w="4964"/>
        <w:gridCol w:w="3993"/>
      </w:tblGrid>
      <w:tr w:rsidR="00F47804" w:rsidRPr="0060662D" w14:paraId="604BAC50" w14:textId="77777777" w:rsidTr="002E24D6">
        <w:trPr>
          <w:trHeight w:val="56"/>
        </w:trPr>
        <w:tc>
          <w:tcPr>
            <w:tcW w:w="277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EF109A" w14:textId="51FD17D6" w:rsidR="00F47804" w:rsidRPr="00FB28FD" w:rsidRDefault="00F47804" w:rsidP="00E92750">
            <w:pPr>
              <w:spacing w:after="0" w:line="240" w:lineRule="auto"/>
              <w:rPr>
                <w:rFonts w:ascii="Calibri" w:eastAsia="Times New Roman" w:hAnsi="Calibri" w:cs="Calibri"/>
                <w:b/>
                <w:color w:val="000000"/>
                <w:sz w:val="20"/>
                <w:szCs w:val="20"/>
                <w:lang w:eastAsia="hr-HR"/>
              </w:rPr>
            </w:pPr>
          </w:p>
        </w:tc>
        <w:tc>
          <w:tcPr>
            <w:tcW w:w="2229" w:type="pct"/>
            <w:tcBorders>
              <w:top w:val="single" w:sz="4" w:space="0" w:color="auto"/>
              <w:left w:val="nil"/>
              <w:bottom w:val="single" w:sz="4" w:space="0" w:color="auto"/>
              <w:right w:val="single" w:sz="4" w:space="0" w:color="auto"/>
            </w:tcBorders>
            <w:shd w:val="clear" w:color="000000" w:fill="D9D9D9"/>
            <w:noWrap/>
            <w:vAlign w:val="bottom"/>
            <w:hideMark/>
          </w:tcPr>
          <w:p w14:paraId="555CB2FE" w14:textId="77777777" w:rsidR="00F47804" w:rsidRPr="00FB28FD" w:rsidRDefault="00F47804" w:rsidP="00E92750">
            <w:pPr>
              <w:spacing w:after="0" w:line="240" w:lineRule="auto"/>
              <w:jc w:val="center"/>
              <w:rPr>
                <w:rFonts w:ascii="Calibri" w:eastAsia="Times New Roman" w:hAnsi="Calibri" w:cs="Calibri"/>
                <w:b/>
                <w:color w:val="000000"/>
                <w:sz w:val="20"/>
                <w:szCs w:val="20"/>
                <w:lang w:eastAsia="hr-HR"/>
              </w:rPr>
            </w:pPr>
            <w:r w:rsidRPr="00FB28FD">
              <w:rPr>
                <w:rFonts w:ascii="Calibri" w:eastAsia="Times New Roman" w:hAnsi="Calibri" w:cs="Calibri"/>
                <w:b/>
                <w:color w:val="000000"/>
                <w:sz w:val="20"/>
                <w:szCs w:val="20"/>
                <w:lang w:eastAsia="hr-HR"/>
              </w:rPr>
              <w:t>Broj prevezenih putnika</w:t>
            </w:r>
          </w:p>
        </w:tc>
      </w:tr>
      <w:tr w:rsidR="00F47804" w:rsidRPr="0060662D" w14:paraId="5C8DF9A9" w14:textId="77777777" w:rsidTr="002E24D6">
        <w:trPr>
          <w:trHeight w:val="56"/>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14:paraId="521E646F" w14:textId="77777777" w:rsidR="00F47804" w:rsidRPr="0060662D" w:rsidRDefault="00F47804" w:rsidP="00E92750">
            <w:pPr>
              <w:spacing w:after="0" w:line="240" w:lineRule="auto"/>
              <w:rPr>
                <w:rFonts w:ascii="Calibri" w:eastAsia="Times New Roman" w:hAnsi="Calibri" w:cs="Calibri"/>
                <w:color w:val="000000"/>
                <w:sz w:val="20"/>
                <w:szCs w:val="20"/>
                <w:lang w:eastAsia="hr-HR"/>
              </w:rPr>
            </w:pPr>
            <w:r w:rsidRPr="0060662D">
              <w:rPr>
                <w:rFonts w:ascii="Calibri" w:eastAsia="Times New Roman" w:hAnsi="Calibri" w:cs="Calibri"/>
                <w:color w:val="000000"/>
                <w:sz w:val="20"/>
                <w:szCs w:val="20"/>
                <w:lang w:eastAsia="hr-HR"/>
              </w:rPr>
              <w:t>Električni tramvaj</w:t>
            </w:r>
          </w:p>
        </w:tc>
        <w:tc>
          <w:tcPr>
            <w:tcW w:w="2229" w:type="pct"/>
            <w:tcBorders>
              <w:top w:val="nil"/>
              <w:left w:val="nil"/>
              <w:bottom w:val="single" w:sz="4" w:space="0" w:color="auto"/>
              <w:right w:val="single" w:sz="4" w:space="0" w:color="auto"/>
            </w:tcBorders>
            <w:shd w:val="clear" w:color="auto" w:fill="auto"/>
            <w:noWrap/>
            <w:vAlign w:val="bottom"/>
            <w:hideMark/>
          </w:tcPr>
          <w:p w14:paraId="72FFDB53" w14:textId="1686F941" w:rsidR="00F47804" w:rsidRPr="0060662D" w:rsidRDefault="00BB22DF" w:rsidP="00E92750">
            <w:pPr>
              <w:spacing w:after="0" w:line="240" w:lineRule="auto"/>
              <w:jc w:val="center"/>
              <w:rPr>
                <w:rFonts w:ascii="Calibri" w:eastAsia="Times New Roman" w:hAnsi="Calibri" w:cs="Calibri"/>
                <w:color w:val="000000"/>
                <w:sz w:val="20"/>
                <w:szCs w:val="20"/>
                <w:lang w:eastAsia="hr-HR"/>
              </w:rPr>
            </w:pPr>
            <w:r w:rsidRPr="0060662D">
              <w:rPr>
                <w:rFonts w:ascii="Calibri" w:eastAsia="Times New Roman" w:hAnsi="Calibri" w:cs="Calibri"/>
                <w:color w:val="000000"/>
                <w:sz w:val="20"/>
                <w:szCs w:val="20"/>
                <w:lang w:eastAsia="hr-HR"/>
              </w:rPr>
              <w:t xml:space="preserve">194 040 </w:t>
            </w:r>
            <w:r w:rsidR="00F47804" w:rsidRPr="0060662D">
              <w:rPr>
                <w:rFonts w:ascii="Calibri" w:eastAsia="Times New Roman" w:hAnsi="Calibri" w:cs="Calibri"/>
                <w:color w:val="000000"/>
                <w:sz w:val="20"/>
                <w:szCs w:val="20"/>
                <w:lang w:eastAsia="hr-HR"/>
              </w:rPr>
              <w:t>210</w:t>
            </w:r>
          </w:p>
        </w:tc>
      </w:tr>
      <w:tr w:rsidR="00F47804" w:rsidRPr="0060662D" w14:paraId="4411EADC" w14:textId="77777777" w:rsidTr="002E24D6">
        <w:trPr>
          <w:trHeight w:val="56"/>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14:paraId="4DAFA1A2" w14:textId="77777777" w:rsidR="00F47804" w:rsidRPr="0060662D" w:rsidRDefault="00F47804" w:rsidP="00E92750">
            <w:pPr>
              <w:spacing w:after="0" w:line="240" w:lineRule="auto"/>
              <w:rPr>
                <w:rFonts w:ascii="Calibri" w:eastAsia="Times New Roman" w:hAnsi="Calibri" w:cs="Calibri"/>
                <w:color w:val="000000"/>
                <w:sz w:val="20"/>
                <w:szCs w:val="20"/>
                <w:lang w:eastAsia="hr-HR"/>
              </w:rPr>
            </w:pPr>
            <w:r w:rsidRPr="0060662D">
              <w:rPr>
                <w:rFonts w:ascii="Calibri" w:eastAsia="Times New Roman" w:hAnsi="Calibri" w:cs="Calibri"/>
                <w:color w:val="000000"/>
                <w:sz w:val="20"/>
                <w:szCs w:val="20"/>
                <w:lang w:eastAsia="hr-HR"/>
              </w:rPr>
              <w:t>Autobus</w:t>
            </w:r>
          </w:p>
        </w:tc>
        <w:tc>
          <w:tcPr>
            <w:tcW w:w="2229" w:type="pct"/>
            <w:tcBorders>
              <w:top w:val="nil"/>
              <w:left w:val="nil"/>
              <w:bottom w:val="single" w:sz="4" w:space="0" w:color="auto"/>
              <w:right w:val="single" w:sz="4" w:space="0" w:color="auto"/>
            </w:tcBorders>
            <w:shd w:val="clear" w:color="auto" w:fill="auto"/>
            <w:noWrap/>
            <w:vAlign w:val="bottom"/>
            <w:hideMark/>
          </w:tcPr>
          <w:p w14:paraId="65D8AA80" w14:textId="0F5990DA" w:rsidR="00F47804" w:rsidRPr="0060662D" w:rsidRDefault="00BB22DF" w:rsidP="00E92750">
            <w:pPr>
              <w:spacing w:after="0" w:line="240" w:lineRule="auto"/>
              <w:jc w:val="center"/>
              <w:rPr>
                <w:rFonts w:ascii="Calibri" w:eastAsia="Times New Roman" w:hAnsi="Calibri" w:cs="Calibri"/>
                <w:color w:val="000000"/>
                <w:sz w:val="20"/>
                <w:szCs w:val="20"/>
                <w:lang w:eastAsia="hr-HR"/>
              </w:rPr>
            </w:pPr>
            <w:r w:rsidRPr="0060662D">
              <w:rPr>
                <w:rFonts w:ascii="Calibri" w:eastAsia="Times New Roman" w:hAnsi="Calibri" w:cs="Calibri"/>
                <w:color w:val="000000"/>
                <w:sz w:val="20"/>
                <w:szCs w:val="20"/>
                <w:lang w:eastAsia="hr-HR"/>
              </w:rPr>
              <w:t xml:space="preserve">84 638 </w:t>
            </w:r>
            <w:r w:rsidR="00F47804" w:rsidRPr="0060662D">
              <w:rPr>
                <w:rFonts w:ascii="Calibri" w:eastAsia="Times New Roman" w:hAnsi="Calibri" w:cs="Calibri"/>
                <w:color w:val="000000"/>
                <w:sz w:val="20"/>
                <w:szCs w:val="20"/>
                <w:lang w:eastAsia="hr-HR"/>
              </w:rPr>
              <w:t>161</w:t>
            </w:r>
          </w:p>
        </w:tc>
      </w:tr>
      <w:tr w:rsidR="00F47804" w:rsidRPr="0060662D" w14:paraId="01AF1F61" w14:textId="77777777" w:rsidTr="002E24D6">
        <w:trPr>
          <w:trHeight w:val="56"/>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14:paraId="7E6BC525" w14:textId="77777777" w:rsidR="00F47804" w:rsidRPr="0060662D" w:rsidRDefault="00F47804" w:rsidP="00E92750">
            <w:pPr>
              <w:spacing w:after="0" w:line="240" w:lineRule="auto"/>
              <w:rPr>
                <w:rFonts w:ascii="Calibri" w:eastAsia="Times New Roman" w:hAnsi="Calibri" w:cs="Calibri"/>
                <w:color w:val="000000"/>
                <w:sz w:val="20"/>
                <w:szCs w:val="20"/>
                <w:lang w:eastAsia="hr-HR"/>
              </w:rPr>
            </w:pPr>
            <w:r w:rsidRPr="0060662D">
              <w:rPr>
                <w:rFonts w:ascii="Calibri" w:eastAsia="Times New Roman" w:hAnsi="Calibri" w:cs="Calibri"/>
                <w:color w:val="000000"/>
                <w:sz w:val="20"/>
                <w:szCs w:val="20"/>
                <w:lang w:eastAsia="hr-HR"/>
              </w:rPr>
              <w:t>Ostali javni prijevoz</w:t>
            </w:r>
          </w:p>
        </w:tc>
        <w:tc>
          <w:tcPr>
            <w:tcW w:w="2229" w:type="pct"/>
            <w:tcBorders>
              <w:top w:val="nil"/>
              <w:left w:val="nil"/>
              <w:bottom w:val="single" w:sz="4" w:space="0" w:color="auto"/>
              <w:right w:val="single" w:sz="4" w:space="0" w:color="auto"/>
            </w:tcBorders>
            <w:shd w:val="clear" w:color="auto" w:fill="auto"/>
            <w:noWrap/>
            <w:vAlign w:val="bottom"/>
            <w:hideMark/>
          </w:tcPr>
          <w:p w14:paraId="07772ABC" w14:textId="6DEB0B0A" w:rsidR="00F47804" w:rsidRPr="0060662D" w:rsidRDefault="00BB22DF" w:rsidP="00E92750">
            <w:pPr>
              <w:spacing w:after="0" w:line="240" w:lineRule="auto"/>
              <w:jc w:val="center"/>
              <w:rPr>
                <w:rFonts w:ascii="Calibri" w:eastAsia="Times New Roman" w:hAnsi="Calibri" w:cs="Calibri"/>
                <w:color w:val="000000"/>
                <w:sz w:val="20"/>
                <w:szCs w:val="20"/>
                <w:lang w:eastAsia="hr-HR"/>
              </w:rPr>
            </w:pPr>
            <w:r w:rsidRPr="0060662D">
              <w:rPr>
                <w:rFonts w:ascii="Calibri" w:eastAsia="Times New Roman" w:hAnsi="Calibri" w:cs="Calibri"/>
                <w:color w:val="000000"/>
                <w:sz w:val="20"/>
                <w:szCs w:val="20"/>
                <w:lang w:eastAsia="hr-HR"/>
              </w:rPr>
              <w:t xml:space="preserve">784 </w:t>
            </w:r>
            <w:r w:rsidR="00F47804" w:rsidRPr="0060662D">
              <w:rPr>
                <w:rFonts w:ascii="Calibri" w:eastAsia="Times New Roman" w:hAnsi="Calibri" w:cs="Calibri"/>
                <w:color w:val="000000"/>
                <w:sz w:val="20"/>
                <w:szCs w:val="20"/>
                <w:lang w:eastAsia="hr-HR"/>
              </w:rPr>
              <w:t>432</w:t>
            </w:r>
          </w:p>
        </w:tc>
      </w:tr>
      <w:tr w:rsidR="00F47804" w:rsidRPr="0060662D" w14:paraId="65A3A4FB" w14:textId="77777777" w:rsidTr="002E24D6">
        <w:trPr>
          <w:trHeight w:val="56"/>
        </w:trPr>
        <w:tc>
          <w:tcPr>
            <w:tcW w:w="2771" w:type="pct"/>
            <w:tcBorders>
              <w:top w:val="nil"/>
              <w:left w:val="single" w:sz="4" w:space="0" w:color="auto"/>
              <w:bottom w:val="single" w:sz="4" w:space="0" w:color="auto"/>
              <w:right w:val="single" w:sz="4" w:space="0" w:color="auto"/>
            </w:tcBorders>
            <w:shd w:val="clear" w:color="000000" w:fill="D9D9D9"/>
            <w:noWrap/>
            <w:vAlign w:val="bottom"/>
            <w:hideMark/>
          </w:tcPr>
          <w:p w14:paraId="36537EBE" w14:textId="77777777" w:rsidR="00F47804" w:rsidRPr="00FB28FD" w:rsidRDefault="00F47804" w:rsidP="00E92750">
            <w:pPr>
              <w:spacing w:after="0" w:line="240" w:lineRule="auto"/>
              <w:rPr>
                <w:rFonts w:ascii="Calibri" w:eastAsia="Times New Roman" w:hAnsi="Calibri" w:cs="Calibri"/>
                <w:b/>
                <w:color w:val="000000"/>
                <w:sz w:val="20"/>
                <w:szCs w:val="20"/>
                <w:lang w:eastAsia="hr-HR"/>
              </w:rPr>
            </w:pPr>
            <w:r w:rsidRPr="00FB28FD">
              <w:rPr>
                <w:rFonts w:ascii="Calibri" w:eastAsia="Times New Roman" w:hAnsi="Calibri" w:cs="Calibri"/>
                <w:b/>
                <w:color w:val="000000"/>
                <w:sz w:val="20"/>
                <w:szCs w:val="20"/>
                <w:lang w:eastAsia="hr-HR"/>
              </w:rPr>
              <w:t>UKUPNO</w:t>
            </w:r>
          </w:p>
        </w:tc>
        <w:tc>
          <w:tcPr>
            <w:tcW w:w="2229" w:type="pct"/>
            <w:tcBorders>
              <w:top w:val="nil"/>
              <w:left w:val="nil"/>
              <w:bottom w:val="single" w:sz="4" w:space="0" w:color="auto"/>
              <w:right w:val="single" w:sz="4" w:space="0" w:color="auto"/>
            </w:tcBorders>
            <w:shd w:val="clear" w:color="000000" w:fill="D9D9D9"/>
            <w:noWrap/>
            <w:vAlign w:val="bottom"/>
            <w:hideMark/>
          </w:tcPr>
          <w:p w14:paraId="3C3202D6" w14:textId="7F3C628F" w:rsidR="00F47804" w:rsidRPr="00FB28FD" w:rsidRDefault="00BB22DF" w:rsidP="00E92750">
            <w:pPr>
              <w:spacing w:after="0" w:line="240" w:lineRule="auto"/>
              <w:jc w:val="center"/>
              <w:rPr>
                <w:rFonts w:ascii="Calibri" w:eastAsia="Times New Roman" w:hAnsi="Calibri" w:cs="Calibri"/>
                <w:b/>
                <w:color w:val="000000"/>
                <w:sz w:val="20"/>
                <w:szCs w:val="20"/>
                <w:lang w:eastAsia="hr-HR"/>
              </w:rPr>
            </w:pPr>
            <w:r w:rsidRPr="00FB28FD">
              <w:rPr>
                <w:rFonts w:ascii="Calibri" w:eastAsia="Times New Roman" w:hAnsi="Calibri" w:cs="Calibri"/>
                <w:b/>
                <w:color w:val="000000"/>
                <w:sz w:val="20"/>
                <w:szCs w:val="20"/>
                <w:lang w:eastAsia="hr-HR"/>
              </w:rPr>
              <w:t xml:space="preserve">279 462 </w:t>
            </w:r>
            <w:r w:rsidR="00F47804" w:rsidRPr="00FB28FD">
              <w:rPr>
                <w:rFonts w:ascii="Calibri" w:eastAsia="Times New Roman" w:hAnsi="Calibri" w:cs="Calibri"/>
                <w:b/>
                <w:color w:val="000000"/>
                <w:sz w:val="20"/>
                <w:szCs w:val="20"/>
                <w:lang w:eastAsia="hr-HR"/>
              </w:rPr>
              <w:t>803</w:t>
            </w:r>
          </w:p>
        </w:tc>
      </w:tr>
    </w:tbl>
    <w:p w14:paraId="3107C829" w14:textId="77777777" w:rsidR="00F47804" w:rsidRPr="0060662D" w:rsidRDefault="00F47804" w:rsidP="00E92750">
      <w:pPr>
        <w:spacing w:line="240" w:lineRule="auto"/>
        <w:jc w:val="both"/>
        <w:rPr>
          <w:rFonts w:eastAsia="Calibri" w:cstheme="minorHAnsi"/>
        </w:rPr>
      </w:pPr>
    </w:p>
    <w:p w14:paraId="4A9DF92A" w14:textId="77777777" w:rsidR="00BB22DF" w:rsidRPr="007C7920" w:rsidRDefault="00BB22DF" w:rsidP="00E92750">
      <w:pPr>
        <w:spacing w:line="240" w:lineRule="auto"/>
        <w:jc w:val="both"/>
        <w:rPr>
          <w:rFonts w:eastAsia="Calibri" w:cstheme="minorHAnsi"/>
          <w:highlight w:val="yellow"/>
        </w:rPr>
      </w:pPr>
    </w:p>
    <w:p w14:paraId="296CABC8" w14:textId="77777777" w:rsidR="00BB22DF" w:rsidRPr="007C7920" w:rsidRDefault="00BB22DF" w:rsidP="00E92750">
      <w:pPr>
        <w:spacing w:line="240" w:lineRule="auto"/>
        <w:jc w:val="both"/>
        <w:rPr>
          <w:rFonts w:eastAsia="Calibri" w:cstheme="minorHAnsi"/>
          <w:highlight w:val="yellow"/>
        </w:rPr>
      </w:pPr>
    </w:p>
    <w:p w14:paraId="4906E43C" w14:textId="77777777" w:rsidR="00BB22DF" w:rsidRPr="007C7920" w:rsidRDefault="00BB22DF" w:rsidP="00E92750">
      <w:pPr>
        <w:spacing w:line="240" w:lineRule="auto"/>
        <w:jc w:val="both"/>
        <w:rPr>
          <w:rFonts w:eastAsia="Calibri" w:cstheme="minorHAnsi"/>
          <w:highlight w:val="yellow"/>
        </w:rPr>
      </w:pPr>
    </w:p>
    <w:p w14:paraId="1F8234C2" w14:textId="3C954307" w:rsidR="00104A81" w:rsidRPr="007274A2" w:rsidRDefault="009471B6" w:rsidP="00E92750">
      <w:pPr>
        <w:spacing w:line="240" w:lineRule="auto"/>
        <w:jc w:val="both"/>
        <w:rPr>
          <w:rFonts w:eastAsia="Calibri" w:cstheme="minorHAnsi"/>
        </w:rPr>
      </w:pPr>
      <w:r w:rsidRPr="007274A2">
        <w:rPr>
          <w:rFonts w:eastAsia="Calibri" w:cstheme="minorHAnsi"/>
        </w:rPr>
        <w:lastRenderedPageBreak/>
        <w:t xml:space="preserve">Udio tramvajskog, </w:t>
      </w:r>
      <w:r w:rsidR="00104A81" w:rsidRPr="007274A2">
        <w:rPr>
          <w:rFonts w:eastAsia="Calibri" w:cstheme="minorHAnsi"/>
        </w:rPr>
        <w:t xml:space="preserve">autobusnog </w:t>
      </w:r>
      <w:r w:rsidRPr="007274A2">
        <w:rPr>
          <w:rFonts w:eastAsia="Calibri" w:cstheme="minorHAnsi"/>
        </w:rPr>
        <w:t xml:space="preserve">i ostalog javnog </w:t>
      </w:r>
      <w:r w:rsidR="00104A81" w:rsidRPr="007274A2">
        <w:rPr>
          <w:rFonts w:eastAsia="Calibri" w:cstheme="minorHAnsi"/>
        </w:rPr>
        <w:t>prijevoza u ukupnom broju prevezenih pu</w:t>
      </w:r>
      <w:r w:rsidRPr="007274A2">
        <w:rPr>
          <w:rFonts w:eastAsia="Calibri" w:cstheme="minorHAnsi"/>
        </w:rPr>
        <w:t xml:space="preserve">tnika </w:t>
      </w:r>
      <w:r w:rsidR="00BB22DF" w:rsidRPr="007274A2">
        <w:rPr>
          <w:rFonts w:eastAsia="Calibri" w:cstheme="minorHAnsi"/>
        </w:rPr>
        <w:t xml:space="preserve">javnim prijevozom </w:t>
      </w:r>
      <w:r w:rsidR="00C72ECF" w:rsidRPr="007274A2">
        <w:rPr>
          <w:rFonts w:eastAsia="Calibri" w:cstheme="minorHAnsi"/>
        </w:rPr>
        <w:t xml:space="preserve">u organizaciji ZET-a u 2015. godini, </w:t>
      </w:r>
      <w:r w:rsidRPr="007274A2">
        <w:rPr>
          <w:rFonts w:eastAsia="Calibri" w:cstheme="minorHAnsi"/>
        </w:rPr>
        <w:t xml:space="preserve">prikazan je na </w:t>
      </w:r>
      <w:r w:rsidRPr="007274A2">
        <w:rPr>
          <w:rFonts w:eastAsia="Calibri" w:cstheme="minorHAnsi"/>
        </w:rPr>
        <w:fldChar w:fldCharType="begin"/>
      </w:r>
      <w:r w:rsidRPr="007274A2">
        <w:rPr>
          <w:rFonts w:eastAsia="Calibri" w:cstheme="minorHAnsi"/>
        </w:rPr>
        <w:instrText xml:space="preserve"> REF _Ref464720430 \h  \* MERGEFORMAT </w:instrText>
      </w:r>
      <w:r w:rsidRPr="007274A2">
        <w:rPr>
          <w:rFonts w:eastAsia="Calibri" w:cstheme="minorHAnsi"/>
        </w:rPr>
      </w:r>
      <w:r w:rsidRPr="007274A2">
        <w:rPr>
          <w:rFonts w:eastAsia="Calibri" w:cstheme="minorHAnsi"/>
        </w:rPr>
        <w:fldChar w:fldCharType="separate"/>
      </w:r>
      <w:r w:rsidR="00C303C7">
        <w:rPr>
          <w:rFonts w:eastAsia="Calibri" w:cstheme="minorHAnsi"/>
          <w:b/>
          <w:bCs/>
        </w:rPr>
        <w:t>Slici</w:t>
      </w:r>
      <w:r w:rsidR="009C319B" w:rsidRPr="009C319B">
        <w:rPr>
          <w:rFonts w:eastAsia="Calibri" w:cstheme="minorHAnsi"/>
          <w:b/>
          <w:bCs/>
        </w:rPr>
        <w:t xml:space="preserve"> </w:t>
      </w:r>
      <w:r w:rsidR="009C319B" w:rsidRPr="009C319B">
        <w:rPr>
          <w:rFonts w:eastAsia="Calibri" w:cstheme="minorHAnsi"/>
          <w:b/>
          <w:bCs/>
          <w:noProof/>
        </w:rPr>
        <w:t>5.3</w:t>
      </w:r>
      <w:r w:rsidRPr="007274A2">
        <w:rPr>
          <w:rFonts w:eastAsia="Calibri" w:cstheme="minorHAnsi"/>
        </w:rPr>
        <w:fldChar w:fldCharType="end"/>
      </w:r>
      <w:r w:rsidRPr="007274A2">
        <w:rPr>
          <w:rFonts w:eastAsia="Calibri" w:cstheme="minorHAnsi"/>
        </w:rPr>
        <w:t>.</w:t>
      </w:r>
    </w:p>
    <w:p w14:paraId="208E87A5" w14:textId="60C6E3FE" w:rsidR="009471B6" w:rsidRPr="007274A2" w:rsidRDefault="009471B6" w:rsidP="00E92750">
      <w:pPr>
        <w:spacing w:after="0" w:line="240" w:lineRule="auto"/>
        <w:jc w:val="center"/>
      </w:pPr>
      <w:bookmarkStart w:id="169" w:name="_Toc258239030"/>
      <w:r w:rsidRPr="007274A2">
        <w:rPr>
          <w:noProof/>
          <w:lang w:eastAsia="hr-HR"/>
        </w:rPr>
        <w:drawing>
          <wp:inline distT="0" distB="0" distL="0" distR="0" wp14:anchorId="49258334" wp14:editId="3C24632C">
            <wp:extent cx="4272077" cy="2735885"/>
            <wp:effectExtent l="0" t="0" r="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7E7E85" w14:textId="283E46DB" w:rsidR="00104A81" w:rsidRPr="007274A2" w:rsidRDefault="009471B6" w:rsidP="00E92750">
      <w:pPr>
        <w:spacing w:line="240" w:lineRule="auto"/>
        <w:jc w:val="center"/>
      </w:pPr>
      <w:bookmarkStart w:id="170" w:name="_Ref464720430"/>
      <w:bookmarkStart w:id="171" w:name="_Toc468277439"/>
      <w:r w:rsidRPr="007274A2">
        <w:rPr>
          <w:rFonts w:eastAsia="Calibri" w:cs="Times New Roman"/>
          <w:b/>
          <w:bCs/>
        </w:rPr>
        <w:t xml:space="preserve">Slika </w:t>
      </w:r>
      <w:r w:rsidRPr="007274A2">
        <w:rPr>
          <w:rFonts w:eastAsia="Calibri" w:cs="Times New Roman"/>
          <w:b/>
          <w:bCs/>
        </w:rPr>
        <w:fldChar w:fldCharType="begin"/>
      </w:r>
      <w:r w:rsidRPr="007274A2">
        <w:rPr>
          <w:rFonts w:eastAsia="Calibri" w:cs="Times New Roman"/>
          <w:b/>
          <w:bCs/>
        </w:rPr>
        <w:instrText xml:space="preserve"> STYLEREF 1 \s </w:instrText>
      </w:r>
      <w:r w:rsidRPr="007274A2">
        <w:rPr>
          <w:rFonts w:eastAsia="Calibri" w:cs="Times New Roman"/>
          <w:b/>
          <w:bCs/>
        </w:rPr>
        <w:fldChar w:fldCharType="separate"/>
      </w:r>
      <w:r w:rsidR="009C319B">
        <w:rPr>
          <w:rFonts w:eastAsia="Calibri" w:cs="Times New Roman"/>
          <w:b/>
          <w:bCs/>
          <w:noProof/>
        </w:rPr>
        <w:t>5</w:t>
      </w:r>
      <w:r w:rsidRPr="007274A2">
        <w:rPr>
          <w:rFonts w:eastAsia="Calibri" w:cs="Times New Roman"/>
          <w:b/>
          <w:bCs/>
        </w:rPr>
        <w:fldChar w:fldCharType="end"/>
      </w:r>
      <w:r w:rsidRPr="007274A2">
        <w:rPr>
          <w:rFonts w:eastAsia="Calibri" w:cs="Times New Roman"/>
          <w:b/>
          <w:bCs/>
        </w:rPr>
        <w:t>.</w:t>
      </w:r>
      <w:r w:rsidRPr="007274A2">
        <w:rPr>
          <w:rFonts w:eastAsia="Calibri" w:cs="Times New Roman"/>
          <w:b/>
          <w:bCs/>
        </w:rPr>
        <w:fldChar w:fldCharType="begin"/>
      </w:r>
      <w:r w:rsidRPr="007274A2">
        <w:rPr>
          <w:rFonts w:eastAsia="Calibri" w:cs="Times New Roman"/>
          <w:b/>
          <w:bCs/>
        </w:rPr>
        <w:instrText xml:space="preserve"> SEQ Slika \* ARABIC \s 1 </w:instrText>
      </w:r>
      <w:r w:rsidRPr="007274A2">
        <w:rPr>
          <w:rFonts w:eastAsia="Calibri" w:cs="Times New Roman"/>
          <w:b/>
          <w:bCs/>
        </w:rPr>
        <w:fldChar w:fldCharType="separate"/>
      </w:r>
      <w:r w:rsidR="009C319B">
        <w:rPr>
          <w:rFonts w:eastAsia="Calibri" w:cs="Times New Roman"/>
          <w:b/>
          <w:bCs/>
          <w:noProof/>
        </w:rPr>
        <w:t>3</w:t>
      </w:r>
      <w:r w:rsidRPr="007274A2">
        <w:rPr>
          <w:rFonts w:eastAsia="Calibri" w:cs="Times New Roman"/>
          <w:b/>
          <w:bCs/>
        </w:rPr>
        <w:fldChar w:fldCharType="end"/>
      </w:r>
      <w:bookmarkEnd w:id="170"/>
      <w:r w:rsidRPr="007274A2">
        <w:t xml:space="preserve"> </w:t>
      </w:r>
      <w:r w:rsidR="00104A81" w:rsidRPr="007274A2">
        <w:t>Udi</w:t>
      </w:r>
      <w:r w:rsidR="005F3A3E" w:rsidRPr="007274A2">
        <w:t xml:space="preserve">o </w:t>
      </w:r>
      <w:r w:rsidR="00925933" w:rsidRPr="007274A2">
        <w:t>prevezenih putnika tramvajem, autobusom i ostalim javnim prijevozom</w:t>
      </w:r>
      <w:r w:rsidR="00104A81" w:rsidRPr="007274A2">
        <w:t xml:space="preserve"> u ukupnom broju prevezenih putnika</w:t>
      </w:r>
      <w:bookmarkEnd w:id="169"/>
      <w:r w:rsidR="00925933" w:rsidRPr="007274A2">
        <w:t xml:space="preserve"> u </w:t>
      </w:r>
      <w:r w:rsidR="00C72ECF" w:rsidRPr="007274A2">
        <w:t>organizaciji ZET-a</w:t>
      </w:r>
      <w:bookmarkEnd w:id="171"/>
    </w:p>
    <w:p w14:paraId="628DEA74" w14:textId="5E48C3F6" w:rsidR="00C72ECF" w:rsidRPr="007274A2" w:rsidRDefault="00056921" w:rsidP="00E92750">
      <w:pPr>
        <w:spacing w:after="240" w:line="240" w:lineRule="auto"/>
        <w:jc w:val="both"/>
      </w:pPr>
      <w:r w:rsidRPr="007274A2">
        <w:t>U javnom prijevozu</w:t>
      </w:r>
      <w:r w:rsidR="00EF77CD" w:rsidRPr="007274A2">
        <w:t xml:space="preserve"> putnika tramvajem, autobusom i ostalim javnim prijevozom</w:t>
      </w:r>
      <w:r w:rsidR="00C72ECF" w:rsidRPr="007274A2">
        <w:t xml:space="preserve"> u organizaciji ZET-a</w:t>
      </w:r>
      <w:r w:rsidRPr="007274A2">
        <w:t xml:space="preserve"> </w:t>
      </w:r>
      <w:r w:rsidR="00F47804" w:rsidRPr="007274A2">
        <w:t>u 2015. godini</w:t>
      </w:r>
      <w:r w:rsidR="00EF77CD" w:rsidRPr="007274A2">
        <w:t xml:space="preserve"> ukupno je potrošeno 182 </w:t>
      </w:r>
      <w:r w:rsidRPr="007274A2">
        <w:t xml:space="preserve">517,35 MWh energije. </w:t>
      </w:r>
    </w:p>
    <w:p w14:paraId="6D225BCC" w14:textId="78718684" w:rsidR="00104A81" w:rsidRPr="007274A2" w:rsidRDefault="00056921" w:rsidP="00E92750">
      <w:pPr>
        <w:spacing w:after="240" w:line="240" w:lineRule="auto"/>
        <w:jc w:val="both"/>
      </w:pPr>
      <w:r w:rsidRPr="007274A2">
        <w:t>Prikaz</w:t>
      </w:r>
      <w:r w:rsidR="00F47804" w:rsidRPr="007274A2">
        <w:t xml:space="preserve"> udjela</w:t>
      </w:r>
      <w:r w:rsidRPr="007274A2">
        <w:t xml:space="preserve"> potroš</w:t>
      </w:r>
      <w:r w:rsidR="003D3CFF" w:rsidRPr="007274A2">
        <w:t>nje energije</w:t>
      </w:r>
      <w:r w:rsidR="00F47804" w:rsidRPr="007274A2">
        <w:t xml:space="preserve"> tramvajskog, autobusnog i ostalog javnog prijevoza</w:t>
      </w:r>
      <w:r w:rsidR="003D3CFF" w:rsidRPr="007274A2">
        <w:t xml:space="preserve"> u 2015</w:t>
      </w:r>
      <w:r w:rsidR="00F47804" w:rsidRPr="007274A2">
        <w:t>. godini</w:t>
      </w:r>
      <w:r w:rsidR="003D3CFF" w:rsidRPr="007274A2">
        <w:t xml:space="preserve"> </w:t>
      </w:r>
      <w:r w:rsidR="00C72ECF" w:rsidRPr="007274A2">
        <w:t xml:space="preserve">u organizaciji ZET-a </w:t>
      </w:r>
      <w:r w:rsidR="003D3CFF" w:rsidRPr="007274A2">
        <w:t xml:space="preserve">dan je na </w:t>
      </w:r>
      <w:r w:rsidR="003D3CFF" w:rsidRPr="007274A2">
        <w:fldChar w:fldCharType="begin"/>
      </w:r>
      <w:r w:rsidR="003D3CFF" w:rsidRPr="007274A2">
        <w:instrText xml:space="preserve"> REF _Ref464721449 \h  \* MERGEFORMAT </w:instrText>
      </w:r>
      <w:r w:rsidR="003D3CFF" w:rsidRPr="007274A2">
        <w:fldChar w:fldCharType="separate"/>
      </w:r>
      <w:r w:rsidR="00C303C7">
        <w:rPr>
          <w:rFonts w:eastAsia="Calibri" w:cs="Times New Roman"/>
          <w:b/>
          <w:bCs/>
        </w:rPr>
        <w:t>Slici</w:t>
      </w:r>
      <w:r w:rsidR="009C319B" w:rsidRPr="002B6A05">
        <w:rPr>
          <w:rFonts w:eastAsia="Calibri" w:cs="Times New Roman"/>
          <w:b/>
          <w:bCs/>
        </w:rPr>
        <w:t xml:space="preserve"> </w:t>
      </w:r>
      <w:r w:rsidR="009C319B">
        <w:rPr>
          <w:rFonts w:eastAsia="Calibri" w:cs="Times New Roman"/>
          <w:b/>
          <w:bCs/>
          <w:noProof/>
        </w:rPr>
        <w:t>5</w:t>
      </w:r>
      <w:r w:rsidR="009C319B" w:rsidRPr="002B6A05">
        <w:rPr>
          <w:rFonts w:eastAsia="Calibri" w:cs="Times New Roman"/>
          <w:b/>
          <w:bCs/>
          <w:noProof/>
        </w:rPr>
        <w:t>.</w:t>
      </w:r>
      <w:r w:rsidR="009C319B">
        <w:rPr>
          <w:rFonts w:eastAsia="Calibri" w:cs="Times New Roman"/>
          <w:b/>
          <w:bCs/>
          <w:noProof/>
        </w:rPr>
        <w:t>4</w:t>
      </w:r>
      <w:r w:rsidR="003D3CFF" w:rsidRPr="007274A2">
        <w:fldChar w:fldCharType="end"/>
      </w:r>
      <w:r w:rsidR="003D3CFF" w:rsidRPr="007274A2">
        <w:t xml:space="preserve">, </w:t>
      </w:r>
      <w:r w:rsidR="00F47804" w:rsidRPr="007274A2">
        <w:t>a prikaz udjela</w:t>
      </w:r>
      <w:r w:rsidR="003D3CFF" w:rsidRPr="007274A2">
        <w:t xml:space="preserve"> </w:t>
      </w:r>
      <w:r w:rsidR="00F47804" w:rsidRPr="007274A2">
        <w:t xml:space="preserve">potrošnje energije </w:t>
      </w:r>
      <w:r w:rsidR="003D3CFF" w:rsidRPr="007274A2">
        <w:t xml:space="preserve">prema vrsti pogonskog goriva na </w:t>
      </w:r>
      <w:r w:rsidR="003D3CFF" w:rsidRPr="007274A2">
        <w:fldChar w:fldCharType="begin"/>
      </w:r>
      <w:r w:rsidR="003D3CFF" w:rsidRPr="007274A2">
        <w:instrText xml:space="preserve"> REF _Ref464721537 \h  \* MERGEFORMAT </w:instrText>
      </w:r>
      <w:r w:rsidR="003D3CFF" w:rsidRPr="007274A2">
        <w:fldChar w:fldCharType="separate"/>
      </w:r>
      <w:r w:rsidR="00C303C7">
        <w:rPr>
          <w:rFonts w:eastAsia="Calibri" w:cs="Times New Roman"/>
          <w:b/>
          <w:bCs/>
        </w:rPr>
        <w:t>Slici</w:t>
      </w:r>
      <w:r w:rsidR="009C319B" w:rsidRPr="002B6A05">
        <w:rPr>
          <w:rFonts w:eastAsia="Calibri" w:cs="Times New Roman"/>
          <w:b/>
          <w:bCs/>
        </w:rPr>
        <w:t xml:space="preserve"> </w:t>
      </w:r>
      <w:r w:rsidR="009C319B">
        <w:rPr>
          <w:rFonts w:eastAsia="Calibri" w:cs="Times New Roman"/>
          <w:b/>
          <w:bCs/>
          <w:noProof/>
        </w:rPr>
        <w:t>5</w:t>
      </w:r>
      <w:r w:rsidR="009C319B" w:rsidRPr="002B6A05">
        <w:rPr>
          <w:rFonts w:eastAsia="Calibri" w:cs="Times New Roman"/>
          <w:b/>
          <w:bCs/>
          <w:noProof/>
        </w:rPr>
        <w:t>.</w:t>
      </w:r>
      <w:r w:rsidR="009C319B">
        <w:rPr>
          <w:rFonts w:eastAsia="Calibri" w:cs="Times New Roman"/>
          <w:b/>
          <w:bCs/>
          <w:noProof/>
        </w:rPr>
        <w:t>5</w:t>
      </w:r>
      <w:r w:rsidR="003D3CFF" w:rsidRPr="007274A2">
        <w:fldChar w:fldCharType="end"/>
      </w:r>
      <w:r w:rsidR="003D3CFF" w:rsidRPr="007274A2">
        <w:t>.</w:t>
      </w:r>
    </w:p>
    <w:p w14:paraId="72B063FE" w14:textId="2ABC6F63" w:rsidR="006A5340" w:rsidRPr="007C7920" w:rsidRDefault="00F47804" w:rsidP="00E92750">
      <w:pPr>
        <w:spacing w:after="0" w:line="240" w:lineRule="auto"/>
        <w:jc w:val="center"/>
        <w:rPr>
          <w:noProof/>
          <w:highlight w:val="yellow"/>
          <w:lang w:eastAsia="hr-HR"/>
        </w:rPr>
      </w:pPr>
      <w:r w:rsidRPr="007274A2">
        <w:rPr>
          <w:noProof/>
          <w:lang w:eastAsia="hr-HR"/>
        </w:rPr>
        <w:drawing>
          <wp:inline distT="0" distB="0" distL="0" distR="0" wp14:anchorId="1A09FB04" wp14:editId="0576AB39">
            <wp:extent cx="4461164" cy="2758787"/>
            <wp:effectExtent l="38100" t="0" r="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36C1E07" w14:textId="6D4D87DC" w:rsidR="00FD7195" w:rsidRPr="002B6A05" w:rsidRDefault="003D3CFF" w:rsidP="00E92750">
      <w:pPr>
        <w:spacing w:line="240" w:lineRule="auto"/>
        <w:jc w:val="center"/>
      </w:pPr>
      <w:bookmarkStart w:id="172" w:name="_Ref464721449"/>
      <w:bookmarkStart w:id="173" w:name="_Toc468277440"/>
      <w:r w:rsidRPr="002B6A05">
        <w:rPr>
          <w:rFonts w:eastAsia="Calibri" w:cs="Times New Roman"/>
          <w:b/>
          <w:bCs/>
        </w:rPr>
        <w:t xml:space="preserve">Slika </w:t>
      </w:r>
      <w:r w:rsidRPr="002B6A05">
        <w:rPr>
          <w:rFonts w:eastAsia="Calibri" w:cs="Times New Roman"/>
          <w:b/>
          <w:bCs/>
        </w:rPr>
        <w:fldChar w:fldCharType="begin"/>
      </w:r>
      <w:r w:rsidRPr="002B6A05">
        <w:rPr>
          <w:rFonts w:eastAsia="Calibri" w:cs="Times New Roman"/>
          <w:b/>
          <w:bCs/>
        </w:rPr>
        <w:instrText xml:space="preserve"> STYLEREF 1 \s </w:instrText>
      </w:r>
      <w:r w:rsidRPr="002B6A05">
        <w:rPr>
          <w:rFonts w:eastAsia="Calibri" w:cs="Times New Roman"/>
          <w:b/>
          <w:bCs/>
        </w:rPr>
        <w:fldChar w:fldCharType="separate"/>
      </w:r>
      <w:r w:rsidR="009C319B">
        <w:rPr>
          <w:rFonts w:eastAsia="Calibri" w:cs="Times New Roman"/>
          <w:b/>
          <w:bCs/>
          <w:noProof/>
        </w:rPr>
        <w:t>5</w:t>
      </w:r>
      <w:r w:rsidRPr="002B6A05">
        <w:rPr>
          <w:rFonts w:eastAsia="Calibri" w:cs="Times New Roman"/>
          <w:b/>
          <w:bCs/>
        </w:rPr>
        <w:fldChar w:fldCharType="end"/>
      </w:r>
      <w:r w:rsidRPr="002B6A05">
        <w:rPr>
          <w:rFonts w:eastAsia="Calibri" w:cs="Times New Roman"/>
          <w:b/>
          <w:bCs/>
        </w:rPr>
        <w:t>.</w:t>
      </w:r>
      <w:r w:rsidRPr="002B6A05">
        <w:rPr>
          <w:rFonts w:eastAsia="Calibri" w:cs="Times New Roman"/>
          <w:b/>
          <w:bCs/>
        </w:rPr>
        <w:fldChar w:fldCharType="begin"/>
      </w:r>
      <w:r w:rsidRPr="002B6A05">
        <w:rPr>
          <w:rFonts w:eastAsia="Calibri" w:cs="Times New Roman"/>
          <w:b/>
          <w:bCs/>
        </w:rPr>
        <w:instrText xml:space="preserve"> SEQ Slika \* ARABIC \s 1 </w:instrText>
      </w:r>
      <w:r w:rsidRPr="002B6A05">
        <w:rPr>
          <w:rFonts w:eastAsia="Calibri" w:cs="Times New Roman"/>
          <w:b/>
          <w:bCs/>
        </w:rPr>
        <w:fldChar w:fldCharType="separate"/>
      </w:r>
      <w:r w:rsidR="009C319B">
        <w:rPr>
          <w:rFonts w:eastAsia="Calibri" w:cs="Times New Roman"/>
          <w:b/>
          <w:bCs/>
          <w:noProof/>
        </w:rPr>
        <w:t>4</w:t>
      </w:r>
      <w:r w:rsidRPr="002B6A05">
        <w:rPr>
          <w:rFonts w:eastAsia="Calibri" w:cs="Times New Roman"/>
          <w:b/>
          <w:bCs/>
        </w:rPr>
        <w:fldChar w:fldCharType="end"/>
      </w:r>
      <w:bookmarkEnd w:id="172"/>
      <w:r w:rsidRPr="002B6A05">
        <w:rPr>
          <w:rFonts w:eastAsia="Calibri" w:cs="Times New Roman"/>
          <w:b/>
          <w:bCs/>
        </w:rPr>
        <w:t xml:space="preserve"> </w:t>
      </w:r>
      <w:r w:rsidRPr="002B6A05">
        <w:rPr>
          <w:rFonts w:eastAsia="Calibri" w:cs="Times New Roman"/>
          <w:bCs/>
        </w:rPr>
        <w:t>Udio</w:t>
      </w:r>
      <w:r w:rsidRPr="002B6A05">
        <w:rPr>
          <w:rFonts w:eastAsia="Calibri" w:cs="Times New Roman"/>
          <w:b/>
          <w:bCs/>
        </w:rPr>
        <w:t xml:space="preserve"> </w:t>
      </w:r>
      <w:r w:rsidRPr="002B6A05">
        <w:rPr>
          <w:rFonts w:eastAsia="Calibri" w:cs="Times New Roman"/>
          <w:bCs/>
        </w:rPr>
        <w:t xml:space="preserve">potrošnje energije </w:t>
      </w:r>
      <w:r w:rsidR="00C72ECF" w:rsidRPr="002B6A05">
        <w:rPr>
          <w:rFonts w:eastAsia="Calibri" w:cs="Times New Roman"/>
          <w:bCs/>
        </w:rPr>
        <w:t>u javnom prijevozu putnika tramvajem, autobusom i ostalim javnim prijevozom u organizaciji ZET-a</w:t>
      </w:r>
      <w:bookmarkEnd w:id="173"/>
    </w:p>
    <w:p w14:paraId="35C8BEF9" w14:textId="05A9C791" w:rsidR="00FD7195" w:rsidRPr="002B6A05" w:rsidRDefault="00B337D1" w:rsidP="00E92750">
      <w:pPr>
        <w:spacing w:after="0" w:line="240" w:lineRule="auto"/>
        <w:jc w:val="center"/>
        <w:rPr>
          <w:noProof/>
          <w:lang w:eastAsia="hr-HR"/>
        </w:rPr>
      </w:pPr>
      <w:r w:rsidRPr="002B6A05">
        <w:rPr>
          <w:noProof/>
          <w:lang w:eastAsia="hr-HR"/>
        </w:rPr>
        <w:lastRenderedPageBreak/>
        <w:drawing>
          <wp:inline distT="0" distB="0" distL="0" distR="0" wp14:anchorId="5D59B15C" wp14:editId="035BD3D8">
            <wp:extent cx="4667097" cy="2787091"/>
            <wp:effectExtent l="0" t="0" r="63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153146C" w14:textId="00987F20" w:rsidR="00FD7195" w:rsidRPr="002B6A05" w:rsidRDefault="003D3CFF" w:rsidP="00E92750">
      <w:pPr>
        <w:spacing w:after="0" w:line="240" w:lineRule="auto"/>
        <w:jc w:val="center"/>
      </w:pPr>
      <w:bookmarkStart w:id="174" w:name="_Ref464721537"/>
      <w:bookmarkStart w:id="175" w:name="_Toc468277441"/>
      <w:r w:rsidRPr="002B6A05">
        <w:rPr>
          <w:rFonts w:eastAsia="Calibri" w:cs="Times New Roman"/>
          <w:b/>
          <w:bCs/>
        </w:rPr>
        <w:t xml:space="preserve">Slika </w:t>
      </w:r>
      <w:r w:rsidRPr="002B6A05">
        <w:rPr>
          <w:rFonts w:eastAsia="Calibri" w:cs="Times New Roman"/>
          <w:b/>
          <w:bCs/>
        </w:rPr>
        <w:fldChar w:fldCharType="begin"/>
      </w:r>
      <w:r w:rsidRPr="002B6A05">
        <w:rPr>
          <w:rFonts w:eastAsia="Calibri" w:cs="Times New Roman"/>
          <w:b/>
          <w:bCs/>
        </w:rPr>
        <w:instrText xml:space="preserve"> STYLEREF 1 \s </w:instrText>
      </w:r>
      <w:r w:rsidRPr="002B6A05">
        <w:rPr>
          <w:rFonts w:eastAsia="Calibri" w:cs="Times New Roman"/>
          <w:b/>
          <w:bCs/>
        </w:rPr>
        <w:fldChar w:fldCharType="separate"/>
      </w:r>
      <w:r w:rsidR="009C319B">
        <w:rPr>
          <w:rFonts w:eastAsia="Calibri" w:cs="Times New Roman"/>
          <w:b/>
          <w:bCs/>
          <w:noProof/>
        </w:rPr>
        <w:t>5</w:t>
      </w:r>
      <w:r w:rsidRPr="002B6A05">
        <w:rPr>
          <w:rFonts w:eastAsia="Calibri" w:cs="Times New Roman"/>
          <w:b/>
          <w:bCs/>
        </w:rPr>
        <w:fldChar w:fldCharType="end"/>
      </w:r>
      <w:r w:rsidRPr="002B6A05">
        <w:rPr>
          <w:rFonts w:eastAsia="Calibri" w:cs="Times New Roman"/>
          <w:b/>
          <w:bCs/>
        </w:rPr>
        <w:t>.</w:t>
      </w:r>
      <w:r w:rsidRPr="002B6A05">
        <w:rPr>
          <w:rFonts w:eastAsia="Calibri" w:cs="Times New Roman"/>
          <w:b/>
          <w:bCs/>
        </w:rPr>
        <w:fldChar w:fldCharType="begin"/>
      </w:r>
      <w:r w:rsidRPr="002B6A05">
        <w:rPr>
          <w:rFonts w:eastAsia="Calibri" w:cs="Times New Roman"/>
          <w:b/>
          <w:bCs/>
        </w:rPr>
        <w:instrText xml:space="preserve"> SEQ Slika \* ARABIC \s 1 </w:instrText>
      </w:r>
      <w:r w:rsidRPr="002B6A05">
        <w:rPr>
          <w:rFonts w:eastAsia="Calibri" w:cs="Times New Roman"/>
          <w:b/>
          <w:bCs/>
        </w:rPr>
        <w:fldChar w:fldCharType="separate"/>
      </w:r>
      <w:r w:rsidR="009C319B">
        <w:rPr>
          <w:rFonts w:eastAsia="Calibri" w:cs="Times New Roman"/>
          <w:b/>
          <w:bCs/>
          <w:noProof/>
        </w:rPr>
        <w:t>5</w:t>
      </w:r>
      <w:r w:rsidRPr="002B6A05">
        <w:rPr>
          <w:rFonts w:eastAsia="Calibri" w:cs="Times New Roman"/>
          <w:b/>
          <w:bCs/>
        </w:rPr>
        <w:fldChar w:fldCharType="end"/>
      </w:r>
      <w:bookmarkEnd w:id="174"/>
      <w:r w:rsidRPr="002B6A05">
        <w:rPr>
          <w:rFonts w:eastAsia="Calibri" w:cs="Times New Roman"/>
          <w:b/>
          <w:bCs/>
        </w:rPr>
        <w:t xml:space="preserve"> </w:t>
      </w:r>
      <w:r w:rsidRPr="002B6A05">
        <w:rPr>
          <w:rFonts w:eastAsia="Calibri" w:cs="Times New Roman"/>
          <w:bCs/>
        </w:rPr>
        <w:t>Potrošnja energije prema vrsti pogonskog goriva u javnom prijevozu</w:t>
      </w:r>
      <w:r w:rsidRPr="002B6A05">
        <w:rPr>
          <w:rFonts w:eastAsia="Calibri" w:cs="Times New Roman"/>
          <w:b/>
          <w:bCs/>
        </w:rPr>
        <w:t xml:space="preserve"> </w:t>
      </w:r>
      <w:r w:rsidR="00C72ECF" w:rsidRPr="002B6A05">
        <w:rPr>
          <w:rFonts w:eastAsia="Calibri" w:cs="Times New Roman"/>
          <w:bCs/>
        </w:rPr>
        <w:t>putnika autobusom, tramvajem i ostalim javnim prijevozom u organizaciji ZET-a</w:t>
      </w:r>
      <w:bookmarkEnd w:id="175"/>
    </w:p>
    <w:p w14:paraId="079F407F" w14:textId="77777777" w:rsidR="00104A81" w:rsidRPr="002B6A05" w:rsidRDefault="00104A81" w:rsidP="00E92750">
      <w:pPr>
        <w:pStyle w:val="Heading4"/>
        <w:spacing w:after="240" w:line="240" w:lineRule="auto"/>
        <w:ind w:left="862" w:hanging="862"/>
        <w:contextualSpacing w:val="0"/>
        <w:rPr>
          <w:rFonts w:asciiTheme="minorHAnsi" w:hAnsiTheme="minorHAnsi"/>
          <w:sz w:val="22"/>
        </w:rPr>
      </w:pPr>
      <w:bookmarkStart w:id="176" w:name="_Toc468345366"/>
      <w:r w:rsidRPr="002B6A05">
        <w:rPr>
          <w:rFonts w:asciiTheme="minorHAnsi" w:hAnsiTheme="minorHAnsi"/>
          <w:sz w:val="22"/>
        </w:rPr>
        <w:t>Zagrebački električni tramvaj</w:t>
      </w:r>
      <w:bookmarkEnd w:id="176"/>
    </w:p>
    <w:p w14:paraId="037A04C2" w14:textId="2D31F32F" w:rsidR="00104A81" w:rsidRPr="002B6A05" w:rsidRDefault="00104A81" w:rsidP="00E92750">
      <w:pPr>
        <w:spacing w:line="240" w:lineRule="auto"/>
        <w:jc w:val="both"/>
      </w:pPr>
      <w:r w:rsidRPr="002B6A05">
        <w:rPr>
          <w:rFonts w:eastAsia="Calibri" w:cs="Times New Roman"/>
        </w:rPr>
        <w:t>Tramvajska mreža čini okosnicu javnog pri</w:t>
      </w:r>
      <w:r w:rsidR="009B0F20" w:rsidRPr="002B6A05">
        <w:rPr>
          <w:rFonts w:eastAsia="Calibri" w:cs="Times New Roman"/>
        </w:rPr>
        <w:t>jevoza</w:t>
      </w:r>
      <w:r w:rsidRPr="002B6A05">
        <w:rPr>
          <w:rFonts w:eastAsia="Calibri" w:cs="Times New Roman"/>
        </w:rPr>
        <w:t xml:space="preserve">. </w:t>
      </w:r>
      <w:r w:rsidRPr="002B6A05">
        <w:t>Redoviti tramvajski promet odvija se na 210 km</w:t>
      </w:r>
      <w:r w:rsidR="002B6A05" w:rsidRPr="002B6A05">
        <w:t xml:space="preserve"> pruge u svakom smjeru</w:t>
      </w:r>
      <w:r w:rsidRPr="002B6A05">
        <w:t>, na kojima prometuje 275 tramva</w:t>
      </w:r>
      <w:r w:rsidR="0049277E" w:rsidRPr="002B6A05">
        <w:t>jskih motornih</w:t>
      </w:r>
      <w:r w:rsidR="00F47804" w:rsidRPr="002B6A05">
        <w:t xml:space="preserve"> kola i 59 priključnih vozila</w:t>
      </w:r>
      <w:r w:rsidRPr="002B6A05">
        <w:t xml:space="preserve">. Tramvajskih promet odvija se na 15 dnevnih i četiri noćne linije. </w:t>
      </w:r>
    </w:p>
    <w:p w14:paraId="7B1537ED" w14:textId="5012DB76" w:rsidR="00104A81" w:rsidRPr="007743CB" w:rsidRDefault="00F47804" w:rsidP="00E92750">
      <w:pPr>
        <w:spacing w:line="240" w:lineRule="auto"/>
        <w:jc w:val="both"/>
        <w:rPr>
          <w:rFonts w:eastAsia="Calibri" w:cs="Times New Roman"/>
        </w:rPr>
      </w:pPr>
      <w:r w:rsidRPr="007743CB">
        <w:rPr>
          <w:rFonts w:eastAsia="Calibri" w:cs="Times New Roman"/>
        </w:rPr>
        <w:t xml:space="preserve">Na području </w:t>
      </w:r>
      <w:r w:rsidR="00104A81" w:rsidRPr="007743CB">
        <w:rPr>
          <w:rFonts w:eastAsia="Calibri" w:cs="Times New Roman"/>
        </w:rPr>
        <w:t>Zagreba skretnica je 294, a tramvajskih stajališta 257. Na godinu se tramvajima u Zagrebu preveze oko 200 milijuna putnika. Vozni park je sastavljen od nekoliko tipova tramvaja različitih proizvođač</w:t>
      </w:r>
      <w:r w:rsidR="0049277E" w:rsidRPr="007743CB">
        <w:rPr>
          <w:rFonts w:eastAsia="Calibri" w:cs="Times New Roman"/>
        </w:rPr>
        <w:t xml:space="preserve">a, </w:t>
      </w:r>
      <w:r w:rsidR="000B3499" w:rsidRPr="007743CB">
        <w:rPr>
          <w:rFonts w:eastAsia="Calibri" w:cs="Times New Roman"/>
          <w:b/>
        </w:rPr>
        <w:fldChar w:fldCharType="begin"/>
      </w:r>
      <w:r w:rsidR="000B3499" w:rsidRPr="007743CB">
        <w:rPr>
          <w:rFonts w:eastAsia="Calibri" w:cs="Times New Roman"/>
          <w:b/>
        </w:rPr>
        <w:instrText xml:space="preserve"> REF _Ref463527803 \h </w:instrText>
      </w:r>
      <w:r w:rsidR="005E0ADE" w:rsidRPr="007743CB">
        <w:rPr>
          <w:rFonts w:eastAsia="Calibri" w:cs="Times New Roman"/>
          <w:b/>
        </w:rPr>
        <w:instrText xml:space="preserve"> \* MERGEFORMAT </w:instrText>
      </w:r>
      <w:r w:rsidR="000B3499" w:rsidRPr="007743CB">
        <w:rPr>
          <w:rFonts w:eastAsia="Calibri" w:cs="Times New Roman"/>
          <w:b/>
        </w:rPr>
      </w:r>
      <w:r w:rsidR="000B3499" w:rsidRPr="007743CB">
        <w:rPr>
          <w:rFonts w:eastAsia="Calibri" w:cs="Times New Roman"/>
          <w:b/>
        </w:rPr>
        <w:fldChar w:fldCharType="separate"/>
      </w:r>
      <w:r w:rsidR="009C319B" w:rsidRPr="009C319B">
        <w:rPr>
          <w:b/>
        </w:rPr>
        <w:t xml:space="preserve">Tablica </w:t>
      </w:r>
      <w:r w:rsidR="009C319B" w:rsidRPr="009C319B">
        <w:rPr>
          <w:b/>
          <w:noProof/>
        </w:rPr>
        <w:t>5.3</w:t>
      </w:r>
      <w:r w:rsidR="000B3499" w:rsidRPr="007743CB">
        <w:rPr>
          <w:rFonts w:eastAsia="Calibri" w:cs="Times New Roman"/>
          <w:b/>
        </w:rPr>
        <w:fldChar w:fldCharType="end"/>
      </w:r>
      <w:r w:rsidR="00104A81" w:rsidRPr="007743CB">
        <w:rPr>
          <w:rFonts w:eastAsia="Calibri" w:cs="Times New Roman"/>
        </w:rPr>
        <w:t>.</w:t>
      </w:r>
    </w:p>
    <w:p w14:paraId="780F7ACD" w14:textId="0F9DB8F6" w:rsidR="00104A81" w:rsidRPr="007743CB" w:rsidRDefault="000B3499" w:rsidP="00E92750">
      <w:pPr>
        <w:pStyle w:val="Caption"/>
        <w:spacing w:after="0" w:line="240" w:lineRule="auto"/>
        <w:rPr>
          <w:b w:val="0"/>
          <w:bCs w:val="0"/>
          <w:sz w:val="22"/>
          <w:szCs w:val="22"/>
        </w:rPr>
      </w:pPr>
      <w:bookmarkStart w:id="177" w:name="_Ref463527803"/>
      <w:bookmarkStart w:id="178" w:name="_Toc468277509"/>
      <w:r w:rsidRPr="007743CB">
        <w:rPr>
          <w:sz w:val="22"/>
          <w:szCs w:val="22"/>
        </w:rPr>
        <w:t xml:space="preserve">Tablica </w:t>
      </w:r>
      <w:r w:rsidR="00EF77CD" w:rsidRPr="007743CB">
        <w:rPr>
          <w:sz w:val="22"/>
          <w:szCs w:val="22"/>
        </w:rPr>
        <w:fldChar w:fldCharType="begin"/>
      </w:r>
      <w:r w:rsidR="00EF77CD" w:rsidRPr="007743CB">
        <w:rPr>
          <w:sz w:val="22"/>
          <w:szCs w:val="22"/>
        </w:rPr>
        <w:instrText xml:space="preserve"> STYLEREF 1 \s </w:instrText>
      </w:r>
      <w:r w:rsidR="00EF77CD" w:rsidRPr="007743CB">
        <w:rPr>
          <w:sz w:val="22"/>
          <w:szCs w:val="22"/>
        </w:rPr>
        <w:fldChar w:fldCharType="separate"/>
      </w:r>
      <w:r w:rsidR="009C319B">
        <w:rPr>
          <w:noProof/>
          <w:sz w:val="22"/>
          <w:szCs w:val="22"/>
        </w:rPr>
        <w:t>5</w:t>
      </w:r>
      <w:r w:rsidR="00EF77CD" w:rsidRPr="007743CB">
        <w:rPr>
          <w:noProof/>
          <w:sz w:val="22"/>
          <w:szCs w:val="22"/>
        </w:rPr>
        <w:fldChar w:fldCharType="end"/>
      </w:r>
      <w:r w:rsidRPr="007743CB">
        <w:rPr>
          <w:sz w:val="22"/>
          <w:szCs w:val="22"/>
        </w:rPr>
        <w:t>.</w:t>
      </w:r>
      <w:r w:rsidR="00EF77CD" w:rsidRPr="007743CB">
        <w:rPr>
          <w:sz w:val="22"/>
          <w:szCs w:val="22"/>
        </w:rPr>
        <w:fldChar w:fldCharType="begin"/>
      </w:r>
      <w:r w:rsidR="00EF77CD" w:rsidRPr="007743CB">
        <w:rPr>
          <w:sz w:val="22"/>
          <w:szCs w:val="22"/>
        </w:rPr>
        <w:instrText xml:space="preserve"> SEQ Tablica \* ARABIC \s 1 </w:instrText>
      </w:r>
      <w:r w:rsidR="00EF77CD" w:rsidRPr="007743CB">
        <w:rPr>
          <w:sz w:val="22"/>
          <w:szCs w:val="22"/>
        </w:rPr>
        <w:fldChar w:fldCharType="separate"/>
      </w:r>
      <w:r w:rsidR="009C319B">
        <w:rPr>
          <w:noProof/>
          <w:sz w:val="22"/>
          <w:szCs w:val="22"/>
        </w:rPr>
        <w:t>3</w:t>
      </w:r>
      <w:r w:rsidR="00EF77CD" w:rsidRPr="007743CB">
        <w:rPr>
          <w:noProof/>
          <w:sz w:val="22"/>
          <w:szCs w:val="22"/>
        </w:rPr>
        <w:fldChar w:fldCharType="end"/>
      </w:r>
      <w:bookmarkEnd w:id="177"/>
      <w:r w:rsidRPr="007743CB">
        <w:rPr>
          <w:sz w:val="22"/>
          <w:szCs w:val="22"/>
        </w:rPr>
        <w:t xml:space="preserve"> </w:t>
      </w:r>
      <w:r w:rsidR="00104A81" w:rsidRPr="007743CB">
        <w:rPr>
          <w:b w:val="0"/>
          <w:sz w:val="22"/>
          <w:szCs w:val="22"/>
        </w:rPr>
        <w:t xml:space="preserve">Prikaz tramvajskih putničkih </w:t>
      </w:r>
      <w:r w:rsidRPr="007743CB">
        <w:rPr>
          <w:b w:val="0"/>
          <w:sz w:val="22"/>
          <w:szCs w:val="22"/>
        </w:rPr>
        <w:t>vozila</w:t>
      </w:r>
      <w:r w:rsidR="00104A81" w:rsidRPr="007743CB">
        <w:rPr>
          <w:b w:val="0"/>
          <w:sz w:val="22"/>
          <w:szCs w:val="22"/>
        </w:rPr>
        <w:t xml:space="preserve"> u 2015. godini</w:t>
      </w:r>
      <w:bookmarkEnd w:id="178"/>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040"/>
        <w:gridCol w:w="1391"/>
      </w:tblGrid>
      <w:tr w:rsidR="00104A81" w:rsidRPr="007743CB" w14:paraId="2DF067D7" w14:textId="77777777" w:rsidTr="00B40607">
        <w:trPr>
          <w:trHeight w:val="60"/>
        </w:trPr>
        <w:tc>
          <w:tcPr>
            <w:tcW w:w="5000" w:type="pct"/>
            <w:gridSpan w:val="3"/>
            <w:shd w:val="clear" w:color="000000" w:fill="BFBFBF"/>
            <w:vAlign w:val="center"/>
            <w:hideMark/>
          </w:tcPr>
          <w:p w14:paraId="04E7067C" w14:textId="77777777" w:rsidR="00104A81" w:rsidRPr="007743CB" w:rsidRDefault="00104A81" w:rsidP="00E92750">
            <w:pPr>
              <w:spacing w:after="0" w:line="240" w:lineRule="auto"/>
              <w:jc w:val="center"/>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Vozni park</w:t>
            </w:r>
          </w:p>
        </w:tc>
      </w:tr>
      <w:tr w:rsidR="00104A81" w:rsidRPr="007743CB" w14:paraId="0A7CD48E" w14:textId="77777777" w:rsidTr="00104A81">
        <w:trPr>
          <w:trHeight w:val="60"/>
        </w:trPr>
        <w:tc>
          <w:tcPr>
            <w:tcW w:w="4182" w:type="pct"/>
            <w:gridSpan w:val="2"/>
            <w:shd w:val="clear" w:color="auto" w:fill="auto"/>
            <w:vAlign w:val="center"/>
            <w:hideMark/>
          </w:tcPr>
          <w:p w14:paraId="7ACC5DB2" w14:textId="77777777" w:rsidR="00104A81" w:rsidRPr="007743CB" w:rsidRDefault="00104A81" w:rsidP="00E92750">
            <w:pPr>
              <w:spacing w:after="0" w:line="240" w:lineRule="auto"/>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Tramvajska putnička vozila</w:t>
            </w:r>
          </w:p>
        </w:tc>
        <w:tc>
          <w:tcPr>
            <w:tcW w:w="818" w:type="pct"/>
            <w:shd w:val="clear" w:color="auto" w:fill="auto"/>
            <w:noWrap/>
            <w:vAlign w:val="bottom"/>
            <w:hideMark/>
          </w:tcPr>
          <w:p w14:paraId="0D337785" w14:textId="77777777" w:rsidR="00104A81" w:rsidRPr="007743CB" w:rsidRDefault="00104A81" w:rsidP="00E92750">
            <w:pPr>
              <w:spacing w:after="0" w:line="240" w:lineRule="auto"/>
              <w:jc w:val="center"/>
              <w:rPr>
                <w:rFonts w:eastAsia="Times New Roman" w:cstheme="minorHAnsi"/>
                <w:b/>
                <w:color w:val="000000"/>
                <w:sz w:val="20"/>
                <w:szCs w:val="20"/>
                <w:lang w:eastAsia="hr-HR"/>
              </w:rPr>
            </w:pPr>
            <w:r w:rsidRPr="007743CB">
              <w:rPr>
                <w:rFonts w:eastAsia="Times New Roman" w:cstheme="minorHAnsi"/>
                <w:b/>
                <w:color w:val="000000"/>
                <w:sz w:val="20"/>
                <w:szCs w:val="20"/>
                <w:lang w:eastAsia="hr-HR"/>
              </w:rPr>
              <w:t>Broj</w:t>
            </w:r>
          </w:p>
        </w:tc>
      </w:tr>
      <w:tr w:rsidR="00104A81" w:rsidRPr="007743CB" w14:paraId="1AE092B6" w14:textId="77777777" w:rsidTr="00104A81">
        <w:trPr>
          <w:trHeight w:val="60"/>
        </w:trPr>
        <w:tc>
          <w:tcPr>
            <w:tcW w:w="173" w:type="pct"/>
            <w:shd w:val="clear" w:color="auto" w:fill="auto"/>
            <w:noWrap/>
            <w:vAlign w:val="bottom"/>
            <w:hideMark/>
          </w:tcPr>
          <w:p w14:paraId="71F2F7A4"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1</w:t>
            </w:r>
          </w:p>
        </w:tc>
        <w:tc>
          <w:tcPr>
            <w:tcW w:w="4009" w:type="pct"/>
            <w:shd w:val="clear" w:color="auto" w:fill="auto"/>
            <w:vAlign w:val="center"/>
            <w:hideMark/>
          </w:tcPr>
          <w:p w14:paraId="1113474A"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TMK 201 tip Đuro Đaković</w:t>
            </w:r>
          </w:p>
        </w:tc>
        <w:tc>
          <w:tcPr>
            <w:tcW w:w="818" w:type="pct"/>
            <w:shd w:val="clear" w:color="auto" w:fill="auto"/>
            <w:noWrap/>
            <w:vAlign w:val="bottom"/>
            <w:hideMark/>
          </w:tcPr>
          <w:p w14:paraId="2BA2AD56" w14:textId="77777777" w:rsidR="00104A81" w:rsidRPr="007743CB" w:rsidRDefault="00104A81" w:rsidP="00E92750">
            <w:pPr>
              <w:spacing w:after="0" w:line="240" w:lineRule="auto"/>
              <w:jc w:val="center"/>
              <w:rPr>
                <w:rFonts w:eastAsia="Times New Roman" w:cstheme="minorHAnsi"/>
                <w:color w:val="000000"/>
                <w:sz w:val="20"/>
                <w:szCs w:val="20"/>
                <w:lang w:eastAsia="hr-HR"/>
              </w:rPr>
            </w:pPr>
            <w:r w:rsidRPr="007743CB">
              <w:rPr>
                <w:rFonts w:eastAsia="Times New Roman" w:cstheme="minorHAnsi"/>
                <w:color w:val="000000"/>
                <w:sz w:val="20"/>
                <w:szCs w:val="20"/>
                <w:lang w:eastAsia="hr-HR"/>
              </w:rPr>
              <w:t>12</w:t>
            </w:r>
          </w:p>
        </w:tc>
      </w:tr>
      <w:tr w:rsidR="00104A81" w:rsidRPr="007743CB" w14:paraId="08EB6D3E" w14:textId="77777777" w:rsidTr="00104A81">
        <w:trPr>
          <w:trHeight w:val="60"/>
        </w:trPr>
        <w:tc>
          <w:tcPr>
            <w:tcW w:w="173" w:type="pct"/>
            <w:shd w:val="clear" w:color="auto" w:fill="auto"/>
            <w:noWrap/>
            <w:vAlign w:val="bottom"/>
            <w:hideMark/>
          </w:tcPr>
          <w:p w14:paraId="34691B1F"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2</w:t>
            </w:r>
          </w:p>
        </w:tc>
        <w:tc>
          <w:tcPr>
            <w:tcW w:w="4009" w:type="pct"/>
            <w:shd w:val="clear" w:color="auto" w:fill="auto"/>
            <w:vAlign w:val="center"/>
            <w:hideMark/>
          </w:tcPr>
          <w:p w14:paraId="3F424748"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TMK 301 TIP KT4 ČKD</w:t>
            </w:r>
          </w:p>
        </w:tc>
        <w:tc>
          <w:tcPr>
            <w:tcW w:w="818" w:type="pct"/>
            <w:shd w:val="clear" w:color="auto" w:fill="auto"/>
            <w:noWrap/>
            <w:vAlign w:val="bottom"/>
            <w:hideMark/>
          </w:tcPr>
          <w:p w14:paraId="6CB578E2" w14:textId="77777777" w:rsidR="00104A81" w:rsidRPr="007743CB" w:rsidRDefault="00104A81" w:rsidP="00E92750">
            <w:pPr>
              <w:spacing w:after="0" w:line="240" w:lineRule="auto"/>
              <w:jc w:val="center"/>
              <w:rPr>
                <w:rFonts w:eastAsia="Times New Roman" w:cstheme="minorHAnsi"/>
                <w:color w:val="000000"/>
                <w:sz w:val="20"/>
                <w:szCs w:val="20"/>
                <w:lang w:eastAsia="hr-HR"/>
              </w:rPr>
            </w:pPr>
            <w:r w:rsidRPr="007743CB">
              <w:rPr>
                <w:rFonts w:eastAsia="Times New Roman" w:cstheme="minorHAnsi"/>
                <w:color w:val="000000"/>
                <w:sz w:val="20"/>
                <w:szCs w:val="20"/>
                <w:lang w:eastAsia="hr-HR"/>
              </w:rPr>
              <w:t>51</w:t>
            </w:r>
          </w:p>
        </w:tc>
      </w:tr>
      <w:tr w:rsidR="00104A81" w:rsidRPr="007743CB" w14:paraId="43E37ABB" w14:textId="77777777" w:rsidTr="00104A81">
        <w:trPr>
          <w:trHeight w:val="60"/>
        </w:trPr>
        <w:tc>
          <w:tcPr>
            <w:tcW w:w="173" w:type="pct"/>
            <w:shd w:val="clear" w:color="auto" w:fill="auto"/>
            <w:noWrap/>
            <w:vAlign w:val="bottom"/>
            <w:hideMark/>
          </w:tcPr>
          <w:p w14:paraId="4ACA8FA8"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3</w:t>
            </w:r>
          </w:p>
        </w:tc>
        <w:tc>
          <w:tcPr>
            <w:tcW w:w="4009" w:type="pct"/>
            <w:shd w:val="clear" w:color="auto" w:fill="auto"/>
            <w:vAlign w:val="center"/>
            <w:hideMark/>
          </w:tcPr>
          <w:p w14:paraId="57F5F958"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TMK 401 TIP ČKD</w:t>
            </w:r>
          </w:p>
        </w:tc>
        <w:tc>
          <w:tcPr>
            <w:tcW w:w="818" w:type="pct"/>
            <w:shd w:val="clear" w:color="auto" w:fill="auto"/>
            <w:noWrap/>
            <w:vAlign w:val="bottom"/>
            <w:hideMark/>
          </w:tcPr>
          <w:p w14:paraId="126B9298" w14:textId="77777777" w:rsidR="00104A81" w:rsidRPr="007743CB" w:rsidRDefault="00104A81" w:rsidP="00E92750">
            <w:pPr>
              <w:spacing w:after="0" w:line="240" w:lineRule="auto"/>
              <w:jc w:val="center"/>
              <w:rPr>
                <w:rFonts w:eastAsia="Times New Roman" w:cstheme="minorHAnsi"/>
                <w:color w:val="000000"/>
                <w:sz w:val="20"/>
                <w:szCs w:val="20"/>
                <w:lang w:eastAsia="hr-HR"/>
              </w:rPr>
            </w:pPr>
            <w:r w:rsidRPr="007743CB">
              <w:rPr>
                <w:rFonts w:eastAsia="Times New Roman" w:cstheme="minorHAnsi"/>
                <w:color w:val="000000"/>
                <w:sz w:val="20"/>
                <w:szCs w:val="20"/>
                <w:lang w:eastAsia="hr-HR"/>
              </w:rPr>
              <w:t>51</w:t>
            </w:r>
          </w:p>
        </w:tc>
      </w:tr>
      <w:tr w:rsidR="00104A81" w:rsidRPr="007743CB" w14:paraId="45275DF1" w14:textId="77777777" w:rsidTr="00104A81">
        <w:trPr>
          <w:trHeight w:val="60"/>
        </w:trPr>
        <w:tc>
          <w:tcPr>
            <w:tcW w:w="173" w:type="pct"/>
            <w:shd w:val="clear" w:color="auto" w:fill="auto"/>
            <w:noWrap/>
            <w:vAlign w:val="bottom"/>
            <w:hideMark/>
          </w:tcPr>
          <w:p w14:paraId="08E8238A"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4</w:t>
            </w:r>
          </w:p>
        </w:tc>
        <w:tc>
          <w:tcPr>
            <w:tcW w:w="4009" w:type="pct"/>
            <w:shd w:val="clear" w:color="auto" w:fill="auto"/>
            <w:vAlign w:val="center"/>
            <w:hideMark/>
          </w:tcPr>
          <w:p w14:paraId="4CA8232C"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TMK 901</w:t>
            </w:r>
          </w:p>
        </w:tc>
        <w:tc>
          <w:tcPr>
            <w:tcW w:w="818" w:type="pct"/>
            <w:shd w:val="clear" w:color="auto" w:fill="auto"/>
            <w:noWrap/>
            <w:vAlign w:val="bottom"/>
            <w:hideMark/>
          </w:tcPr>
          <w:p w14:paraId="695A381B" w14:textId="77777777" w:rsidR="00104A81" w:rsidRPr="007743CB" w:rsidRDefault="00104A81" w:rsidP="00E92750">
            <w:pPr>
              <w:spacing w:after="0" w:line="240" w:lineRule="auto"/>
              <w:jc w:val="center"/>
              <w:rPr>
                <w:rFonts w:eastAsia="Times New Roman" w:cstheme="minorHAnsi"/>
                <w:color w:val="000000"/>
                <w:sz w:val="20"/>
                <w:szCs w:val="20"/>
                <w:lang w:eastAsia="hr-HR"/>
              </w:rPr>
            </w:pPr>
            <w:r w:rsidRPr="007743CB">
              <w:rPr>
                <w:rFonts w:eastAsia="Times New Roman" w:cstheme="minorHAnsi"/>
                <w:color w:val="000000"/>
                <w:sz w:val="20"/>
                <w:szCs w:val="20"/>
                <w:lang w:eastAsia="hr-HR"/>
              </w:rPr>
              <w:t>2</w:t>
            </w:r>
          </w:p>
        </w:tc>
      </w:tr>
      <w:tr w:rsidR="00104A81" w:rsidRPr="007743CB" w14:paraId="1FB60556" w14:textId="77777777" w:rsidTr="00104A81">
        <w:trPr>
          <w:trHeight w:val="60"/>
        </w:trPr>
        <w:tc>
          <w:tcPr>
            <w:tcW w:w="173" w:type="pct"/>
            <w:shd w:val="clear" w:color="auto" w:fill="auto"/>
            <w:noWrap/>
            <w:vAlign w:val="bottom"/>
            <w:hideMark/>
          </w:tcPr>
          <w:p w14:paraId="124BC33D"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5</w:t>
            </w:r>
          </w:p>
        </w:tc>
        <w:tc>
          <w:tcPr>
            <w:tcW w:w="4009" w:type="pct"/>
            <w:shd w:val="clear" w:color="auto" w:fill="auto"/>
            <w:vAlign w:val="center"/>
            <w:hideMark/>
          </w:tcPr>
          <w:p w14:paraId="7F8DC915"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TMK 2100 KONČAR</w:t>
            </w:r>
          </w:p>
        </w:tc>
        <w:tc>
          <w:tcPr>
            <w:tcW w:w="818" w:type="pct"/>
            <w:shd w:val="clear" w:color="auto" w:fill="auto"/>
            <w:noWrap/>
            <w:vAlign w:val="bottom"/>
            <w:hideMark/>
          </w:tcPr>
          <w:p w14:paraId="7D68273B" w14:textId="77777777" w:rsidR="00104A81" w:rsidRPr="007743CB" w:rsidRDefault="00104A81" w:rsidP="00E92750">
            <w:pPr>
              <w:spacing w:after="0" w:line="240" w:lineRule="auto"/>
              <w:jc w:val="center"/>
              <w:rPr>
                <w:rFonts w:eastAsia="Times New Roman" w:cstheme="minorHAnsi"/>
                <w:color w:val="000000"/>
                <w:sz w:val="20"/>
                <w:szCs w:val="20"/>
                <w:lang w:eastAsia="hr-HR"/>
              </w:rPr>
            </w:pPr>
            <w:r w:rsidRPr="007743CB">
              <w:rPr>
                <w:rFonts w:eastAsia="Times New Roman" w:cstheme="minorHAnsi"/>
                <w:color w:val="000000"/>
                <w:sz w:val="20"/>
                <w:szCs w:val="20"/>
                <w:lang w:eastAsia="hr-HR"/>
              </w:rPr>
              <w:t>16</w:t>
            </w:r>
          </w:p>
        </w:tc>
      </w:tr>
      <w:tr w:rsidR="00104A81" w:rsidRPr="007743CB" w14:paraId="1EC6A443" w14:textId="77777777" w:rsidTr="00104A81">
        <w:trPr>
          <w:trHeight w:val="60"/>
        </w:trPr>
        <w:tc>
          <w:tcPr>
            <w:tcW w:w="173" w:type="pct"/>
            <w:shd w:val="clear" w:color="auto" w:fill="auto"/>
            <w:noWrap/>
            <w:vAlign w:val="bottom"/>
            <w:hideMark/>
          </w:tcPr>
          <w:p w14:paraId="24F7744F"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6</w:t>
            </w:r>
          </w:p>
        </w:tc>
        <w:tc>
          <w:tcPr>
            <w:tcW w:w="4009" w:type="pct"/>
            <w:shd w:val="clear" w:color="auto" w:fill="auto"/>
            <w:vAlign w:val="center"/>
            <w:hideMark/>
          </w:tcPr>
          <w:p w14:paraId="4435B9CA"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NT 2200</w:t>
            </w:r>
          </w:p>
        </w:tc>
        <w:tc>
          <w:tcPr>
            <w:tcW w:w="818" w:type="pct"/>
            <w:shd w:val="clear" w:color="auto" w:fill="auto"/>
            <w:noWrap/>
            <w:vAlign w:val="bottom"/>
            <w:hideMark/>
          </w:tcPr>
          <w:p w14:paraId="5C2551F9" w14:textId="77777777" w:rsidR="00104A81" w:rsidRPr="007743CB" w:rsidRDefault="00104A81" w:rsidP="00E92750">
            <w:pPr>
              <w:spacing w:after="0" w:line="240" w:lineRule="auto"/>
              <w:jc w:val="center"/>
              <w:rPr>
                <w:rFonts w:eastAsia="Times New Roman" w:cstheme="minorHAnsi"/>
                <w:color w:val="000000"/>
                <w:sz w:val="20"/>
                <w:szCs w:val="20"/>
                <w:lang w:eastAsia="hr-HR"/>
              </w:rPr>
            </w:pPr>
            <w:r w:rsidRPr="007743CB">
              <w:rPr>
                <w:rFonts w:eastAsia="Times New Roman" w:cstheme="minorHAnsi"/>
                <w:color w:val="000000"/>
                <w:sz w:val="20"/>
                <w:szCs w:val="20"/>
                <w:lang w:eastAsia="hr-HR"/>
              </w:rPr>
              <w:t>140</w:t>
            </w:r>
          </w:p>
        </w:tc>
      </w:tr>
      <w:tr w:rsidR="00104A81" w:rsidRPr="007743CB" w14:paraId="5186F295" w14:textId="77777777" w:rsidTr="00104A81">
        <w:trPr>
          <w:trHeight w:val="60"/>
        </w:trPr>
        <w:tc>
          <w:tcPr>
            <w:tcW w:w="173" w:type="pct"/>
            <w:shd w:val="clear" w:color="auto" w:fill="auto"/>
            <w:noWrap/>
            <w:vAlign w:val="bottom"/>
            <w:hideMark/>
          </w:tcPr>
          <w:p w14:paraId="459859E8"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7</w:t>
            </w:r>
          </w:p>
        </w:tc>
        <w:tc>
          <w:tcPr>
            <w:tcW w:w="4009" w:type="pct"/>
            <w:shd w:val="clear" w:color="auto" w:fill="auto"/>
            <w:vAlign w:val="center"/>
            <w:hideMark/>
          </w:tcPr>
          <w:p w14:paraId="00BE02A2"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NT2300</w:t>
            </w:r>
          </w:p>
        </w:tc>
        <w:tc>
          <w:tcPr>
            <w:tcW w:w="818" w:type="pct"/>
            <w:shd w:val="clear" w:color="auto" w:fill="auto"/>
            <w:noWrap/>
            <w:vAlign w:val="bottom"/>
            <w:hideMark/>
          </w:tcPr>
          <w:p w14:paraId="1477C32B" w14:textId="77777777" w:rsidR="00104A81" w:rsidRPr="007743CB" w:rsidRDefault="00104A81" w:rsidP="00E92750">
            <w:pPr>
              <w:spacing w:after="0" w:line="240" w:lineRule="auto"/>
              <w:jc w:val="center"/>
              <w:rPr>
                <w:rFonts w:eastAsia="Times New Roman" w:cstheme="minorHAnsi"/>
                <w:color w:val="000000"/>
                <w:sz w:val="20"/>
                <w:szCs w:val="20"/>
                <w:lang w:eastAsia="hr-HR"/>
              </w:rPr>
            </w:pPr>
            <w:r w:rsidRPr="007743CB">
              <w:rPr>
                <w:rFonts w:eastAsia="Times New Roman" w:cstheme="minorHAnsi"/>
                <w:color w:val="000000"/>
                <w:sz w:val="20"/>
                <w:szCs w:val="20"/>
                <w:lang w:eastAsia="hr-HR"/>
              </w:rPr>
              <w:t>2</w:t>
            </w:r>
          </w:p>
        </w:tc>
      </w:tr>
      <w:tr w:rsidR="00104A81" w:rsidRPr="007743CB" w14:paraId="0E30A252" w14:textId="77777777" w:rsidTr="00104A81">
        <w:trPr>
          <w:trHeight w:val="60"/>
        </w:trPr>
        <w:tc>
          <w:tcPr>
            <w:tcW w:w="173" w:type="pct"/>
            <w:shd w:val="clear" w:color="000000" w:fill="BFBFBF"/>
            <w:noWrap/>
            <w:vAlign w:val="bottom"/>
            <w:hideMark/>
          </w:tcPr>
          <w:p w14:paraId="411518AE"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 </w:t>
            </w:r>
          </w:p>
        </w:tc>
        <w:tc>
          <w:tcPr>
            <w:tcW w:w="4009" w:type="pct"/>
            <w:shd w:val="clear" w:color="000000" w:fill="BFBFBF"/>
            <w:noWrap/>
            <w:vAlign w:val="bottom"/>
            <w:hideMark/>
          </w:tcPr>
          <w:p w14:paraId="6160A593" w14:textId="77777777" w:rsidR="00104A81" w:rsidRPr="007743CB" w:rsidRDefault="00104A81" w:rsidP="00E92750">
            <w:pPr>
              <w:spacing w:after="0" w:line="240" w:lineRule="auto"/>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Ukupno motori:</w:t>
            </w:r>
          </w:p>
        </w:tc>
        <w:tc>
          <w:tcPr>
            <w:tcW w:w="818" w:type="pct"/>
            <w:shd w:val="clear" w:color="000000" w:fill="BFBFBF"/>
            <w:noWrap/>
            <w:vAlign w:val="bottom"/>
            <w:hideMark/>
          </w:tcPr>
          <w:p w14:paraId="53BCD47D" w14:textId="77777777" w:rsidR="00104A81" w:rsidRPr="007743CB" w:rsidRDefault="00104A81" w:rsidP="00E92750">
            <w:pPr>
              <w:spacing w:after="0" w:line="240" w:lineRule="auto"/>
              <w:jc w:val="center"/>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274</w:t>
            </w:r>
          </w:p>
        </w:tc>
      </w:tr>
      <w:tr w:rsidR="00104A81" w:rsidRPr="007743CB" w14:paraId="2DAFF799" w14:textId="77777777" w:rsidTr="00104A81">
        <w:trPr>
          <w:trHeight w:val="60"/>
        </w:trPr>
        <w:tc>
          <w:tcPr>
            <w:tcW w:w="173" w:type="pct"/>
            <w:shd w:val="clear" w:color="auto" w:fill="auto"/>
            <w:noWrap/>
            <w:vAlign w:val="bottom"/>
            <w:hideMark/>
          </w:tcPr>
          <w:p w14:paraId="7ACFCE45" w14:textId="77777777" w:rsidR="00104A81" w:rsidRPr="007743CB" w:rsidRDefault="00104A81" w:rsidP="00E92750">
            <w:pPr>
              <w:spacing w:after="0" w:line="240" w:lineRule="auto"/>
              <w:jc w:val="right"/>
              <w:rPr>
                <w:rFonts w:eastAsia="Times New Roman" w:cstheme="minorHAnsi"/>
                <w:color w:val="000000"/>
                <w:sz w:val="20"/>
                <w:szCs w:val="20"/>
                <w:lang w:eastAsia="hr-HR"/>
              </w:rPr>
            </w:pPr>
            <w:r w:rsidRPr="007743CB">
              <w:rPr>
                <w:rFonts w:eastAsia="Times New Roman" w:cstheme="minorHAnsi"/>
                <w:color w:val="000000"/>
                <w:sz w:val="20"/>
                <w:szCs w:val="20"/>
                <w:lang w:eastAsia="hr-HR"/>
              </w:rPr>
              <w:t>14</w:t>
            </w:r>
          </w:p>
        </w:tc>
        <w:tc>
          <w:tcPr>
            <w:tcW w:w="4009" w:type="pct"/>
            <w:shd w:val="clear" w:color="auto" w:fill="auto"/>
            <w:noWrap/>
            <w:vAlign w:val="bottom"/>
            <w:hideMark/>
          </w:tcPr>
          <w:p w14:paraId="11292CE6"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TP 591</w:t>
            </w:r>
          </w:p>
        </w:tc>
        <w:tc>
          <w:tcPr>
            <w:tcW w:w="818" w:type="pct"/>
            <w:shd w:val="clear" w:color="auto" w:fill="auto"/>
            <w:noWrap/>
            <w:vAlign w:val="bottom"/>
            <w:hideMark/>
          </w:tcPr>
          <w:p w14:paraId="73AC2262" w14:textId="77777777" w:rsidR="00104A81" w:rsidRPr="007743CB" w:rsidRDefault="00104A81" w:rsidP="00E92750">
            <w:pPr>
              <w:spacing w:after="0" w:line="240" w:lineRule="auto"/>
              <w:jc w:val="center"/>
              <w:rPr>
                <w:rFonts w:eastAsia="Times New Roman" w:cstheme="minorHAnsi"/>
                <w:color w:val="000000"/>
                <w:sz w:val="20"/>
                <w:szCs w:val="20"/>
                <w:lang w:eastAsia="hr-HR"/>
              </w:rPr>
            </w:pPr>
            <w:r w:rsidRPr="007743CB">
              <w:rPr>
                <w:rFonts w:eastAsia="Times New Roman" w:cstheme="minorHAnsi"/>
                <w:color w:val="000000"/>
                <w:sz w:val="20"/>
                <w:szCs w:val="20"/>
                <w:lang w:eastAsia="hr-HR"/>
              </w:rPr>
              <w:t>13</w:t>
            </w:r>
          </w:p>
        </w:tc>
      </w:tr>
      <w:tr w:rsidR="00104A81" w:rsidRPr="007743CB" w14:paraId="6711C336" w14:textId="77777777" w:rsidTr="00104A81">
        <w:trPr>
          <w:trHeight w:val="60"/>
        </w:trPr>
        <w:tc>
          <w:tcPr>
            <w:tcW w:w="173" w:type="pct"/>
            <w:shd w:val="clear" w:color="auto" w:fill="auto"/>
            <w:noWrap/>
            <w:vAlign w:val="bottom"/>
            <w:hideMark/>
          </w:tcPr>
          <w:p w14:paraId="52BA74EF" w14:textId="77777777" w:rsidR="00104A81" w:rsidRPr="007743CB" w:rsidRDefault="00104A81" w:rsidP="00E92750">
            <w:pPr>
              <w:spacing w:after="0" w:line="240" w:lineRule="auto"/>
              <w:jc w:val="right"/>
              <w:rPr>
                <w:rFonts w:eastAsia="Times New Roman" w:cstheme="minorHAnsi"/>
                <w:color w:val="000000"/>
                <w:sz w:val="20"/>
                <w:szCs w:val="20"/>
                <w:lang w:eastAsia="hr-HR"/>
              </w:rPr>
            </w:pPr>
            <w:r w:rsidRPr="007743CB">
              <w:rPr>
                <w:rFonts w:eastAsia="Times New Roman" w:cstheme="minorHAnsi"/>
                <w:color w:val="000000"/>
                <w:sz w:val="20"/>
                <w:szCs w:val="20"/>
                <w:lang w:eastAsia="hr-HR"/>
              </w:rPr>
              <w:t>15</w:t>
            </w:r>
          </w:p>
        </w:tc>
        <w:tc>
          <w:tcPr>
            <w:tcW w:w="4009" w:type="pct"/>
            <w:shd w:val="clear" w:color="auto" w:fill="auto"/>
            <w:noWrap/>
            <w:vAlign w:val="bottom"/>
            <w:hideMark/>
          </w:tcPr>
          <w:p w14:paraId="5624D22F"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TP 801</w:t>
            </w:r>
          </w:p>
        </w:tc>
        <w:tc>
          <w:tcPr>
            <w:tcW w:w="818" w:type="pct"/>
            <w:shd w:val="clear" w:color="auto" w:fill="auto"/>
            <w:noWrap/>
            <w:vAlign w:val="bottom"/>
            <w:hideMark/>
          </w:tcPr>
          <w:p w14:paraId="5DA03B5A" w14:textId="77777777" w:rsidR="00104A81" w:rsidRPr="007743CB" w:rsidRDefault="00104A81" w:rsidP="00E92750">
            <w:pPr>
              <w:spacing w:after="0" w:line="240" w:lineRule="auto"/>
              <w:jc w:val="center"/>
              <w:rPr>
                <w:rFonts w:eastAsia="Times New Roman" w:cstheme="minorHAnsi"/>
                <w:color w:val="000000"/>
                <w:sz w:val="20"/>
                <w:szCs w:val="20"/>
                <w:lang w:eastAsia="hr-HR"/>
              </w:rPr>
            </w:pPr>
            <w:r w:rsidRPr="007743CB">
              <w:rPr>
                <w:rFonts w:eastAsia="Times New Roman" w:cstheme="minorHAnsi"/>
                <w:color w:val="000000"/>
                <w:sz w:val="20"/>
                <w:szCs w:val="20"/>
                <w:lang w:eastAsia="hr-HR"/>
              </w:rPr>
              <w:t>45</w:t>
            </w:r>
          </w:p>
        </w:tc>
      </w:tr>
      <w:tr w:rsidR="00104A81" w:rsidRPr="007743CB" w14:paraId="6C769E1B" w14:textId="77777777" w:rsidTr="00104A81">
        <w:trPr>
          <w:trHeight w:val="60"/>
        </w:trPr>
        <w:tc>
          <w:tcPr>
            <w:tcW w:w="173" w:type="pct"/>
            <w:shd w:val="clear" w:color="000000" w:fill="BFBFBF"/>
            <w:noWrap/>
            <w:vAlign w:val="bottom"/>
            <w:hideMark/>
          </w:tcPr>
          <w:p w14:paraId="2F7ACE74" w14:textId="77777777" w:rsidR="00104A81" w:rsidRPr="007743CB" w:rsidRDefault="00104A81" w:rsidP="00E92750">
            <w:pPr>
              <w:spacing w:after="0" w:line="240" w:lineRule="auto"/>
              <w:rPr>
                <w:rFonts w:eastAsia="Times New Roman" w:cstheme="minorHAnsi"/>
                <w:color w:val="000000"/>
                <w:sz w:val="20"/>
                <w:szCs w:val="20"/>
                <w:lang w:eastAsia="hr-HR"/>
              </w:rPr>
            </w:pPr>
            <w:r w:rsidRPr="007743CB">
              <w:rPr>
                <w:rFonts w:eastAsia="Times New Roman" w:cstheme="minorHAnsi"/>
                <w:color w:val="000000"/>
                <w:sz w:val="20"/>
                <w:szCs w:val="20"/>
                <w:lang w:eastAsia="hr-HR"/>
              </w:rPr>
              <w:t> </w:t>
            </w:r>
          </w:p>
        </w:tc>
        <w:tc>
          <w:tcPr>
            <w:tcW w:w="4009" w:type="pct"/>
            <w:shd w:val="clear" w:color="000000" w:fill="BFBFBF"/>
            <w:noWrap/>
            <w:vAlign w:val="bottom"/>
            <w:hideMark/>
          </w:tcPr>
          <w:p w14:paraId="154EF7D5" w14:textId="77777777" w:rsidR="00104A81" w:rsidRPr="007743CB" w:rsidRDefault="00104A81" w:rsidP="00E92750">
            <w:pPr>
              <w:spacing w:after="0" w:line="240" w:lineRule="auto"/>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Ukupno prikolice:</w:t>
            </w:r>
          </w:p>
        </w:tc>
        <w:tc>
          <w:tcPr>
            <w:tcW w:w="818" w:type="pct"/>
            <w:shd w:val="clear" w:color="000000" w:fill="BFBFBF"/>
            <w:noWrap/>
            <w:vAlign w:val="bottom"/>
            <w:hideMark/>
          </w:tcPr>
          <w:p w14:paraId="118668FE" w14:textId="77777777" w:rsidR="00104A81" w:rsidRPr="007743CB" w:rsidRDefault="00104A81" w:rsidP="00E92750">
            <w:pPr>
              <w:spacing w:after="0" w:line="240" w:lineRule="auto"/>
              <w:jc w:val="center"/>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58</w:t>
            </w:r>
          </w:p>
        </w:tc>
      </w:tr>
      <w:tr w:rsidR="00104A81" w:rsidRPr="007743CB" w14:paraId="68F797E5" w14:textId="77777777" w:rsidTr="00104A81">
        <w:trPr>
          <w:trHeight w:val="60"/>
        </w:trPr>
        <w:tc>
          <w:tcPr>
            <w:tcW w:w="4182" w:type="pct"/>
            <w:gridSpan w:val="2"/>
            <w:shd w:val="clear" w:color="000000" w:fill="BFBFBF"/>
            <w:noWrap/>
            <w:vAlign w:val="bottom"/>
            <w:hideMark/>
          </w:tcPr>
          <w:p w14:paraId="1D9C56BD" w14:textId="77777777" w:rsidR="00104A81" w:rsidRPr="007743CB" w:rsidRDefault="00104A81" w:rsidP="00E92750">
            <w:pPr>
              <w:spacing w:after="0" w:line="240" w:lineRule="auto"/>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Sveukupno tram. putnička vozila</w:t>
            </w:r>
          </w:p>
        </w:tc>
        <w:tc>
          <w:tcPr>
            <w:tcW w:w="818" w:type="pct"/>
            <w:shd w:val="clear" w:color="000000" w:fill="BFBFBF"/>
            <w:noWrap/>
            <w:vAlign w:val="bottom"/>
            <w:hideMark/>
          </w:tcPr>
          <w:p w14:paraId="11B85DEA" w14:textId="77777777" w:rsidR="00104A81" w:rsidRPr="007743CB" w:rsidRDefault="00104A81" w:rsidP="00E92750">
            <w:pPr>
              <w:spacing w:after="0" w:line="240" w:lineRule="auto"/>
              <w:jc w:val="center"/>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332</w:t>
            </w:r>
          </w:p>
        </w:tc>
      </w:tr>
      <w:tr w:rsidR="00104A81" w:rsidRPr="007743CB" w14:paraId="012F6B36" w14:textId="77777777" w:rsidTr="00104A81">
        <w:trPr>
          <w:trHeight w:val="60"/>
        </w:trPr>
        <w:tc>
          <w:tcPr>
            <w:tcW w:w="4182" w:type="pct"/>
            <w:gridSpan w:val="2"/>
            <w:shd w:val="clear" w:color="000000" w:fill="BFBFBF"/>
            <w:noWrap/>
            <w:vAlign w:val="bottom"/>
          </w:tcPr>
          <w:p w14:paraId="7D8B2DBD" w14:textId="77777777" w:rsidR="00104A81" w:rsidRPr="007743CB" w:rsidRDefault="00104A81" w:rsidP="00E92750">
            <w:pPr>
              <w:spacing w:after="0" w:line="240" w:lineRule="auto"/>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TMK TURISTIČKI</w:t>
            </w:r>
          </w:p>
        </w:tc>
        <w:tc>
          <w:tcPr>
            <w:tcW w:w="818" w:type="pct"/>
            <w:shd w:val="clear" w:color="000000" w:fill="BFBFBF"/>
            <w:noWrap/>
            <w:vAlign w:val="bottom"/>
          </w:tcPr>
          <w:p w14:paraId="5F66AE09" w14:textId="77777777" w:rsidR="00104A81" w:rsidRPr="007743CB" w:rsidRDefault="00104A81" w:rsidP="00E92750">
            <w:pPr>
              <w:spacing w:after="0" w:line="240" w:lineRule="auto"/>
              <w:jc w:val="center"/>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1</w:t>
            </w:r>
          </w:p>
        </w:tc>
      </w:tr>
      <w:tr w:rsidR="00104A81" w:rsidRPr="007743CB" w14:paraId="34A4FA54" w14:textId="77777777" w:rsidTr="00104A81">
        <w:trPr>
          <w:trHeight w:val="60"/>
        </w:trPr>
        <w:tc>
          <w:tcPr>
            <w:tcW w:w="4182" w:type="pct"/>
            <w:gridSpan w:val="2"/>
            <w:shd w:val="clear" w:color="000000" w:fill="BFBFBF"/>
            <w:noWrap/>
            <w:vAlign w:val="bottom"/>
          </w:tcPr>
          <w:p w14:paraId="1330A53A" w14:textId="77777777" w:rsidR="00104A81" w:rsidRPr="007743CB" w:rsidRDefault="00104A81" w:rsidP="00E92750">
            <w:pPr>
              <w:spacing w:after="0" w:line="240" w:lineRule="auto"/>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TRAMVAJSKA PRIKOLICA TURISTIČKA</w:t>
            </w:r>
          </w:p>
        </w:tc>
        <w:tc>
          <w:tcPr>
            <w:tcW w:w="818" w:type="pct"/>
            <w:shd w:val="clear" w:color="000000" w:fill="BFBFBF"/>
            <w:noWrap/>
            <w:vAlign w:val="bottom"/>
          </w:tcPr>
          <w:p w14:paraId="4C3F54CC" w14:textId="77777777" w:rsidR="00104A81" w:rsidRPr="007743CB" w:rsidRDefault="00104A81" w:rsidP="00E92750">
            <w:pPr>
              <w:spacing w:after="0" w:line="240" w:lineRule="auto"/>
              <w:jc w:val="center"/>
              <w:rPr>
                <w:rFonts w:eastAsia="Times New Roman" w:cstheme="minorHAnsi"/>
                <w:b/>
                <w:bCs/>
                <w:color w:val="000000"/>
                <w:sz w:val="20"/>
                <w:szCs w:val="20"/>
                <w:lang w:eastAsia="hr-HR"/>
              </w:rPr>
            </w:pPr>
            <w:r w:rsidRPr="007743CB">
              <w:rPr>
                <w:rFonts w:eastAsia="Times New Roman" w:cstheme="minorHAnsi"/>
                <w:b/>
                <w:bCs/>
                <w:color w:val="000000"/>
                <w:sz w:val="20"/>
                <w:szCs w:val="20"/>
                <w:lang w:eastAsia="hr-HR"/>
              </w:rPr>
              <w:t>1</w:t>
            </w:r>
          </w:p>
        </w:tc>
      </w:tr>
    </w:tbl>
    <w:p w14:paraId="66C08923" w14:textId="77777777" w:rsidR="00BB22DF" w:rsidRPr="007743CB" w:rsidRDefault="00BB22DF" w:rsidP="00E92750">
      <w:pPr>
        <w:spacing w:line="240" w:lineRule="auto"/>
      </w:pPr>
    </w:p>
    <w:p w14:paraId="5EE21375" w14:textId="77777777" w:rsidR="00104A81" w:rsidRPr="002E240D" w:rsidRDefault="00104A81" w:rsidP="00E92750">
      <w:pPr>
        <w:pStyle w:val="Heading4"/>
        <w:spacing w:before="200" w:after="240" w:line="240" w:lineRule="auto"/>
        <w:ind w:left="862" w:hanging="862"/>
        <w:contextualSpacing w:val="0"/>
        <w:rPr>
          <w:rFonts w:asciiTheme="minorHAnsi" w:hAnsiTheme="minorHAnsi" w:cstheme="minorHAnsi"/>
          <w:sz w:val="22"/>
        </w:rPr>
      </w:pPr>
      <w:bookmarkStart w:id="179" w:name="_Toc468345367"/>
      <w:r w:rsidRPr="002E240D">
        <w:rPr>
          <w:rFonts w:asciiTheme="minorHAnsi" w:hAnsiTheme="minorHAnsi" w:cstheme="minorHAnsi"/>
          <w:sz w:val="22"/>
        </w:rPr>
        <w:lastRenderedPageBreak/>
        <w:t>Potrošnja električne energije Zagrebačkog električnog tramvaja</w:t>
      </w:r>
      <w:bookmarkEnd w:id="179"/>
    </w:p>
    <w:p w14:paraId="698FA0B2" w14:textId="5D4560FB" w:rsidR="00593DAD" w:rsidRPr="002E240D" w:rsidRDefault="00104A81" w:rsidP="006B2160">
      <w:pPr>
        <w:spacing w:after="240" w:line="240" w:lineRule="auto"/>
        <w:jc w:val="both"/>
        <w:rPr>
          <w:rFonts w:ascii="Century Gothic" w:eastAsia="Calibri" w:hAnsi="Century Gothic" w:cs="Times New Roman"/>
        </w:rPr>
      </w:pPr>
      <w:r w:rsidRPr="002E240D">
        <w:rPr>
          <w:rFonts w:eastAsia="Calibri" w:cs="Times New Roman"/>
        </w:rPr>
        <w:t>Za tramvajski prijevo</w:t>
      </w:r>
      <w:r w:rsidR="00CE5284" w:rsidRPr="002E240D">
        <w:rPr>
          <w:rFonts w:eastAsia="Calibri" w:cs="Times New Roman"/>
        </w:rPr>
        <w:t xml:space="preserve">z u 2015. godini utrošeno je 60 398 </w:t>
      </w:r>
      <w:r w:rsidRPr="002E240D">
        <w:rPr>
          <w:rFonts w:eastAsia="Calibri" w:cs="Times New Roman"/>
        </w:rPr>
        <w:t xml:space="preserve">669 kWh električne energije. U 2015. godini po prijeđenom kilometru u tramvajskom prometu potrošnja električne energije iznosila je 4,46 kWh/km, dok je potrošnja električne energije na tisuću prevezenih putnika iznosila </w:t>
      </w:r>
      <w:r w:rsidR="009368F8">
        <w:rPr>
          <w:rFonts w:eastAsia="Calibri" w:cs="Times New Roman"/>
        </w:rPr>
        <w:t>0</w:t>
      </w:r>
      <w:r w:rsidRPr="002E240D">
        <w:rPr>
          <w:rFonts w:eastAsia="Calibri" w:cs="Times New Roman"/>
        </w:rPr>
        <w:t>,</w:t>
      </w:r>
      <w:r w:rsidR="009368F8">
        <w:rPr>
          <w:rFonts w:eastAsia="Calibri" w:cs="Times New Roman"/>
        </w:rPr>
        <w:t>31</w:t>
      </w:r>
      <w:r w:rsidRPr="002E240D">
        <w:rPr>
          <w:rFonts w:eastAsia="Calibri" w:cs="Times New Roman"/>
        </w:rPr>
        <w:t xml:space="preserve"> kWh/ </w:t>
      </w:r>
      <w:r w:rsidR="009368F8">
        <w:rPr>
          <w:rFonts w:eastAsia="Calibri" w:cs="Times New Roman"/>
        </w:rPr>
        <w:t>putniku</w:t>
      </w:r>
      <w:r w:rsidRPr="002E240D">
        <w:rPr>
          <w:rFonts w:eastAsia="Calibri" w:cs="Times New Roman"/>
        </w:rPr>
        <w:t>.</w:t>
      </w:r>
    </w:p>
    <w:p w14:paraId="206870FA" w14:textId="0F44D613" w:rsidR="00D35697" w:rsidRPr="002E240D" w:rsidRDefault="00104A81" w:rsidP="006B2160">
      <w:pPr>
        <w:spacing w:after="240" w:line="240" w:lineRule="auto"/>
        <w:jc w:val="both"/>
        <w:rPr>
          <w:rFonts w:eastAsia="Calibri" w:cs="Times New Roman"/>
        </w:rPr>
      </w:pPr>
      <w:r w:rsidRPr="002E240D">
        <w:rPr>
          <w:rFonts w:eastAsia="Calibri" w:cs="Times New Roman"/>
        </w:rPr>
        <w:t xml:space="preserve">Broj prevezenih putnika za </w:t>
      </w:r>
      <w:r w:rsidR="001771A1" w:rsidRPr="002E240D">
        <w:rPr>
          <w:rFonts w:eastAsia="Calibri" w:cs="Times New Roman"/>
        </w:rPr>
        <w:t>vremenski period</w:t>
      </w:r>
      <w:r w:rsidRPr="002E240D">
        <w:rPr>
          <w:rFonts w:eastAsia="Calibri" w:cs="Times New Roman"/>
        </w:rPr>
        <w:t xml:space="preserve"> od 2009. do 2015 . godine prikazan je </w:t>
      </w:r>
      <w:r w:rsidR="001771A1" w:rsidRPr="002E240D">
        <w:rPr>
          <w:rFonts w:eastAsia="Calibri" w:cs="Times New Roman"/>
        </w:rPr>
        <w:t>na</w:t>
      </w:r>
      <w:r w:rsidR="001771A1" w:rsidRPr="002E240D">
        <w:rPr>
          <w:rFonts w:eastAsia="Calibri" w:cs="Times New Roman"/>
          <w:b/>
        </w:rPr>
        <w:t xml:space="preserve"> </w:t>
      </w:r>
      <w:r w:rsidR="00593DAD" w:rsidRPr="002E240D">
        <w:rPr>
          <w:rFonts w:eastAsia="Calibri" w:cs="Times New Roman"/>
          <w:b/>
        </w:rPr>
        <w:fldChar w:fldCharType="begin"/>
      </w:r>
      <w:r w:rsidR="00593DAD" w:rsidRPr="002E240D">
        <w:rPr>
          <w:rFonts w:eastAsia="Calibri" w:cs="Times New Roman"/>
          <w:b/>
        </w:rPr>
        <w:instrText xml:space="preserve"> REF _Ref463528580 \h  \* MERGEFORMAT </w:instrText>
      </w:r>
      <w:r w:rsidR="00593DAD" w:rsidRPr="002E240D">
        <w:rPr>
          <w:rFonts w:eastAsia="Calibri" w:cs="Times New Roman"/>
          <w:b/>
        </w:rPr>
      </w:r>
      <w:r w:rsidR="00593DAD" w:rsidRPr="002E240D">
        <w:rPr>
          <w:rFonts w:eastAsia="Calibri" w:cs="Times New Roman"/>
          <w:b/>
        </w:rPr>
        <w:fldChar w:fldCharType="separate"/>
      </w:r>
      <w:r w:rsidR="00A57E12">
        <w:rPr>
          <w:b/>
        </w:rPr>
        <w:t>Slici</w:t>
      </w:r>
      <w:r w:rsidR="009C319B" w:rsidRPr="003A02D0">
        <w:rPr>
          <w:b/>
        </w:rPr>
        <w:t xml:space="preserve"> </w:t>
      </w:r>
      <w:r w:rsidR="009C319B">
        <w:rPr>
          <w:b/>
          <w:noProof/>
        </w:rPr>
        <w:t>5</w:t>
      </w:r>
      <w:r w:rsidR="009C319B" w:rsidRPr="003A02D0">
        <w:rPr>
          <w:b/>
          <w:noProof/>
        </w:rPr>
        <w:t>.</w:t>
      </w:r>
      <w:r w:rsidR="009C319B">
        <w:rPr>
          <w:b/>
          <w:noProof/>
        </w:rPr>
        <w:t>6</w:t>
      </w:r>
      <w:r w:rsidR="00593DAD" w:rsidRPr="002E240D">
        <w:rPr>
          <w:rFonts w:eastAsia="Calibri" w:cs="Times New Roman"/>
          <w:b/>
        </w:rPr>
        <w:fldChar w:fldCharType="end"/>
      </w:r>
      <w:r w:rsidRPr="002E240D">
        <w:rPr>
          <w:rFonts w:eastAsia="Calibri" w:cs="Times New Roman"/>
        </w:rPr>
        <w:t>, broj pr</w:t>
      </w:r>
      <w:r w:rsidR="00D35697" w:rsidRPr="002E240D">
        <w:rPr>
          <w:rFonts w:eastAsia="Calibri" w:cs="Times New Roman"/>
        </w:rPr>
        <w:t xml:space="preserve">ijeđenih kilometara </w:t>
      </w:r>
      <w:r w:rsidR="001771A1" w:rsidRPr="002E240D">
        <w:rPr>
          <w:rFonts w:eastAsia="Calibri" w:cs="Times New Roman"/>
        </w:rPr>
        <w:t xml:space="preserve">na </w:t>
      </w:r>
      <w:r w:rsidR="00D35697" w:rsidRPr="002E240D">
        <w:rPr>
          <w:rFonts w:eastAsia="Calibri" w:cs="Times New Roman"/>
          <w:b/>
        </w:rPr>
        <w:fldChar w:fldCharType="begin"/>
      </w:r>
      <w:r w:rsidR="00D35697" w:rsidRPr="002E240D">
        <w:rPr>
          <w:rFonts w:eastAsia="Calibri" w:cs="Times New Roman"/>
          <w:b/>
        </w:rPr>
        <w:instrText xml:space="preserve"> REF _Ref463529714 \h  \* MERGEFORMAT </w:instrText>
      </w:r>
      <w:r w:rsidR="00D35697" w:rsidRPr="002E240D">
        <w:rPr>
          <w:rFonts w:eastAsia="Calibri" w:cs="Times New Roman"/>
          <w:b/>
        </w:rPr>
      </w:r>
      <w:r w:rsidR="00D35697" w:rsidRPr="002E240D">
        <w:rPr>
          <w:rFonts w:eastAsia="Calibri" w:cs="Times New Roman"/>
          <w:b/>
        </w:rPr>
        <w:fldChar w:fldCharType="separate"/>
      </w:r>
      <w:r w:rsidR="00A57E12">
        <w:rPr>
          <w:b/>
        </w:rPr>
        <w:t>Slici</w:t>
      </w:r>
      <w:r w:rsidR="009C319B" w:rsidRPr="003A02D0">
        <w:rPr>
          <w:b/>
        </w:rPr>
        <w:t xml:space="preserve"> </w:t>
      </w:r>
      <w:r w:rsidR="009C319B">
        <w:rPr>
          <w:b/>
          <w:noProof/>
        </w:rPr>
        <w:t>5</w:t>
      </w:r>
      <w:r w:rsidR="009C319B" w:rsidRPr="003A02D0">
        <w:rPr>
          <w:b/>
          <w:noProof/>
        </w:rPr>
        <w:t>.</w:t>
      </w:r>
      <w:r w:rsidR="009C319B">
        <w:rPr>
          <w:b/>
          <w:noProof/>
        </w:rPr>
        <w:t>7</w:t>
      </w:r>
      <w:r w:rsidR="00D35697" w:rsidRPr="002E240D">
        <w:rPr>
          <w:rFonts w:eastAsia="Calibri" w:cs="Times New Roman"/>
          <w:b/>
        </w:rPr>
        <w:fldChar w:fldCharType="end"/>
      </w:r>
      <w:r w:rsidR="00461780" w:rsidRPr="002E240D">
        <w:rPr>
          <w:rFonts w:eastAsia="Calibri" w:cs="Times New Roman"/>
        </w:rPr>
        <w:t xml:space="preserve"> , dok je </w:t>
      </w:r>
      <w:r w:rsidRPr="002E240D">
        <w:rPr>
          <w:rFonts w:eastAsia="Calibri" w:cs="Times New Roman"/>
        </w:rPr>
        <w:t xml:space="preserve">kretanje broja prevezenih putnika po </w:t>
      </w:r>
      <w:r w:rsidR="001771A1" w:rsidRPr="002E240D">
        <w:rPr>
          <w:rFonts w:eastAsia="Calibri" w:cs="Times New Roman"/>
        </w:rPr>
        <w:t xml:space="preserve">kilometru </w:t>
      </w:r>
      <w:r w:rsidR="00461780" w:rsidRPr="002E240D">
        <w:rPr>
          <w:rFonts w:eastAsia="Calibri" w:cs="Times New Roman"/>
        </w:rPr>
        <w:t xml:space="preserve">prikazano </w:t>
      </w:r>
      <w:r w:rsidR="001771A1" w:rsidRPr="002E240D">
        <w:rPr>
          <w:rFonts w:eastAsia="Calibri" w:cs="Times New Roman"/>
        </w:rPr>
        <w:t>na</w:t>
      </w:r>
      <w:r w:rsidR="001771A1" w:rsidRPr="002E240D">
        <w:rPr>
          <w:rFonts w:eastAsia="Calibri" w:cs="Times New Roman"/>
          <w:b/>
        </w:rPr>
        <w:t xml:space="preserve"> </w:t>
      </w:r>
      <w:r w:rsidR="00D35697" w:rsidRPr="002E240D">
        <w:rPr>
          <w:rFonts w:eastAsia="Calibri" w:cs="Times New Roman"/>
          <w:b/>
        </w:rPr>
        <w:fldChar w:fldCharType="begin"/>
      </w:r>
      <w:r w:rsidR="00D35697" w:rsidRPr="002E240D">
        <w:rPr>
          <w:rFonts w:eastAsia="Calibri" w:cs="Times New Roman"/>
          <w:b/>
        </w:rPr>
        <w:instrText xml:space="preserve"> REF _Ref463529762 \h  \* MERGEFORMAT </w:instrText>
      </w:r>
      <w:r w:rsidR="00D35697" w:rsidRPr="002E240D">
        <w:rPr>
          <w:rFonts w:eastAsia="Calibri" w:cs="Times New Roman"/>
          <w:b/>
        </w:rPr>
      </w:r>
      <w:r w:rsidR="00D35697" w:rsidRPr="002E240D">
        <w:rPr>
          <w:rFonts w:eastAsia="Calibri" w:cs="Times New Roman"/>
          <w:b/>
        </w:rPr>
        <w:fldChar w:fldCharType="separate"/>
      </w:r>
      <w:r w:rsidR="00A57E12">
        <w:rPr>
          <w:rFonts w:eastAsia="Times New Roman" w:cs="Times New Roman"/>
          <w:b/>
        </w:rPr>
        <w:t>Slici</w:t>
      </w:r>
      <w:r w:rsidR="009C319B" w:rsidRPr="009C319B">
        <w:rPr>
          <w:rFonts w:eastAsia="Times New Roman" w:cs="Times New Roman"/>
          <w:b/>
        </w:rPr>
        <w:t xml:space="preserve"> </w:t>
      </w:r>
      <w:r w:rsidR="009C319B" w:rsidRPr="009C319B">
        <w:rPr>
          <w:rFonts w:eastAsia="Times New Roman" w:cs="Times New Roman"/>
          <w:b/>
          <w:noProof/>
        </w:rPr>
        <w:t>5.8</w:t>
      </w:r>
      <w:r w:rsidR="00D35697" w:rsidRPr="002E240D">
        <w:rPr>
          <w:rFonts w:eastAsia="Calibri" w:cs="Times New Roman"/>
          <w:b/>
        </w:rPr>
        <w:fldChar w:fldCharType="end"/>
      </w:r>
      <w:r w:rsidR="00A4353C" w:rsidRPr="002E240D">
        <w:rPr>
          <w:rFonts w:eastAsia="Calibri" w:cs="Times New Roman"/>
        </w:rPr>
        <w:t>.</w:t>
      </w:r>
    </w:p>
    <w:p w14:paraId="0F11A5CC" w14:textId="77777777" w:rsidR="00104A81" w:rsidRPr="003A02D0" w:rsidRDefault="00104A81" w:rsidP="00E92750">
      <w:pPr>
        <w:spacing w:after="0" w:line="240" w:lineRule="auto"/>
        <w:jc w:val="center"/>
        <w:rPr>
          <w:rFonts w:eastAsia="Calibri" w:cs="Times New Roman"/>
          <w:noProof/>
          <w:lang w:eastAsia="hr-HR"/>
        </w:rPr>
      </w:pPr>
      <w:r w:rsidRPr="003A02D0">
        <w:rPr>
          <w:noProof/>
          <w:lang w:eastAsia="hr-HR"/>
        </w:rPr>
        <w:drawing>
          <wp:inline distT="0" distB="0" distL="0" distR="0" wp14:anchorId="26331D21" wp14:editId="56B3BFEF">
            <wp:extent cx="4914900" cy="2990850"/>
            <wp:effectExtent l="0" t="0" r="0" b="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3122B32" w14:textId="5381DC90" w:rsidR="006B2160" w:rsidRDefault="00104A81" w:rsidP="00E92750">
      <w:pPr>
        <w:spacing w:after="240" w:line="240" w:lineRule="auto"/>
        <w:jc w:val="center"/>
      </w:pPr>
      <w:bookmarkStart w:id="180" w:name="_Ref463528580"/>
      <w:bookmarkStart w:id="181" w:name="_Toc258239031"/>
      <w:bookmarkStart w:id="182" w:name="_Toc468277442"/>
      <w:r w:rsidRPr="003A02D0">
        <w:rPr>
          <w:b/>
        </w:rPr>
        <w:t xml:space="preserve">Slika </w:t>
      </w:r>
      <w:r w:rsidRPr="003A02D0">
        <w:rPr>
          <w:b/>
        </w:rPr>
        <w:fldChar w:fldCharType="begin"/>
      </w:r>
      <w:r w:rsidRPr="003A02D0">
        <w:rPr>
          <w:b/>
        </w:rPr>
        <w:instrText xml:space="preserve"> STYLEREF 1 \s </w:instrText>
      </w:r>
      <w:r w:rsidRPr="003A02D0">
        <w:rPr>
          <w:b/>
        </w:rPr>
        <w:fldChar w:fldCharType="separate"/>
      </w:r>
      <w:r w:rsidR="009C319B">
        <w:rPr>
          <w:b/>
          <w:noProof/>
        </w:rPr>
        <w:t>5</w:t>
      </w:r>
      <w:r w:rsidRPr="003A02D0">
        <w:rPr>
          <w:b/>
          <w:noProof/>
        </w:rPr>
        <w:fldChar w:fldCharType="end"/>
      </w:r>
      <w:r w:rsidRPr="003A02D0">
        <w:rPr>
          <w:b/>
        </w:rPr>
        <w:t>.</w:t>
      </w:r>
      <w:r w:rsidRPr="003A02D0">
        <w:rPr>
          <w:b/>
        </w:rPr>
        <w:fldChar w:fldCharType="begin"/>
      </w:r>
      <w:r w:rsidRPr="003A02D0">
        <w:rPr>
          <w:b/>
        </w:rPr>
        <w:instrText xml:space="preserve"> SEQ Slika \* ARABIC \s 1 </w:instrText>
      </w:r>
      <w:r w:rsidRPr="003A02D0">
        <w:rPr>
          <w:b/>
        </w:rPr>
        <w:fldChar w:fldCharType="separate"/>
      </w:r>
      <w:r w:rsidR="009C319B">
        <w:rPr>
          <w:b/>
          <w:noProof/>
        </w:rPr>
        <w:t>6</w:t>
      </w:r>
      <w:r w:rsidRPr="003A02D0">
        <w:rPr>
          <w:b/>
          <w:noProof/>
        </w:rPr>
        <w:fldChar w:fldCharType="end"/>
      </w:r>
      <w:bookmarkEnd w:id="180"/>
      <w:r w:rsidRPr="003A02D0">
        <w:t xml:space="preserve"> Broj prevezenih putnika</w:t>
      </w:r>
      <w:r w:rsidR="00593DAD" w:rsidRPr="003A02D0">
        <w:t xml:space="preserve"> u tisućama u tramvajskom prijevozu u vremenskom periodu</w:t>
      </w:r>
      <w:r w:rsidRPr="003A02D0">
        <w:t xml:space="preserve"> od 2009. do 2015. godine</w:t>
      </w:r>
      <w:bookmarkEnd w:id="181"/>
      <w:bookmarkEnd w:id="182"/>
    </w:p>
    <w:p w14:paraId="352806D9" w14:textId="77777777" w:rsidR="006B2160" w:rsidRPr="006B2160" w:rsidRDefault="006B2160" w:rsidP="006B2160"/>
    <w:p w14:paraId="37F768FD" w14:textId="5B9B7E82" w:rsidR="006B2160" w:rsidRDefault="006B2160" w:rsidP="006B2160"/>
    <w:p w14:paraId="77512C99" w14:textId="0028CE97" w:rsidR="00104A81" w:rsidRPr="006B2160" w:rsidRDefault="006B2160" w:rsidP="006B2160">
      <w:pPr>
        <w:tabs>
          <w:tab w:val="left" w:pos="3660"/>
        </w:tabs>
      </w:pPr>
      <w:r>
        <w:tab/>
      </w:r>
    </w:p>
    <w:p w14:paraId="0F894745" w14:textId="20E5FA71" w:rsidR="00104A81" w:rsidRPr="003A02D0" w:rsidRDefault="0015660A" w:rsidP="00E92750">
      <w:pPr>
        <w:spacing w:after="0" w:line="240" w:lineRule="auto"/>
        <w:jc w:val="center"/>
        <w:rPr>
          <w:noProof/>
          <w:lang w:eastAsia="hr-HR"/>
        </w:rPr>
      </w:pPr>
      <w:r w:rsidRPr="003A02D0">
        <w:rPr>
          <w:noProof/>
          <w:lang w:eastAsia="hr-HR"/>
        </w:rPr>
        <w:lastRenderedPageBreak/>
        <w:drawing>
          <wp:inline distT="0" distB="0" distL="0" distR="0" wp14:anchorId="31C573DA" wp14:editId="6BE0B942">
            <wp:extent cx="5438775" cy="3181350"/>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07FDDB6" w14:textId="0193FA8A" w:rsidR="00104A81" w:rsidRPr="003A02D0" w:rsidRDefault="00104A81" w:rsidP="00E92750">
      <w:pPr>
        <w:spacing w:line="240" w:lineRule="auto"/>
        <w:jc w:val="center"/>
      </w:pPr>
      <w:bookmarkStart w:id="183" w:name="_Ref463529714"/>
      <w:bookmarkStart w:id="184" w:name="_Toc258239032"/>
      <w:bookmarkStart w:id="185" w:name="_Toc468277443"/>
      <w:r w:rsidRPr="003A02D0">
        <w:rPr>
          <w:b/>
        </w:rPr>
        <w:t xml:space="preserve">Slika </w:t>
      </w:r>
      <w:r w:rsidRPr="003A02D0">
        <w:rPr>
          <w:b/>
        </w:rPr>
        <w:fldChar w:fldCharType="begin"/>
      </w:r>
      <w:r w:rsidRPr="003A02D0">
        <w:rPr>
          <w:b/>
        </w:rPr>
        <w:instrText xml:space="preserve"> STYLEREF 1 \s </w:instrText>
      </w:r>
      <w:r w:rsidRPr="003A02D0">
        <w:rPr>
          <w:b/>
        </w:rPr>
        <w:fldChar w:fldCharType="separate"/>
      </w:r>
      <w:r w:rsidR="009C319B">
        <w:rPr>
          <w:b/>
          <w:noProof/>
        </w:rPr>
        <w:t>5</w:t>
      </w:r>
      <w:r w:rsidRPr="003A02D0">
        <w:rPr>
          <w:b/>
          <w:noProof/>
        </w:rPr>
        <w:fldChar w:fldCharType="end"/>
      </w:r>
      <w:r w:rsidRPr="003A02D0">
        <w:rPr>
          <w:b/>
        </w:rPr>
        <w:t>.</w:t>
      </w:r>
      <w:r w:rsidRPr="003A02D0">
        <w:rPr>
          <w:b/>
        </w:rPr>
        <w:fldChar w:fldCharType="begin"/>
      </w:r>
      <w:r w:rsidRPr="003A02D0">
        <w:rPr>
          <w:b/>
        </w:rPr>
        <w:instrText xml:space="preserve"> SEQ Slika \* ARABIC \s 1 </w:instrText>
      </w:r>
      <w:r w:rsidRPr="003A02D0">
        <w:rPr>
          <w:b/>
        </w:rPr>
        <w:fldChar w:fldCharType="separate"/>
      </w:r>
      <w:r w:rsidR="009C319B">
        <w:rPr>
          <w:b/>
          <w:noProof/>
        </w:rPr>
        <w:t>7</w:t>
      </w:r>
      <w:r w:rsidRPr="003A02D0">
        <w:rPr>
          <w:b/>
          <w:noProof/>
        </w:rPr>
        <w:fldChar w:fldCharType="end"/>
      </w:r>
      <w:bookmarkEnd w:id="183"/>
      <w:r w:rsidRPr="003A02D0">
        <w:t xml:space="preserve"> Prijeđeni kilometri </w:t>
      </w:r>
      <w:r w:rsidR="00150B30" w:rsidRPr="003A02D0">
        <w:t xml:space="preserve">u tisućama </w:t>
      </w:r>
      <w:r w:rsidR="001771A1" w:rsidRPr="003A02D0">
        <w:t>u tramvajskom</w:t>
      </w:r>
      <w:r w:rsidRPr="003A02D0">
        <w:t xml:space="preserve"> prijevozu u </w:t>
      </w:r>
      <w:r w:rsidR="001771A1" w:rsidRPr="003A02D0">
        <w:t>vremenskom periodu</w:t>
      </w:r>
      <w:r w:rsidRPr="003A02D0">
        <w:t xml:space="preserve"> od 2009. do 2015. godine</w:t>
      </w:r>
      <w:bookmarkEnd w:id="184"/>
      <w:bookmarkEnd w:id="185"/>
    </w:p>
    <w:p w14:paraId="4490256B" w14:textId="77777777" w:rsidR="00104A81" w:rsidRPr="003A02D0" w:rsidRDefault="00104A81" w:rsidP="00E92750">
      <w:pPr>
        <w:spacing w:after="0" w:line="240" w:lineRule="auto"/>
        <w:jc w:val="center"/>
        <w:rPr>
          <w:rFonts w:ascii="Century Gothic" w:eastAsia="Calibri" w:hAnsi="Century Gothic" w:cs="Times New Roman"/>
          <w:noProof/>
          <w:lang w:eastAsia="hr-HR"/>
        </w:rPr>
      </w:pPr>
      <w:r w:rsidRPr="003A02D0">
        <w:rPr>
          <w:noProof/>
          <w:lang w:eastAsia="hr-HR"/>
        </w:rPr>
        <w:drawing>
          <wp:inline distT="0" distB="0" distL="0" distR="0" wp14:anchorId="3CCFB793" wp14:editId="07C268E8">
            <wp:extent cx="5089585" cy="3338423"/>
            <wp:effectExtent l="0" t="0" r="0" b="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8F84566" w14:textId="0528872D" w:rsidR="00104A81" w:rsidRPr="003A02D0" w:rsidRDefault="00104A81" w:rsidP="00E92750">
      <w:pPr>
        <w:spacing w:line="240" w:lineRule="auto"/>
        <w:jc w:val="center"/>
      </w:pPr>
      <w:bookmarkStart w:id="186" w:name="_Ref463529762"/>
      <w:bookmarkStart w:id="187" w:name="_Toc258239033"/>
      <w:bookmarkStart w:id="188" w:name="_Toc468277444"/>
      <w:r w:rsidRPr="003A02D0">
        <w:rPr>
          <w:b/>
        </w:rPr>
        <w:t xml:space="preserve">Slika </w:t>
      </w:r>
      <w:r w:rsidRPr="003A02D0">
        <w:rPr>
          <w:b/>
        </w:rPr>
        <w:fldChar w:fldCharType="begin"/>
      </w:r>
      <w:r w:rsidRPr="003A02D0">
        <w:rPr>
          <w:b/>
        </w:rPr>
        <w:instrText xml:space="preserve"> STYLEREF 1 \s </w:instrText>
      </w:r>
      <w:r w:rsidRPr="003A02D0">
        <w:rPr>
          <w:b/>
        </w:rPr>
        <w:fldChar w:fldCharType="separate"/>
      </w:r>
      <w:r w:rsidR="009C319B">
        <w:rPr>
          <w:b/>
          <w:noProof/>
        </w:rPr>
        <w:t>5</w:t>
      </w:r>
      <w:r w:rsidRPr="003A02D0">
        <w:rPr>
          <w:b/>
          <w:noProof/>
        </w:rPr>
        <w:fldChar w:fldCharType="end"/>
      </w:r>
      <w:r w:rsidRPr="003A02D0">
        <w:rPr>
          <w:b/>
        </w:rPr>
        <w:t>.</w:t>
      </w:r>
      <w:r w:rsidRPr="003A02D0">
        <w:rPr>
          <w:b/>
        </w:rPr>
        <w:fldChar w:fldCharType="begin"/>
      </w:r>
      <w:r w:rsidRPr="003A02D0">
        <w:rPr>
          <w:b/>
        </w:rPr>
        <w:instrText xml:space="preserve"> SEQ Slika \* ARABIC \s 1 </w:instrText>
      </w:r>
      <w:r w:rsidRPr="003A02D0">
        <w:rPr>
          <w:b/>
        </w:rPr>
        <w:fldChar w:fldCharType="separate"/>
      </w:r>
      <w:r w:rsidR="009C319B">
        <w:rPr>
          <w:b/>
          <w:noProof/>
        </w:rPr>
        <w:t>8</w:t>
      </w:r>
      <w:r w:rsidRPr="003A02D0">
        <w:rPr>
          <w:b/>
          <w:noProof/>
        </w:rPr>
        <w:fldChar w:fldCharType="end"/>
      </w:r>
      <w:bookmarkEnd w:id="186"/>
      <w:r w:rsidRPr="003A02D0">
        <w:t xml:space="preserve"> Broj prevezenih putnika u tramvajskom prijevozu po kilometru u </w:t>
      </w:r>
      <w:r w:rsidR="00D35697" w:rsidRPr="003A02D0">
        <w:t>vremenskom periodu</w:t>
      </w:r>
      <w:r w:rsidRPr="003A02D0">
        <w:t xml:space="preserve"> od 2009. do 2015. godine</w:t>
      </w:r>
      <w:bookmarkEnd w:id="187"/>
      <w:bookmarkEnd w:id="188"/>
    </w:p>
    <w:p w14:paraId="17EC25E5" w14:textId="77777777" w:rsidR="00570C2E" w:rsidRDefault="00570C2E" w:rsidP="00D80261">
      <w:pPr>
        <w:rPr>
          <w:highlight w:val="yellow"/>
        </w:rPr>
      </w:pPr>
    </w:p>
    <w:p w14:paraId="273017E8" w14:textId="77777777" w:rsidR="006B2160" w:rsidRDefault="006B2160" w:rsidP="00D80261">
      <w:pPr>
        <w:rPr>
          <w:highlight w:val="yellow"/>
        </w:rPr>
      </w:pPr>
    </w:p>
    <w:p w14:paraId="7B11EDBA" w14:textId="77777777" w:rsidR="006B2160" w:rsidRPr="007C7920" w:rsidRDefault="006B2160" w:rsidP="00D80261">
      <w:pPr>
        <w:rPr>
          <w:highlight w:val="yellow"/>
        </w:rPr>
      </w:pPr>
    </w:p>
    <w:p w14:paraId="5D52D32F" w14:textId="1C719199" w:rsidR="00570C2E" w:rsidRPr="003A02D0" w:rsidRDefault="00570C2E" w:rsidP="00E92750">
      <w:pPr>
        <w:spacing w:after="240" w:line="240" w:lineRule="auto"/>
        <w:jc w:val="both"/>
        <w:rPr>
          <w:rFonts w:ascii="Century Gothic" w:eastAsia="Calibri" w:hAnsi="Century Gothic" w:cs="Times New Roman"/>
        </w:rPr>
      </w:pPr>
      <w:r w:rsidRPr="003A02D0">
        <w:rPr>
          <w:rFonts w:eastAsia="Calibri" w:cs="Times New Roman"/>
        </w:rPr>
        <w:lastRenderedPageBreak/>
        <w:t xml:space="preserve">Zadnjih nekoliko godina broj raspoloživih mjesta u tramvajskom prijevozu se smanjio, </w:t>
      </w:r>
      <w:r w:rsidRPr="003A02D0">
        <w:rPr>
          <w:rFonts w:eastAsia="Calibri" w:cs="Times New Roman"/>
          <w:b/>
        </w:rPr>
        <w:fldChar w:fldCharType="begin"/>
      </w:r>
      <w:r w:rsidRPr="003A02D0">
        <w:rPr>
          <w:rFonts w:eastAsia="Calibri" w:cs="Times New Roman"/>
          <w:b/>
        </w:rPr>
        <w:instrText xml:space="preserve"> REF _Ref463529889 \h  \* MERGEFORMAT </w:instrText>
      </w:r>
      <w:r w:rsidRPr="003A02D0">
        <w:rPr>
          <w:rFonts w:eastAsia="Calibri" w:cs="Times New Roman"/>
          <w:b/>
        </w:rPr>
      </w:r>
      <w:r w:rsidRPr="003A02D0">
        <w:rPr>
          <w:rFonts w:eastAsia="Calibri" w:cs="Times New Roman"/>
          <w:b/>
        </w:rPr>
        <w:fldChar w:fldCharType="separate"/>
      </w:r>
      <w:r w:rsidR="009C319B" w:rsidRPr="002349A8">
        <w:rPr>
          <w:b/>
        </w:rPr>
        <w:t xml:space="preserve">Slika </w:t>
      </w:r>
      <w:r w:rsidR="009C319B">
        <w:rPr>
          <w:b/>
          <w:noProof/>
        </w:rPr>
        <w:t>5</w:t>
      </w:r>
      <w:r w:rsidR="009C319B" w:rsidRPr="002349A8">
        <w:rPr>
          <w:b/>
          <w:noProof/>
        </w:rPr>
        <w:t>.</w:t>
      </w:r>
      <w:r w:rsidR="009C319B">
        <w:rPr>
          <w:b/>
          <w:noProof/>
        </w:rPr>
        <w:t>9</w:t>
      </w:r>
      <w:r w:rsidRPr="003A02D0">
        <w:rPr>
          <w:rFonts w:eastAsia="Calibri" w:cs="Times New Roman"/>
          <w:b/>
        </w:rPr>
        <w:fldChar w:fldCharType="end"/>
      </w:r>
      <w:r w:rsidRPr="003A02D0">
        <w:rPr>
          <w:rFonts w:eastAsia="Calibri" w:cs="Times New Roman"/>
        </w:rPr>
        <w:t>.</w:t>
      </w:r>
    </w:p>
    <w:p w14:paraId="52DCA3A8" w14:textId="77777777" w:rsidR="00104A81" w:rsidRPr="002349A8" w:rsidRDefault="00104A81" w:rsidP="00E92750">
      <w:pPr>
        <w:spacing w:after="0" w:line="240" w:lineRule="auto"/>
        <w:jc w:val="center"/>
        <w:rPr>
          <w:rFonts w:ascii="Century Gothic" w:eastAsia="Calibri" w:hAnsi="Century Gothic" w:cs="Times New Roman"/>
          <w:noProof/>
          <w:lang w:eastAsia="hr-HR"/>
        </w:rPr>
      </w:pPr>
      <w:r w:rsidRPr="002349A8">
        <w:rPr>
          <w:noProof/>
          <w:lang w:eastAsia="hr-HR"/>
        </w:rPr>
        <w:drawing>
          <wp:inline distT="0" distB="0" distL="0" distR="0" wp14:anchorId="483F5257" wp14:editId="3A73DD57">
            <wp:extent cx="5462546" cy="3474720"/>
            <wp:effectExtent l="0" t="0" r="5080" b="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57F376C" w14:textId="3B9B3429" w:rsidR="00104A81" w:rsidRPr="002349A8" w:rsidRDefault="00104A81" w:rsidP="00E92750">
      <w:pPr>
        <w:spacing w:after="0" w:line="240" w:lineRule="auto"/>
        <w:jc w:val="center"/>
      </w:pPr>
      <w:bookmarkStart w:id="189" w:name="_Ref463529889"/>
      <w:bookmarkStart w:id="190" w:name="_Toc468277445"/>
      <w:r w:rsidRPr="002349A8">
        <w:rPr>
          <w:b/>
        </w:rPr>
        <w:t xml:space="preserve">Slika </w:t>
      </w:r>
      <w:r w:rsidRPr="002349A8">
        <w:rPr>
          <w:b/>
        </w:rPr>
        <w:fldChar w:fldCharType="begin"/>
      </w:r>
      <w:r w:rsidRPr="002349A8">
        <w:rPr>
          <w:b/>
        </w:rPr>
        <w:instrText xml:space="preserve"> STYLEREF 1 \s </w:instrText>
      </w:r>
      <w:r w:rsidRPr="002349A8">
        <w:rPr>
          <w:b/>
        </w:rPr>
        <w:fldChar w:fldCharType="separate"/>
      </w:r>
      <w:r w:rsidR="009C319B">
        <w:rPr>
          <w:b/>
          <w:noProof/>
        </w:rPr>
        <w:t>5</w:t>
      </w:r>
      <w:r w:rsidRPr="002349A8">
        <w:rPr>
          <w:b/>
          <w:noProof/>
        </w:rPr>
        <w:fldChar w:fldCharType="end"/>
      </w:r>
      <w:r w:rsidRPr="002349A8">
        <w:rPr>
          <w:b/>
        </w:rPr>
        <w:t>.</w:t>
      </w:r>
      <w:r w:rsidRPr="002349A8">
        <w:rPr>
          <w:b/>
        </w:rPr>
        <w:fldChar w:fldCharType="begin"/>
      </w:r>
      <w:r w:rsidRPr="002349A8">
        <w:rPr>
          <w:b/>
        </w:rPr>
        <w:instrText xml:space="preserve"> SEQ Slika \* ARABIC \s 1 </w:instrText>
      </w:r>
      <w:r w:rsidRPr="002349A8">
        <w:rPr>
          <w:b/>
        </w:rPr>
        <w:fldChar w:fldCharType="separate"/>
      </w:r>
      <w:r w:rsidR="009C319B">
        <w:rPr>
          <w:b/>
          <w:noProof/>
        </w:rPr>
        <w:t>9</w:t>
      </w:r>
      <w:r w:rsidRPr="002349A8">
        <w:rPr>
          <w:b/>
          <w:noProof/>
        </w:rPr>
        <w:fldChar w:fldCharType="end"/>
      </w:r>
      <w:bookmarkStart w:id="191" w:name="_Toc258239034"/>
      <w:bookmarkEnd w:id="189"/>
      <w:r w:rsidRPr="002349A8">
        <w:rPr>
          <w:rFonts w:ascii="Century Gothic" w:eastAsia="Calibri" w:hAnsi="Century Gothic" w:cs="Times New Roman"/>
          <w:noProof/>
          <w:lang w:eastAsia="hr-HR"/>
        </w:rPr>
        <w:t xml:space="preserve"> </w:t>
      </w:r>
      <w:r w:rsidRPr="002349A8">
        <w:t xml:space="preserve">Kretanje broja raspoloživih mjesta u tramvajskom prijevozu u </w:t>
      </w:r>
      <w:r w:rsidR="00D35697" w:rsidRPr="002349A8">
        <w:t>vremenskom periodu</w:t>
      </w:r>
      <w:r w:rsidRPr="002349A8">
        <w:t xml:space="preserve"> od 2009. do 2015. godine</w:t>
      </w:r>
      <w:bookmarkEnd w:id="190"/>
      <w:bookmarkEnd w:id="191"/>
    </w:p>
    <w:p w14:paraId="18723107" w14:textId="791B13A9" w:rsidR="00104A81" w:rsidRPr="002349A8" w:rsidRDefault="00104A81" w:rsidP="00E92750">
      <w:pPr>
        <w:pStyle w:val="Heading4"/>
        <w:spacing w:after="240" w:line="240" w:lineRule="auto"/>
        <w:ind w:left="862" w:hanging="862"/>
        <w:contextualSpacing w:val="0"/>
        <w:rPr>
          <w:rFonts w:asciiTheme="minorHAnsi" w:hAnsiTheme="minorHAnsi"/>
          <w:sz w:val="22"/>
        </w:rPr>
      </w:pPr>
      <w:bookmarkStart w:id="192" w:name="_Toc468345368"/>
      <w:r w:rsidRPr="002349A8">
        <w:rPr>
          <w:rFonts w:asciiTheme="minorHAnsi" w:hAnsiTheme="minorHAnsi"/>
          <w:sz w:val="22"/>
        </w:rPr>
        <w:t>Autobusni prijevoz</w:t>
      </w:r>
      <w:bookmarkEnd w:id="192"/>
    </w:p>
    <w:p w14:paraId="6FCF94E2" w14:textId="1D4EA611" w:rsidR="00104A81" w:rsidRPr="002349A8" w:rsidRDefault="00104A81" w:rsidP="00E92750">
      <w:pPr>
        <w:spacing w:line="240" w:lineRule="auto"/>
        <w:jc w:val="both"/>
        <w:rPr>
          <w:rFonts w:cstheme="minorHAnsi"/>
        </w:rPr>
      </w:pPr>
      <w:r w:rsidRPr="002349A8">
        <w:t>Autobusni prijevoz organiziran je na području Grada Zagreba i na području pojedinih susjednih gradova i općina. Cjelokupni autobusni promet odvija se na 138 dnevnih i 4 noćne linije</w:t>
      </w:r>
      <w:r w:rsidR="004A6655" w:rsidRPr="002349A8">
        <w:t>.</w:t>
      </w:r>
      <w:r w:rsidR="00EE282C" w:rsidRPr="002349A8">
        <w:rPr>
          <w:rFonts w:ascii="Arial" w:hAnsi="Arial" w:cs="Arial"/>
          <w:color w:val="58585A"/>
          <w:sz w:val="18"/>
          <w:szCs w:val="18"/>
        </w:rPr>
        <w:t xml:space="preserve"> </w:t>
      </w:r>
      <w:r w:rsidR="004A6655" w:rsidRPr="002349A8">
        <w:t>Autobusni vozni park čini</w:t>
      </w:r>
      <w:r w:rsidRPr="002349A8">
        <w:t xml:space="preserve"> 379 vozila,</w:t>
      </w:r>
      <w:r w:rsidR="004A6655" w:rsidRPr="002349A8">
        <w:t xml:space="preserve"> od čega je 303 dizel vozila i 76 vozila na stlačeni prirodni plin</w:t>
      </w:r>
      <w:r w:rsidRPr="002349A8">
        <w:t>. Autobusi su marke MAN Mercedes i Iveco, a smješteni su u tri garaže, Pod</w:t>
      </w:r>
      <w:r w:rsidR="004A6655" w:rsidRPr="002349A8">
        <w:t>sused, Dubrava i Velika Gorica.</w:t>
      </w:r>
    </w:p>
    <w:p w14:paraId="098F9CEA" w14:textId="2ED3C822" w:rsidR="00104A81" w:rsidRPr="002349A8" w:rsidRDefault="00104A81" w:rsidP="00E92750">
      <w:pPr>
        <w:spacing w:line="240" w:lineRule="auto"/>
        <w:jc w:val="both"/>
        <w:rPr>
          <w:rFonts w:eastAsia="Times New Roman" w:cs="Arial"/>
          <w:lang w:eastAsia="hr-HR"/>
        </w:rPr>
      </w:pPr>
      <w:r w:rsidRPr="002349A8">
        <w:t xml:space="preserve">Autobusi su većinom niskopodni i zbog toga pristupačni svim kategorijama korisnika. </w:t>
      </w:r>
      <w:r w:rsidRPr="002349A8">
        <w:rPr>
          <w:rFonts w:eastAsia="Times New Roman" w:cs="Arial"/>
          <w:lang w:eastAsia="hr-HR"/>
        </w:rPr>
        <w:t>Od 2007. godine podružnica ZET kao pogonsko gorivo uvodi biodizel, a od 2009. vozi se i na stlačeni plin. U pogonu je i suvremena ZET-ova punionica stlačenog zemnog plina za autobuse, smještena u Pogonu autobusa Podsused. Na pod</w:t>
      </w:r>
      <w:r w:rsidR="00F137E7" w:rsidRPr="002349A8">
        <w:rPr>
          <w:rFonts w:eastAsia="Times New Roman" w:cs="Arial"/>
          <w:lang w:eastAsia="hr-HR"/>
        </w:rPr>
        <w:t xml:space="preserve">ručju Grada Zagreba nalazi se 1 </w:t>
      </w:r>
      <w:r w:rsidRPr="002349A8">
        <w:rPr>
          <w:rFonts w:eastAsia="Times New Roman" w:cs="Arial"/>
          <w:lang w:eastAsia="hr-HR"/>
        </w:rPr>
        <w:t>854 autobusnih stajališta.</w:t>
      </w:r>
    </w:p>
    <w:p w14:paraId="65836564" w14:textId="1154E68A" w:rsidR="00104A81" w:rsidRPr="002349A8" w:rsidRDefault="00104A81" w:rsidP="00E92750">
      <w:pPr>
        <w:pStyle w:val="Heading4"/>
        <w:spacing w:after="240" w:line="240" w:lineRule="auto"/>
        <w:ind w:left="862" w:hanging="862"/>
        <w:contextualSpacing w:val="0"/>
        <w:rPr>
          <w:rFonts w:asciiTheme="minorHAnsi" w:hAnsiTheme="minorHAnsi" w:cstheme="minorHAnsi"/>
          <w:sz w:val="22"/>
        </w:rPr>
      </w:pPr>
      <w:bookmarkStart w:id="193" w:name="_Toc258238912"/>
      <w:bookmarkStart w:id="194" w:name="_Toc468345369"/>
      <w:r w:rsidRPr="002349A8">
        <w:rPr>
          <w:rFonts w:asciiTheme="minorHAnsi" w:hAnsiTheme="minorHAnsi" w:cstheme="minorHAnsi"/>
          <w:sz w:val="22"/>
        </w:rPr>
        <w:t>Potrošnja pojedinih t</w:t>
      </w:r>
      <w:r w:rsidR="00256E75" w:rsidRPr="002349A8">
        <w:rPr>
          <w:rFonts w:asciiTheme="minorHAnsi" w:hAnsiTheme="minorHAnsi" w:cstheme="minorHAnsi"/>
          <w:sz w:val="22"/>
        </w:rPr>
        <w:t>ipova goriva u autobusnom</w:t>
      </w:r>
      <w:r w:rsidRPr="002349A8">
        <w:rPr>
          <w:rFonts w:asciiTheme="minorHAnsi" w:hAnsiTheme="minorHAnsi" w:cstheme="minorHAnsi"/>
          <w:sz w:val="22"/>
        </w:rPr>
        <w:t xml:space="preserve"> prijevozu</w:t>
      </w:r>
      <w:bookmarkEnd w:id="193"/>
      <w:bookmarkEnd w:id="194"/>
    </w:p>
    <w:p w14:paraId="7CD5A9DB" w14:textId="011CF77B" w:rsidR="00104A81" w:rsidRPr="002349A8" w:rsidRDefault="00104A81" w:rsidP="00E92750">
      <w:pPr>
        <w:spacing w:after="240" w:line="240" w:lineRule="auto"/>
        <w:jc w:val="both"/>
      </w:pPr>
      <w:r w:rsidRPr="002349A8">
        <w:t>U 2015. godini u autobusnom</w:t>
      </w:r>
      <w:r w:rsidR="00EE282C" w:rsidRPr="002349A8">
        <w:t xml:space="preserve"> prijevozu utrošeno je 8 964 </w:t>
      </w:r>
      <w:r w:rsidRPr="002349A8">
        <w:t>328 litara dizel</w:t>
      </w:r>
      <w:r w:rsidR="00EE282C" w:rsidRPr="002349A8">
        <w:t>skog goriva i 2 274 174 kg stlačenog prirodnog plina</w:t>
      </w:r>
      <w:r w:rsidR="00955B04" w:rsidRPr="002349A8">
        <w:t>.</w:t>
      </w:r>
    </w:p>
    <w:p w14:paraId="2BE2326B" w14:textId="08066BE8" w:rsidR="00104A81" w:rsidRPr="002349A8" w:rsidRDefault="00256E75" w:rsidP="00E92750">
      <w:pPr>
        <w:spacing w:after="240" w:line="240" w:lineRule="auto"/>
        <w:jc w:val="both"/>
      </w:pPr>
      <w:r w:rsidRPr="002349A8">
        <w:t xml:space="preserve">U 2015. godini </w:t>
      </w:r>
      <w:r w:rsidR="00104A81" w:rsidRPr="002349A8">
        <w:t>potrošnja goriva</w:t>
      </w:r>
      <w:r w:rsidR="00746326" w:rsidRPr="002349A8">
        <w:t xml:space="preserve"> po prijeđenom kilometru </w:t>
      </w:r>
      <w:r w:rsidR="00104A81" w:rsidRPr="002349A8">
        <w:t xml:space="preserve">iznosila je </w:t>
      </w:r>
      <w:r w:rsidR="00746326" w:rsidRPr="002349A8">
        <w:t>5,23 kWh/</w:t>
      </w:r>
      <w:r w:rsidR="00104A81" w:rsidRPr="002349A8">
        <w:t>km, dok je potrošnja goriva na tisuću</w:t>
      </w:r>
      <w:r w:rsidR="00746326" w:rsidRPr="002349A8">
        <w:t xml:space="preserve"> prevezenih putnika iznosila 1,</w:t>
      </w:r>
      <w:r w:rsidR="00104A81" w:rsidRPr="002349A8">
        <w:t>4</w:t>
      </w:r>
      <w:r w:rsidR="00746326" w:rsidRPr="002349A8">
        <w:t>0 kWh</w:t>
      </w:r>
      <w:r w:rsidR="00104A81" w:rsidRPr="002349A8">
        <w:t>/putnik</w:t>
      </w:r>
      <w:r w:rsidR="00114582">
        <w:t>u</w:t>
      </w:r>
      <w:r w:rsidR="00104A81" w:rsidRPr="002349A8">
        <w:t>.</w:t>
      </w:r>
    </w:p>
    <w:p w14:paraId="1FB4F017" w14:textId="08CD2CFF" w:rsidR="00104A81" w:rsidRPr="002349A8" w:rsidRDefault="00256E75" w:rsidP="00E92750">
      <w:pPr>
        <w:spacing w:after="240" w:line="240" w:lineRule="auto"/>
        <w:jc w:val="both"/>
      </w:pPr>
      <w:r w:rsidRPr="002349A8">
        <w:t>B</w:t>
      </w:r>
      <w:r w:rsidR="00104A81" w:rsidRPr="002349A8">
        <w:t>roj prevezenih putnika</w:t>
      </w:r>
      <w:r w:rsidRPr="002349A8">
        <w:t xml:space="preserve"> dan je na</w:t>
      </w:r>
      <w:r w:rsidR="00104A81" w:rsidRPr="002349A8">
        <w:t xml:space="preserve"> </w:t>
      </w:r>
      <w:r w:rsidR="00372F40" w:rsidRPr="002349A8">
        <w:rPr>
          <w:b/>
        </w:rPr>
        <w:fldChar w:fldCharType="begin"/>
      </w:r>
      <w:r w:rsidR="00372F40" w:rsidRPr="002349A8">
        <w:rPr>
          <w:b/>
        </w:rPr>
        <w:instrText xml:space="preserve"> REF _Ref463531372 \h  \* MERGEFORMAT </w:instrText>
      </w:r>
      <w:r w:rsidR="00372F40" w:rsidRPr="002349A8">
        <w:rPr>
          <w:b/>
        </w:rPr>
      </w:r>
      <w:r w:rsidR="00372F40" w:rsidRPr="002349A8">
        <w:rPr>
          <w:b/>
        </w:rPr>
        <w:fldChar w:fldCharType="separate"/>
      </w:r>
      <w:r w:rsidR="00F63613">
        <w:rPr>
          <w:b/>
        </w:rPr>
        <w:t>Slici</w:t>
      </w:r>
      <w:r w:rsidR="009C319B" w:rsidRPr="002349A8">
        <w:rPr>
          <w:b/>
        </w:rPr>
        <w:t xml:space="preserve"> </w:t>
      </w:r>
      <w:r w:rsidR="009C319B">
        <w:rPr>
          <w:b/>
          <w:noProof/>
        </w:rPr>
        <w:t>5</w:t>
      </w:r>
      <w:r w:rsidR="009C319B" w:rsidRPr="002349A8">
        <w:rPr>
          <w:b/>
          <w:noProof/>
        </w:rPr>
        <w:t>.</w:t>
      </w:r>
      <w:r w:rsidR="009C319B">
        <w:rPr>
          <w:b/>
          <w:noProof/>
        </w:rPr>
        <w:t>10</w:t>
      </w:r>
      <w:r w:rsidR="00372F40" w:rsidRPr="002349A8">
        <w:rPr>
          <w:b/>
        </w:rPr>
        <w:fldChar w:fldCharType="end"/>
      </w:r>
      <w:r w:rsidR="006A2505" w:rsidRPr="002349A8">
        <w:t xml:space="preserve">, </w:t>
      </w:r>
      <w:r w:rsidR="00104A81" w:rsidRPr="002349A8">
        <w:t>broj pr</w:t>
      </w:r>
      <w:r w:rsidR="00372F40" w:rsidRPr="002349A8">
        <w:t>ijeđenih kilometara</w:t>
      </w:r>
      <w:r w:rsidR="006A2505" w:rsidRPr="002349A8">
        <w:t xml:space="preserve"> u tisućama u autobusnom javnom prijevozu</w:t>
      </w:r>
      <w:r w:rsidRPr="002349A8">
        <w:t xml:space="preserve"> na </w:t>
      </w:r>
      <w:r w:rsidR="000260F5" w:rsidRPr="002349A8">
        <w:rPr>
          <w:b/>
        </w:rPr>
        <w:fldChar w:fldCharType="begin"/>
      </w:r>
      <w:r w:rsidR="000260F5" w:rsidRPr="002349A8">
        <w:rPr>
          <w:b/>
        </w:rPr>
        <w:instrText xml:space="preserve"> REF _Ref463531652 \h  \* MERGEFORMAT </w:instrText>
      </w:r>
      <w:r w:rsidR="000260F5" w:rsidRPr="002349A8">
        <w:rPr>
          <w:b/>
        </w:rPr>
      </w:r>
      <w:r w:rsidR="000260F5" w:rsidRPr="002349A8">
        <w:rPr>
          <w:b/>
        </w:rPr>
        <w:fldChar w:fldCharType="separate"/>
      </w:r>
      <w:r w:rsidR="00F63613">
        <w:rPr>
          <w:rFonts w:eastAsia="Times New Roman" w:cs="Times New Roman"/>
          <w:b/>
          <w:iCs/>
        </w:rPr>
        <w:t>Slici</w:t>
      </w:r>
      <w:r w:rsidR="009C319B" w:rsidRPr="002349A8">
        <w:rPr>
          <w:rFonts w:eastAsia="Times New Roman" w:cs="Times New Roman"/>
          <w:b/>
          <w:iCs/>
        </w:rPr>
        <w:t xml:space="preserve"> </w:t>
      </w:r>
      <w:r w:rsidR="009C319B">
        <w:rPr>
          <w:rFonts w:eastAsia="Times New Roman" w:cs="Times New Roman"/>
          <w:b/>
          <w:iCs/>
          <w:noProof/>
        </w:rPr>
        <w:t>5</w:t>
      </w:r>
      <w:r w:rsidR="009C319B" w:rsidRPr="002349A8">
        <w:rPr>
          <w:rFonts w:eastAsia="Times New Roman" w:cs="Times New Roman"/>
          <w:b/>
          <w:iCs/>
          <w:noProof/>
        </w:rPr>
        <w:t>.</w:t>
      </w:r>
      <w:r w:rsidR="009C319B">
        <w:rPr>
          <w:rFonts w:eastAsia="Times New Roman" w:cs="Times New Roman"/>
          <w:b/>
          <w:iCs/>
          <w:noProof/>
        </w:rPr>
        <w:t>11</w:t>
      </w:r>
      <w:r w:rsidR="000260F5" w:rsidRPr="002349A8">
        <w:rPr>
          <w:b/>
        </w:rPr>
        <w:fldChar w:fldCharType="end"/>
      </w:r>
      <w:r w:rsidR="006A2505" w:rsidRPr="002349A8">
        <w:rPr>
          <w:b/>
        </w:rPr>
        <w:t xml:space="preserve">, </w:t>
      </w:r>
      <w:r w:rsidR="000260F5" w:rsidRPr="002349A8">
        <w:t>k</w:t>
      </w:r>
      <w:r w:rsidR="00104A81" w:rsidRPr="002349A8">
        <w:t xml:space="preserve">retanje broja prevezenih putnika po </w:t>
      </w:r>
      <w:r w:rsidR="006A2505" w:rsidRPr="002349A8">
        <w:t xml:space="preserve">kilometru </w:t>
      </w:r>
      <w:r w:rsidRPr="002349A8">
        <w:t xml:space="preserve">na </w:t>
      </w:r>
      <w:r w:rsidR="006A2505" w:rsidRPr="002349A8">
        <w:rPr>
          <w:b/>
        </w:rPr>
        <w:fldChar w:fldCharType="begin"/>
      </w:r>
      <w:r w:rsidR="006A2505" w:rsidRPr="002349A8">
        <w:rPr>
          <w:b/>
        </w:rPr>
        <w:instrText xml:space="preserve"> REF _Ref463531814 \h  \* MERGEFORMAT </w:instrText>
      </w:r>
      <w:r w:rsidR="006A2505" w:rsidRPr="002349A8">
        <w:rPr>
          <w:b/>
        </w:rPr>
      </w:r>
      <w:r w:rsidR="006A2505" w:rsidRPr="002349A8">
        <w:rPr>
          <w:b/>
        </w:rPr>
        <w:fldChar w:fldCharType="separate"/>
      </w:r>
      <w:r w:rsidR="00F63613">
        <w:rPr>
          <w:rFonts w:eastAsia="Times New Roman" w:cs="Times New Roman"/>
          <w:b/>
          <w:iCs/>
        </w:rPr>
        <w:t>Slici</w:t>
      </w:r>
      <w:r w:rsidR="009C319B" w:rsidRPr="002349A8">
        <w:rPr>
          <w:rFonts w:eastAsia="Times New Roman" w:cs="Times New Roman"/>
          <w:b/>
          <w:iCs/>
        </w:rPr>
        <w:t xml:space="preserve"> </w:t>
      </w:r>
      <w:r w:rsidR="009C319B">
        <w:rPr>
          <w:rFonts w:eastAsia="Times New Roman" w:cs="Times New Roman"/>
          <w:b/>
          <w:iCs/>
          <w:noProof/>
        </w:rPr>
        <w:t>5</w:t>
      </w:r>
      <w:r w:rsidR="009C319B" w:rsidRPr="002349A8">
        <w:rPr>
          <w:rFonts w:eastAsia="Times New Roman" w:cs="Times New Roman"/>
          <w:b/>
          <w:iCs/>
          <w:noProof/>
        </w:rPr>
        <w:t>.</w:t>
      </w:r>
      <w:r w:rsidR="009C319B">
        <w:rPr>
          <w:rFonts w:eastAsia="Times New Roman" w:cs="Times New Roman"/>
          <w:b/>
          <w:iCs/>
          <w:noProof/>
        </w:rPr>
        <w:t>12</w:t>
      </w:r>
      <w:r w:rsidR="006A2505" w:rsidRPr="002349A8">
        <w:rPr>
          <w:b/>
        </w:rPr>
        <w:fldChar w:fldCharType="end"/>
      </w:r>
      <w:r w:rsidR="000260F5" w:rsidRPr="002349A8">
        <w:t xml:space="preserve"> te</w:t>
      </w:r>
      <w:r w:rsidR="00104A81" w:rsidRPr="002349A8">
        <w:t xml:space="preserve"> kretanje broja raspoloživih mjesta u autobu</w:t>
      </w:r>
      <w:r w:rsidR="000260F5" w:rsidRPr="002349A8">
        <w:t xml:space="preserve">snom prijevozu </w:t>
      </w:r>
      <w:r w:rsidRPr="002349A8">
        <w:t xml:space="preserve">na </w:t>
      </w:r>
      <w:r w:rsidR="006A2505" w:rsidRPr="002349A8">
        <w:rPr>
          <w:b/>
        </w:rPr>
        <w:fldChar w:fldCharType="begin"/>
      </w:r>
      <w:r w:rsidR="006A2505" w:rsidRPr="002349A8">
        <w:rPr>
          <w:b/>
        </w:rPr>
        <w:instrText xml:space="preserve"> REF _Ref463532247 \h  \* MERGEFORMAT </w:instrText>
      </w:r>
      <w:r w:rsidR="006A2505" w:rsidRPr="002349A8">
        <w:rPr>
          <w:b/>
        </w:rPr>
      </w:r>
      <w:r w:rsidR="006A2505" w:rsidRPr="002349A8">
        <w:rPr>
          <w:b/>
        </w:rPr>
        <w:fldChar w:fldCharType="separate"/>
      </w:r>
      <w:r w:rsidR="00F63613">
        <w:rPr>
          <w:rFonts w:eastAsia="Times New Roman" w:cs="Times New Roman"/>
          <w:b/>
          <w:iCs/>
        </w:rPr>
        <w:t>Slici</w:t>
      </w:r>
      <w:r w:rsidR="009C319B" w:rsidRPr="009C319B">
        <w:rPr>
          <w:rFonts w:eastAsia="Times New Roman" w:cs="Times New Roman"/>
          <w:b/>
          <w:iCs/>
        </w:rPr>
        <w:t xml:space="preserve"> </w:t>
      </w:r>
      <w:r w:rsidR="009C319B" w:rsidRPr="009C319B">
        <w:rPr>
          <w:rFonts w:eastAsia="Times New Roman" w:cs="Times New Roman"/>
          <w:b/>
          <w:iCs/>
          <w:noProof/>
        </w:rPr>
        <w:t>5.13</w:t>
      </w:r>
      <w:r w:rsidR="006A2505" w:rsidRPr="002349A8">
        <w:rPr>
          <w:b/>
        </w:rPr>
        <w:fldChar w:fldCharType="end"/>
      </w:r>
      <w:r w:rsidR="00104A81" w:rsidRPr="002349A8">
        <w:t>.</w:t>
      </w:r>
    </w:p>
    <w:p w14:paraId="7B6B6530" w14:textId="77777777" w:rsidR="00104A81" w:rsidRPr="002349A8" w:rsidRDefault="00104A81" w:rsidP="00E92750">
      <w:pPr>
        <w:spacing w:after="0" w:line="240" w:lineRule="auto"/>
        <w:jc w:val="center"/>
        <w:rPr>
          <w:rFonts w:ascii="Century Gothic" w:hAnsi="Century Gothic"/>
          <w:noProof/>
          <w:lang w:eastAsia="hr-HR"/>
        </w:rPr>
      </w:pPr>
      <w:r w:rsidRPr="002349A8">
        <w:rPr>
          <w:noProof/>
          <w:lang w:eastAsia="hr-HR"/>
        </w:rPr>
        <w:lastRenderedPageBreak/>
        <w:drawing>
          <wp:inline distT="0" distB="0" distL="0" distR="0" wp14:anchorId="71846B13" wp14:editId="06FD7FE1">
            <wp:extent cx="5438692" cy="3013544"/>
            <wp:effectExtent l="0" t="0" r="0" b="0"/>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215E38A" w14:textId="705C672A" w:rsidR="00104A81" w:rsidRPr="002349A8" w:rsidRDefault="00104A81" w:rsidP="00E92750">
      <w:pPr>
        <w:spacing w:after="240" w:line="240" w:lineRule="auto"/>
        <w:jc w:val="center"/>
      </w:pPr>
      <w:bookmarkStart w:id="195" w:name="_Ref463531372"/>
      <w:bookmarkStart w:id="196" w:name="_Toc258239035"/>
      <w:bookmarkStart w:id="197" w:name="_Toc468277446"/>
      <w:r w:rsidRPr="002349A8">
        <w:rPr>
          <w:b/>
        </w:rPr>
        <w:t xml:space="preserve">Slika </w:t>
      </w:r>
      <w:r w:rsidRPr="002349A8">
        <w:rPr>
          <w:b/>
        </w:rPr>
        <w:fldChar w:fldCharType="begin"/>
      </w:r>
      <w:r w:rsidRPr="002349A8">
        <w:rPr>
          <w:b/>
        </w:rPr>
        <w:instrText xml:space="preserve"> STYLEREF 1 \s </w:instrText>
      </w:r>
      <w:r w:rsidRPr="002349A8">
        <w:rPr>
          <w:b/>
        </w:rPr>
        <w:fldChar w:fldCharType="separate"/>
      </w:r>
      <w:r w:rsidR="009C319B">
        <w:rPr>
          <w:b/>
          <w:noProof/>
        </w:rPr>
        <w:t>5</w:t>
      </w:r>
      <w:r w:rsidRPr="002349A8">
        <w:rPr>
          <w:b/>
          <w:noProof/>
        </w:rPr>
        <w:fldChar w:fldCharType="end"/>
      </w:r>
      <w:r w:rsidRPr="002349A8">
        <w:rPr>
          <w:b/>
        </w:rPr>
        <w:t>.</w:t>
      </w:r>
      <w:r w:rsidRPr="002349A8">
        <w:rPr>
          <w:b/>
        </w:rPr>
        <w:fldChar w:fldCharType="begin"/>
      </w:r>
      <w:r w:rsidRPr="002349A8">
        <w:rPr>
          <w:b/>
        </w:rPr>
        <w:instrText xml:space="preserve"> SEQ Slika \* ARABIC \s 1 </w:instrText>
      </w:r>
      <w:r w:rsidRPr="002349A8">
        <w:rPr>
          <w:b/>
        </w:rPr>
        <w:fldChar w:fldCharType="separate"/>
      </w:r>
      <w:r w:rsidR="009C319B">
        <w:rPr>
          <w:b/>
          <w:noProof/>
        </w:rPr>
        <w:t>10</w:t>
      </w:r>
      <w:r w:rsidRPr="002349A8">
        <w:rPr>
          <w:b/>
          <w:noProof/>
        </w:rPr>
        <w:fldChar w:fldCharType="end"/>
      </w:r>
      <w:bookmarkEnd w:id="195"/>
      <w:r w:rsidRPr="002349A8">
        <w:rPr>
          <w:b/>
          <w:noProof/>
        </w:rPr>
        <w:t xml:space="preserve"> </w:t>
      </w:r>
      <w:r w:rsidRPr="002349A8">
        <w:t>Broj prevezenih putnika</w:t>
      </w:r>
      <w:r w:rsidR="00372F40" w:rsidRPr="002349A8">
        <w:t xml:space="preserve"> u tisućama</w:t>
      </w:r>
      <w:r w:rsidRPr="002349A8">
        <w:t xml:space="preserve"> u autobusnom prijevozu u </w:t>
      </w:r>
      <w:r w:rsidR="00372F40" w:rsidRPr="002349A8">
        <w:t xml:space="preserve">vremenskom periodu </w:t>
      </w:r>
      <w:r w:rsidRPr="002349A8">
        <w:t>od 2009. do 2015. godine</w:t>
      </w:r>
      <w:bookmarkEnd w:id="196"/>
      <w:bookmarkEnd w:id="197"/>
    </w:p>
    <w:p w14:paraId="58F61106" w14:textId="114BCC6B" w:rsidR="00256E75" w:rsidRPr="002349A8" w:rsidRDefault="00104A81" w:rsidP="00E92750">
      <w:pPr>
        <w:spacing w:after="0" w:line="240" w:lineRule="auto"/>
        <w:jc w:val="center"/>
        <w:rPr>
          <w:rFonts w:ascii="Century Gothic" w:hAnsi="Century Gothic"/>
        </w:rPr>
      </w:pPr>
      <w:r w:rsidRPr="002349A8">
        <w:rPr>
          <w:noProof/>
          <w:lang w:eastAsia="hr-HR"/>
        </w:rPr>
        <w:drawing>
          <wp:inline distT="0" distB="0" distL="0" distR="0" wp14:anchorId="03AF0D98" wp14:editId="30D152E4">
            <wp:extent cx="5430741" cy="3196424"/>
            <wp:effectExtent l="0" t="0" r="0" b="4445"/>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2F7F8C8" w14:textId="6ED0A180" w:rsidR="00104A81" w:rsidRPr="002349A8" w:rsidRDefault="00104A81" w:rsidP="00E92750">
      <w:pPr>
        <w:tabs>
          <w:tab w:val="left" w:pos="2684"/>
        </w:tabs>
        <w:spacing w:line="240" w:lineRule="auto"/>
        <w:jc w:val="center"/>
        <w:rPr>
          <w:rFonts w:eastAsia="Times New Roman" w:cs="Times New Roman"/>
          <w:iCs/>
        </w:rPr>
      </w:pPr>
      <w:bookmarkStart w:id="198" w:name="_Ref463531652"/>
      <w:bookmarkStart w:id="199" w:name="_Toc258239036"/>
      <w:bookmarkStart w:id="200" w:name="_Toc468277447"/>
      <w:r w:rsidRPr="002349A8">
        <w:rPr>
          <w:rFonts w:eastAsia="Times New Roman" w:cs="Times New Roman"/>
          <w:b/>
          <w:iCs/>
        </w:rPr>
        <w:t xml:space="preserve">Slika </w:t>
      </w:r>
      <w:r w:rsidRPr="002349A8">
        <w:rPr>
          <w:rFonts w:eastAsia="Times New Roman" w:cs="Times New Roman"/>
          <w:b/>
          <w:iCs/>
        </w:rPr>
        <w:fldChar w:fldCharType="begin"/>
      </w:r>
      <w:r w:rsidRPr="002349A8">
        <w:rPr>
          <w:rFonts w:eastAsia="Times New Roman" w:cs="Times New Roman"/>
          <w:b/>
          <w:iCs/>
        </w:rPr>
        <w:instrText xml:space="preserve"> STYLEREF 1 \s </w:instrText>
      </w:r>
      <w:r w:rsidRPr="002349A8">
        <w:rPr>
          <w:rFonts w:eastAsia="Times New Roman" w:cs="Times New Roman"/>
          <w:b/>
          <w:iCs/>
        </w:rPr>
        <w:fldChar w:fldCharType="separate"/>
      </w:r>
      <w:r w:rsidR="009C319B">
        <w:rPr>
          <w:rFonts w:eastAsia="Times New Roman" w:cs="Times New Roman"/>
          <w:b/>
          <w:iCs/>
          <w:noProof/>
        </w:rPr>
        <w:t>5</w:t>
      </w:r>
      <w:r w:rsidRPr="002349A8">
        <w:rPr>
          <w:rFonts w:eastAsia="Times New Roman" w:cs="Times New Roman"/>
          <w:b/>
          <w:iCs/>
          <w:noProof/>
        </w:rPr>
        <w:fldChar w:fldCharType="end"/>
      </w:r>
      <w:r w:rsidRPr="002349A8">
        <w:rPr>
          <w:rFonts w:eastAsia="Times New Roman" w:cs="Times New Roman"/>
          <w:b/>
          <w:iCs/>
        </w:rPr>
        <w:t>.</w:t>
      </w:r>
      <w:r w:rsidRPr="002349A8">
        <w:rPr>
          <w:rFonts w:eastAsia="Times New Roman" w:cs="Times New Roman"/>
          <w:b/>
          <w:iCs/>
        </w:rPr>
        <w:fldChar w:fldCharType="begin"/>
      </w:r>
      <w:r w:rsidRPr="002349A8">
        <w:rPr>
          <w:rFonts w:eastAsia="Times New Roman" w:cs="Times New Roman"/>
          <w:b/>
          <w:iCs/>
        </w:rPr>
        <w:instrText xml:space="preserve"> SEQ Slika \* ARABIC \s 1 </w:instrText>
      </w:r>
      <w:r w:rsidRPr="002349A8">
        <w:rPr>
          <w:rFonts w:eastAsia="Times New Roman" w:cs="Times New Roman"/>
          <w:b/>
          <w:iCs/>
        </w:rPr>
        <w:fldChar w:fldCharType="separate"/>
      </w:r>
      <w:r w:rsidR="009C319B">
        <w:rPr>
          <w:rFonts w:eastAsia="Times New Roman" w:cs="Times New Roman"/>
          <w:b/>
          <w:iCs/>
          <w:noProof/>
        </w:rPr>
        <w:t>11</w:t>
      </w:r>
      <w:r w:rsidRPr="002349A8">
        <w:rPr>
          <w:rFonts w:eastAsia="Times New Roman" w:cs="Times New Roman"/>
          <w:b/>
          <w:iCs/>
          <w:noProof/>
        </w:rPr>
        <w:fldChar w:fldCharType="end"/>
      </w:r>
      <w:bookmarkEnd w:id="198"/>
      <w:r w:rsidRPr="002349A8">
        <w:rPr>
          <w:rFonts w:eastAsia="Times New Roman" w:cs="Times New Roman"/>
          <w:b/>
          <w:iCs/>
          <w:noProof/>
        </w:rPr>
        <w:t xml:space="preserve"> </w:t>
      </w:r>
      <w:r w:rsidRPr="002349A8">
        <w:rPr>
          <w:rFonts w:eastAsia="Times New Roman" w:cs="Times New Roman"/>
          <w:iCs/>
        </w:rPr>
        <w:t xml:space="preserve">Prijeđeni kilometri </w:t>
      </w:r>
      <w:r w:rsidR="000260F5" w:rsidRPr="002349A8">
        <w:rPr>
          <w:rFonts w:eastAsia="Times New Roman" w:cs="Times New Roman"/>
          <w:iCs/>
        </w:rPr>
        <w:t xml:space="preserve">u tisućama </w:t>
      </w:r>
      <w:r w:rsidRPr="002349A8">
        <w:rPr>
          <w:rFonts w:eastAsia="Times New Roman" w:cs="Times New Roman"/>
          <w:iCs/>
        </w:rPr>
        <w:t>u autobusnom prijevozu u razdoblju od 2009. do 2015. godine</w:t>
      </w:r>
      <w:bookmarkEnd w:id="199"/>
      <w:bookmarkEnd w:id="200"/>
    </w:p>
    <w:p w14:paraId="356447B6" w14:textId="77777777" w:rsidR="00104A81" w:rsidRPr="002349A8" w:rsidRDefault="00104A81" w:rsidP="00E92750">
      <w:pPr>
        <w:spacing w:after="0" w:line="240" w:lineRule="auto"/>
        <w:jc w:val="center"/>
        <w:rPr>
          <w:noProof/>
          <w:lang w:eastAsia="hr-HR"/>
        </w:rPr>
      </w:pPr>
      <w:r w:rsidRPr="002349A8">
        <w:rPr>
          <w:noProof/>
          <w:lang w:eastAsia="hr-HR"/>
        </w:rPr>
        <w:lastRenderedPageBreak/>
        <w:drawing>
          <wp:inline distT="0" distB="0" distL="0" distR="0" wp14:anchorId="11B21628" wp14:editId="5A31C7B2">
            <wp:extent cx="5390984" cy="3077155"/>
            <wp:effectExtent l="0" t="0" r="635" b="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31FD467" w14:textId="058591C5" w:rsidR="00104A81" w:rsidRPr="002349A8" w:rsidRDefault="00104A81" w:rsidP="00E92750">
      <w:pPr>
        <w:keepNext/>
        <w:keepLines/>
        <w:spacing w:after="240" w:line="240" w:lineRule="auto"/>
        <w:ind w:left="1151" w:hanging="1151"/>
        <w:jc w:val="center"/>
        <w:outlineLvl w:val="5"/>
        <w:rPr>
          <w:rFonts w:eastAsia="Times New Roman" w:cs="Times New Roman"/>
          <w:iCs/>
        </w:rPr>
      </w:pPr>
      <w:bookmarkStart w:id="201" w:name="_Ref463531814"/>
      <w:bookmarkStart w:id="202" w:name="_Toc258239037"/>
      <w:bookmarkStart w:id="203" w:name="_Toc468277448"/>
      <w:r w:rsidRPr="002349A8">
        <w:rPr>
          <w:rFonts w:eastAsia="Times New Roman" w:cs="Times New Roman"/>
          <w:b/>
          <w:iCs/>
        </w:rPr>
        <w:t xml:space="preserve">Slika </w:t>
      </w:r>
      <w:r w:rsidRPr="002349A8">
        <w:rPr>
          <w:rFonts w:eastAsia="Times New Roman" w:cs="Times New Roman"/>
          <w:b/>
          <w:iCs/>
        </w:rPr>
        <w:fldChar w:fldCharType="begin"/>
      </w:r>
      <w:r w:rsidRPr="002349A8">
        <w:rPr>
          <w:rFonts w:eastAsia="Times New Roman" w:cs="Times New Roman"/>
          <w:b/>
          <w:iCs/>
        </w:rPr>
        <w:instrText xml:space="preserve"> STYLEREF 1 \s </w:instrText>
      </w:r>
      <w:r w:rsidRPr="002349A8">
        <w:rPr>
          <w:rFonts w:eastAsia="Times New Roman" w:cs="Times New Roman"/>
          <w:b/>
          <w:iCs/>
        </w:rPr>
        <w:fldChar w:fldCharType="separate"/>
      </w:r>
      <w:r w:rsidR="009C319B">
        <w:rPr>
          <w:rFonts w:eastAsia="Times New Roman" w:cs="Times New Roman"/>
          <w:b/>
          <w:iCs/>
          <w:noProof/>
        </w:rPr>
        <w:t>5</w:t>
      </w:r>
      <w:r w:rsidRPr="002349A8">
        <w:rPr>
          <w:rFonts w:eastAsia="Times New Roman" w:cs="Times New Roman"/>
          <w:b/>
          <w:iCs/>
          <w:noProof/>
        </w:rPr>
        <w:fldChar w:fldCharType="end"/>
      </w:r>
      <w:r w:rsidRPr="002349A8">
        <w:rPr>
          <w:rFonts w:eastAsia="Times New Roman" w:cs="Times New Roman"/>
          <w:b/>
          <w:iCs/>
        </w:rPr>
        <w:t>.</w:t>
      </w:r>
      <w:r w:rsidRPr="002349A8">
        <w:rPr>
          <w:rFonts w:eastAsia="Times New Roman" w:cs="Times New Roman"/>
          <w:b/>
          <w:iCs/>
        </w:rPr>
        <w:fldChar w:fldCharType="begin"/>
      </w:r>
      <w:r w:rsidRPr="002349A8">
        <w:rPr>
          <w:rFonts w:eastAsia="Times New Roman" w:cs="Times New Roman"/>
          <w:b/>
          <w:iCs/>
        </w:rPr>
        <w:instrText xml:space="preserve"> SEQ Slika \* ARABIC \s 1 </w:instrText>
      </w:r>
      <w:r w:rsidRPr="002349A8">
        <w:rPr>
          <w:rFonts w:eastAsia="Times New Roman" w:cs="Times New Roman"/>
          <w:b/>
          <w:iCs/>
        </w:rPr>
        <w:fldChar w:fldCharType="separate"/>
      </w:r>
      <w:r w:rsidR="009C319B">
        <w:rPr>
          <w:rFonts w:eastAsia="Times New Roman" w:cs="Times New Roman"/>
          <w:b/>
          <w:iCs/>
          <w:noProof/>
        </w:rPr>
        <w:t>12</w:t>
      </w:r>
      <w:r w:rsidRPr="002349A8">
        <w:rPr>
          <w:rFonts w:eastAsia="Times New Roman" w:cs="Times New Roman"/>
          <w:b/>
          <w:iCs/>
          <w:noProof/>
        </w:rPr>
        <w:fldChar w:fldCharType="end"/>
      </w:r>
      <w:bookmarkEnd w:id="201"/>
      <w:r w:rsidRPr="002349A8">
        <w:rPr>
          <w:rFonts w:eastAsia="Times New Roman" w:cs="Times New Roman"/>
          <w:b/>
          <w:iCs/>
          <w:noProof/>
        </w:rPr>
        <w:t xml:space="preserve"> </w:t>
      </w:r>
      <w:r w:rsidRPr="002349A8">
        <w:rPr>
          <w:rFonts w:eastAsia="Times New Roman" w:cs="Times New Roman"/>
          <w:iCs/>
        </w:rPr>
        <w:t xml:space="preserve">Broj prevezenih putnika u autobusnom prijevozu po kilometru u </w:t>
      </w:r>
      <w:r w:rsidR="00446BCE" w:rsidRPr="002349A8">
        <w:rPr>
          <w:rFonts w:eastAsia="Times New Roman" w:cs="Times New Roman"/>
          <w:iCs/>
        </w:rPr>
        <w:t>vremenskom periodu od 2009. do 2015</w:t>
      </w:r>
      <w:r w:rsidRPr="002349A8">
        <w:rPr>
          <w:rFonts w:eastAsia="Times New Roman" w:cs="Times New Roman"/>
          <w:iCs/>
        </w:rPr>
        <w:t>. godine</w:t>
      </w:r>
      <w:bookmarkEnd w:id="202"/>
      <w:bookmarkEnd w:id="203"/>
    </w:p>
    <w:p w14:paraId="4B249C85" w14:textId="77777777" w:rsidR="00104A81" w:rsidRPr="002349A8" w:rsidRDefault="00104A81" w:rsidP="00E02087">
      <w:pPr>
        <w:spacing w:after="0" w:line="240" w:lineRule="auto"/>
        <w:jc w:val="center"/>
        <w:rPr>
          <w:rFonts w:ascii="Century Gothic" w:eastAsia="Calibri" w:hAnsi="Century Gothic" w:cs="Times New Roman"/>
          <w:noProof/>
          <w:lang w:eastAsia="hr-HR"/>
        </w:rPr>
      </w:pPr>
      <w:r w:rsidRPr="002349A8">
        <w:rPr>
          <w:rFonts w:ascii="Arial" w:eastAsia="Calibri" w:hAnsi="Arial" w:cs="Times New Roman"/>
          <w:noProof/>
          <w:szCs w:val="20"/>
          <w:lang w:eastAsia="hr-HR"/>
        </w:rPr>
        <w:drawing>
          <wp:inline distT="0" distB="0" distL="0" distR="0" wp14:anchorId="7FAE55E5" wp14:editId="5A8BB37A">
            <wp:extent cx="5215738" cy="3116275"/>
            <wp:effectExtent l="0" t="0" r="4445" b="825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6957940" w14:textId="1571886D" w:rsidR="00104A81" w:rsidRPr="002349A8" w:rsidRDefault="00104A81" w:rsidP="00E02087">
      <w:pPr>
        <w:spacing w:line="240" w:lineRule="auto"/>
        <w:jc w:val="center"/>
      </w:pPr>
      <w:bookmarkStart w:id="204" w:name="_Ref463532247"/>
      <w:bookmarkStart w:id="205" w:name="_Toc258239038"/>
      <w:bookmarkStart w:id="206" w:name="_Toc468277449"/>
      <w:r w:rsidRPr="002349A8">
        <w:rPr>
          <w:b/>
        </w:rPr>
        <w:t xml:space="preserve">Slika </w:t>
      </w:r>
      <w:r w:rsidRPr="002349A8">
        <w:rPr>
          <w:b/>
        </w:rPr>
        <w:fldChar w:fldCharType="begin"/>
      </w:r>
      <w:r w:rsidRPr="002349A8">
        <w:rPr>
          <w:b/>
        </w:rPr>
        <w:instrText xml:space="preserve"> STYLEREF 1 \s </w:instrText>
      </w:r>
      <w:r w:rsidRPr="002349A8">
        <w:rPr>
          <w:b/>
        </w:rPr>
        <w:fldChar w:fldCharType="separate"/>
      </w:r>
      <w:r w:rsidR="009C319B">
        <w:rPr>
          <w:b/>
          <w:noProof/>
        </w:rPr>
        <w:t>5</w:t>
      </w:r>
      <w:r w:rsidRPr="002349A8">
        <w:rPr>
          <w:b/>
          <w:noProof/>
        </w:rPr>
        <w:fldChar w:fldCharType="end"/>
      </w:r>
      <w:r w:rsidRPr="002349A8">
        <w:rPr>
          <w:b/>
        </w:rPr>
        <w:t>.</w:t>
      </w:r>
      <w:r w:rsidRPr="002349A8">
        <w:rPr>
          <w:b/>
        </w:rPr>
        <w:fldChar w:fldCharType="begin"/>
      </w:r>
      <w:r w:rsidRPr="002349A8">
        <w:rPr>
          <w:b/>
        </w:rPr>
        <w:instrText xml:space="preserve"> SEQ Slika \* ARABIC \s 1 </w:instrText>
      </w:r>
      <w:r w:rsidRPr="002349A8">
        <w:rPr>
          <w:b/>
        </w:rPr>
        <w:fldChar w:fldCharType="separate"/>
      </w:r>
      <w:r w:rsidR="009C319B">
        <w:rPr>
          <w:b/>
          <w:noProof/>
        </w:rPr>
        <w:t>13</w:t>
      </w:r>
      <w:r w:rsidRPr="002349A8">
        <w:rPr>
          <w:b/>
          <w:noProof/>
        </w:rPr>
        <w:fldChar w:fldCharType="end"/>
      </w:r>
      <w:bookmarkEnd w:id="204"/>
      <w:r w:rsidRPr="002349A8">
        <w:rPr>
          <w:b/>
          <w:noProof/>
        </w:rPr>
        <w:t xml:space="preserve"> </w:t>
      </w:r>
      <w:r w:rsidR="00E02087">
        <w:t>Broj</w:t>
      </w:r>
      <w:r w:rsidRPr="002349A8">
        <w:t xml:space="preserve"> raspoloživih mjesta u autobusnom prijevozu u </w:t>
      </w:r>
      <w:r w:rsidR="00A60743" w:rsidRPr="002349A8">
        <w:t>vremenskom periodu</w:t>
      </w:r>
      <w:r w:rsidRPr="002349A8">
        <w:t xml:space="preserve"> od 2009. do 2015. godine</w:t>
      </w:r>
      <w:bookmarkEnd w:id="205"/>
      <w:bookmarkEnd w:id="206"/>
    </w:p>
    <w:p w14:paraId="63C82219" w14:textId="77777777" w:rsidR="00184348" w:rsidRPr="007C7920" w:rsidRDefault="00184348" w:rsidP="00E92750">
      <w:pPr>
        <w:spacing w:line="240" w:lineRule="auto"/>
        <w:rPr>
          <w:highlight w:val="yellow"/>
        </w:rPr>
      </w:pPr>
    </w:p>
    <w:p w14:paraId="4C35B2C0" w14:textId="77777777" w:rsidR="006C6605" w:rsidRPr="007C7920" w:rsidRDefault="006C6605" w:rsidP="00E92750">
      <w:pPr>
        <w:spacing w:line="240" w:lineRule="auto"/>
        <w:rPr>
          <w:highlight w:val="yellow"/>
        </w:rPr>
      </w:pPr>
    </w:p>
    <w:p w14:paraId="431760AB" w14:textId="77777777" w:rsidR="006C6605" w:rsidRPr="007C7920" w:rsidRDefault="006C6605" w:rsidP="00E92750">
      <w:pPr>
        <w:spacing w:line="240" w:lineRule="auto"/>
        <w:rPr>
          <w:highlight w:val="yellow"/>
        </w:rPr>
      </w:pPr>
    </w:p>
    <w:p w14:paraId="72E44FB1" w14:textId="77777777" w:rsidR="006C6605" w:rsidRPr="007C7920" w:rsidRDefault="006C6605" w:rsidP="00E92750">
      <w:pPr>
        <w:spacing w:line="240" w:lineRule="auto"/>
        <w:rPr>
          <w:highlight w:val="yellow"/>
        </w:rPr>
      </w:pPr>
    </w:p>
    <w:p w14:paraId="0670DDBA" w14:textId="742FBB37" w:rsidR="001C1906" w:rsidRPr="001A10CE" w:rsidRDefault="001C1906" w:rsidP="00E92750">
      <w:pPr>
        <w:pStyle w:val="Heading4"/>
        <w:spacing w:after="240" w:line="240" w:lineRule="auto"/>
        <w:ind w:left="862" w:hanging="862"/>
        <w:contextualSpacing w:val="0"/>
        <w:rPr>
          <w:rFonts w:asciiTheme="minorHAnsi" w:hAnsiTheme="minorHAnsi"/>
          <w:sz w:val="22"/>
        </w:rPr>
      </w:pPr>
      <w:bookmarkStart w:id="207" w:name="_Toc468345370"/>
      <w:r w:rsidRPr="001A10CE">
        <w:rPr>
          <w:rFonts w:asciiTheme="minorHAnsi" w:hAnsiTheme="minorHAnsi"/>
          <w:sz w:val="22"/>
        </w:rPr>
        <w:lastRenderedPageBreak/>
        <w:t>Ostali javni prijevoz uspinjačom i specijaliziranim vozilima</w:t>
      </w:r>
      <w:bookmarkEnd w:id="207"/>
    </w:p>
    <w:p w14:paraId="1062189A" w14:textId="003379EA" w:rsidR="00104A81" w:rsidRPr="001A10CE" w:rsidRDefault="00104A81" w:rsidP="00E92750">
      <w:pPr>
        <w:spacing w:line="240" w:lineRule="auto"/>
        <w:jc w:val="both"/>
      </w:pPr>
      <w:r w:rsidRPr="001A10CE">
        <w:t>Prijevoz osoba s invaliditetom odvija se specijaliziranim vozilima kojima se svakodnevno prevoze osobe s invaliditetom i djeca s teškoćama u razvoju na posao, fakultete, u školu, na rekreaciju i radnu terapiju. Za prijevoz osoba s inv</w:t>
      </w:r>
      <w:r w:rsidR="00891FA2" w:rsidRPr="001A10CE">
        <w:t>aliditetom na raspolaganju je 21 vozilo</w:t>
      </w:r>
      <w:r w:rsidRPr="001A10CE">
        <w:t>.</w:t>
      </w:r>
    </w:p>
    <w:p w14:paraId="1E567768" w14:textId="0DB4A4DE" w:rsidR="00104A81" w:rsidRPr="001A10CE" w:rsidRDefault="00104A81" w:rsidP="00E92750">
      <w:pPr>
        <w:spacing w:line="240" w:lineRule="auto"/>
        <w:jc w:val="both"/>
      </w:pPr>
      <w:r w:rsidRPr="001A10CE">
        <w:t xml:space="preserve">Školski prijevoz namijenjen je </w:t>
      </w:r>
      <w:r w:rsidRPr="001A10CE">
        <w:rPr>
          <w:rFonts w:eastAsia="Times New Roman" w:cs="Arial"/>
          <w:bCs/>
          <w:lang w:eastAsia="hr-HR"/>
        </w:rPr>
        <w:t>učenicima nižih razreda osnovnih škola kojima je pr</w:t>
      </w:r>
      <w:r w:rsidR="003E4941">
        <w:rPr>
          <w:rFonts w:eastAsia="Times New Roman" w:cs="Arial"/>
          <w:bCs/>
          <w:lang w:eastAsia="hr-HR"/>
        </w:rPr>
        <w:t>ebivalište udaljeno do tri</w:t>
      </w:r>
      <w:r w:rsidRPr="001A10CE">
        <w:rPr>
          <w:rFonts w:eastAsia="Times New Roman" w:cs="Arial"/>
          <w:bCs/>
          <w:lang w:eastAsia="hr-HR"/>
        </w:rPr>
        <w:t xml:space="preserve"> kilometra od obrazovn</w:t>
      </w:r>
      <w:r w:rsidR="003E4941">
        <w:rPr>
          <w:rFonts w:eastAsia="Times New Roman" w:cs="Arial"/>
          <w:bCs/>
          <w:lang w:eastAsia="hr-HR"/>
        </w:rPr>
        <w:t>e institucije, odnosno više od pet</w:t>
      </w:r>
      <w:r w:rsidRPr="001A10CE">
        <w:rPr>
          <w:rFonts w:eastAsia="Times New Roman" w:cs="Arial"/>
          <w:bCs/>
          <w:lang w:eastAsia="hr-HR"/>
        </w:rPr>
        <w:t xml:space="preserve"> km za učenike viših razreda.</w:t>
      </w:r>
      <w:r w:rsidR="00134EA8">
        <w:rPr>
          <w:rStyle w:val="FootnoteReference"/>
          <w:rFonts w:eastAsia="Times New Roman"/>
          <w:bCs/>
          <w:lang w:eastAsia="hr-HR"/>
        </w:rPr>
        <w:footnoteReference w:id="25"/>
      </w:r>
      <w:r w:rsidRPr="001A10CE">
        <w:rPr>
          <w:rFonts w:eastAsia="Times New Roman" w:cs="Arial"/>
          <w:b/>
          <w:bCs/>
          <w:lang w:eastAsia="hr-HR"/>
        </w:rPr>
        <w:t xml:space="preserve"> </w:t>
      </w:r>
      <w:r w:rsidRPr="001A10CE">
        <w:rPr>
          <w:rFonts w:eastAsia="Times New Roman" w:cs="Arial"/>
          <w:lang w:eastAsia="hr-HR"/>
        </w:rPr>
        <w:t>Na raspolaganju</w:t>
      </w:r>
      <w:r w:rsidR="00FD686A" w:rsidRPr="001A10CE">
        <w:rPr>
          <w:rFonts w:eastAsia="Times New Roman" w:cs="Arial"/>
          <w:lang w:eastAsia="hr-HR"/>
        </w:rPr>
        <w:t xml:space="preserve"> za prijevoz školske djece je 30</w:t>
      </w:r>
      <w:r w:rsidRPr="001A10CE">
        <w:rPr>
          <w:rFonts w:eastAsia="Times New Roman" w:cs="Arial"/>
          <w:lang w:eastAsia="hr-HR"/>
        </w:rPr>
        <w:t xml:space="preserve"> autobusa.</w:t>
      </w:r>
      <w:r w:rsidRPr="001A10CE">
        <w:t xml:space="preserve"> </w:t>
      </w:r>
      <w:r w:rsidRPr="001A10CE">
        <w:rPr>
          <w:rFonts w:eastAsia="Times New Roman" w:cs="Arial"/>
          <w:lang w:eastAsia="hr-HR"/>
        </w:rPr>
        <w:t>Prijevoz se organizira na temelju zahtjeva škola i Gradskog ureda za obrazovanje, kulturu i sport.</w:t>
      </w:r>
    </w:p>
    <w:p w14:paraId="762F91BE" w14:textId="7C2103DD" w:rsidR="00104A81" w:rsidRPr="001A10CE" w:rsidRDefault="00104A81" w:rsidP="00E92750">
      <w:pPr>
        <w:spacing w:before="225" w:line="240" w:lineRule="auto"/>
        <w:jc w:val="both"/>
        <w:rPr>
          <w:rFonts w:eastAsia="Times New Roman" w:cs="Arial"/>
          <w:lang w:eastAsia="hr-HR"/>
        </w:rPr>
      </w:pPr>
      <w:r w:rsidRPr="001A10CE">
        <w:rPr>
          <w:rFonts w:eastAsia="Times New Roman" w:cs="Arial"/>
          <w:lang w:eastAsia="hr-HR"/>
        </w:rPr>
        <w:t xml:space="preserve">Uspinjača za Gornji grad najstarije je prijevozno sredstvo organiziranoga javnog prijevoza putnika u </w:t>
      </w:r>
      <w:r w:rsidR="001C1906" w:rsidRPr="001A10CE">
        <w:rPr>
          <w:rFonts w:eastAsia="Times New Roman" w:cs="Arial"/>
          <w:lang w:eastAsia="hr-HR"/>
        </w:rPr>
        <w:t xml:space="preserve">Gradu </w:t>
      </w:r>
      <w:r w:rsidRPr="001A10CE">
        <w:rPr>
          <w:rFonts w:eastAsia="Times New Roman" w:cs="Arial"/>
          <w:lang w:eastAsia="hr-HR"/>
        </w:rPr>
        <w:t xml:space="preserve">Zagrebu. Uspinjača povezuje Donji grad sa Gornjim svakim radnim danom, subotom, nedjeljom i praznikom od 6 i 30 do 22 sata. </w:t>
      </w:r>
    </w:p>
    <w:p w14:paraId="19F7125F" w14:textId="1C3EC1AD" w:rsidR="00104A81" w:rsidRPr="001A10CE" w:rsidRDefault="00104A81" w:rsidP="00E92750">
      <w:pPr>
        <w:tabs>
          <w:tab w:val="left" w:pos="6225"/>
        </w:tabs>
        <w:spacing w:after="240" w:line="240" w:lineRule="auto"/>
        <w:jc w:val="both"/>
      </w:pPr>
      <w:r w:rsidRPr="001A10CE">
        <w:t>Turistički tramvaj, turistički panoramski autobusi i turistički vlakići namijenjeni su razgledavanju Grada</w:t>
      </w:r>
      <w:r w:rsidR="00CB47D4">
        <w:t xml:space="preserve"> Zagreba</w:t>
      </w:r>
      <w:r w:rsidRPr="001A10CE">
        <w:t xml:space="preserve">. </w:t>
      </w:r>
    </w:p>
    <w:p w14:paraId="10CFFC90" w14:textId="4E0EE0BD" w:rsidR="001C1906" w:rsidRPr="001A10CE" w:rsidRDefault="00104A81" w:rsidP="00E92750">
      <w:pPr>
        <w:pStyle w:val="Heading4"/>
        <w:spacing w:after="240" w:line="240" w:lineRule="auto"/>
        <w:ind w:left="862" w:hanging="862"/>
        <w:contextualSpacing w:val="0"/>
        <w:rPr>
          <w:rFonts w:asciiTheme="minorHAnsi" w:hAnsiTheme="minorHAnsi"/>
          <w:sz w:val="22"/>
        </w:rPr>
      </w:pPr>
      <w:bookmarkStart w:id="208" w:name="_Toc468345371"/>
      <w:r w:rsidRPr="001A10CE">
        <w:rPr>
          <w:rFonts w:asciiTheme="minorHAnsi" w:hAnsiTheme="minorHAnsi"/>
          <w:sz w:val="22"/>
        </w:rPr>
        <w:t xml:space="preserve">Potrošnja pojedinih tipova </w:t>
      </w:r>
      <w:r w:rsidR="001C1906" w:rsidRPr="001A10CE">
        <w:rPr>
          <w:rFonts w:asciiTheme="minorHAnsi" w:hAnsiTheme="minorHAnsi"/>
          <w:sz w:val="22"/>
        </w:rPr>
        <w:t>goriva ostalog javnog prijevoza uspinjačom i specijaliziranim vozilima</w:t>
      </w:r>
      <w:bookmarkEnd w:id="208"/>
    </w:p>
    <w:p w14:paraId="307CC563" w14:textId="1AADF09D" w:rsidR="00104A81" w:rsidRPr="001A10CE" w:rsidRDefault="00104A81" w:rsidP="00E92750">
      <w:pPr>
        <w:spacing w:after="240" w:line="240" w:lineRule="auto"/>
        <w:jc w:val="both"/>
      </w:pPr>
      <w:r w:rsidRPr="001A10CE">
        <w:t xml:space="preserve">U 2015. godini u </w:t>
      </w:r>
      <w:r w:rsidR="001C1906" w:rsidRPr="001A10CE">
        <w:t>ostalom javnom prijevozu uspinjačom i specijaliziranim vozilima</w:t>
      </w:r>
      <w:r w:rsidRPr="001A10CE">
        <w:t xml:space="preserve"> na područj</w:t>
      </w:r>
      <w:r w:rsidR="004072B7" w:rsidRPr="001A10CE">
        <w:t xml:space="preserve">u Grada Zagreba utrošeno je 335 </w:t>
      </w:r>
      <w:r w:rsidRPr="001A10CE">
        <w:t xml:space="preserve">236 litara dizelskog goriva </w:t>
      </w:r>
      <w:r w:rsidR="004072B7" w:rsidRPr="001A10CE">
        <w:t xml:space="preserve">i 23 </w:t>
      </w:r>
      <w:r w:rsidRPr="001A10CE">
        <w:t>280 kWh električne energije.</w:t>
      </w:r>
    </w:p>
    <w:p w14:paraId="3DAD4500" w14:textId="40640E2A" w:rsidR="00104A81" w:rsidRPr="001A10CE" w:rsidRDefault="00891FA2" w:rsidP="00E92750">
      <w:pPr>
        <w:spacing w:after="240" w:line="240" w:lineRule="auto"/>
        <w:jc w:val="both"/>
      </w:pPr>
      <w:r w:rsidRPr="001A10CE">
        <w:t xml:space="preserve">Prikaz </w:t>
      </w:r>
      <w:r w:rsidR="004072B7" w:rsidRPr="001A10CE">
        <w:t>broja prevezenih putnika u vremenskom periodu od</w:t>
      </w:r>
      <w:r w:rsidR="00104A81" w:rsidRPr="001A10CE">
        <w:t xml:space="preserve"> 2009.-2015. godine u</w:t>
      </w:r>
      <w:r w:rsidRPr="001A10CE">
        <w:t xml:space="preserve"> školskom prijevozu prikazan je na </w:t>
      </w:r>
      <w:r w:rsidR="004072B7" w:rsidRPr="001A10CE">
        <w:rPr>
          <w:b/>
        </w:rPr>
        <w:fldChar w:fldCharType="begin"/>
      </w:r>
      <w:r w:rsidR="004072B7" w:rsidRPr="001A10CE">
        <w:rPr>
          <w:b/>
        </w:rPr>
        <w:instrText xml:space="preserve"> REF _Ref463533544 \h  \* MERGEFORMAT </w:instrText>
      </w:r>
      <w:r w:rsidR="004072B7" w:rsidRPr="001A10CE">
        <w:rPr>
          <w:b/>
        </w:rPr>
      </w:r>
      <w:r w:rsidR="004072B7" w:rsidRPr="001A10CE">
        <w:rPr>
          <w:b/>
        </w:rPr>
        <w:fldChar w:fldCharType="separate"/>
      </w:r>
      <w:r w:rsidR="00205D8B">
        <w:rPr>
          <w:rFonts w:eastAsia="Times New Roman" w:cs="Times New Roman"/>
          <w:b/>
          <w:iCs/>
        </w:rPr>
        <w:t>Slici</w:t>
      </w:r>
      <w:r w:rsidR="009C319B" w:rsidRPr="001A10CE">
        <w:rPr>
          <w:rFonts w:eastAsia="Times New Roman" w:cs="Times New Roman"/>
          <w:b/>
          <w:iCs/>
        </w:rPr>
        <w:t xml:space="preserve"> </w:t>
      </w:r>
      <w:r w:rsidR="009C319B">
        <w:rPr>
          <w:rFonts w:eastAsia="Times New Roman" w:cs="Times New Roman"/>
          <w:b/>
          <w:iCs/>
          <w:noProof/>
        </w:rPr>
        <w:t>5</w:t>
      </w:r>
      <w:r w:rsidR="009C319B" w:rsidRPr="001A10CE">
        <w:rPr>
          <w:rFonts w:eastAsia="Times New Roman" w:cs="Times New Roman"/>
          <w:b/>
          <w:iCs/>
          <w:noProof/>
        </w:rPr>
        <w:t>.</w:t>
      </w:r>
      <w:r w:rsidR="009C319B">
        <w:rPr>
          <w:rFonts w:eastAsia="Times New Roman" w:cs="Times New Roman"/>
          <w:b/>
          <w:iCs/>
          <w:noProof/>
        </w:rPr>
        <w:t>14</w:t>
      </w:r>
      <w:r w:rsidR="004072B7" w:rsidRPr="001A10CE">
        <w:rPr>
          <w:b/>
        </w:rPr>
        <w:fldChar w:fldCharType="end"/>
      </w:r>
      <w:r w:rsidR="00104A81" w:rsidRPr="001A10CE">
        <w:t>,</w:t>
      </w:r>
      <w:r w:rsidR="004072B7" w:rsidRPr="001A10CE">
        <w:t xml:space="preserve"> zatim</w:t>
      </w:r>
      <w:r w:rsidR="00104A81" w:rsidRPr="001A10CE">
        <w:t xml:space="preserve"> broja prevezenih putnika uspinjačom </w:t>
      </w:r>
      <w:r w:rsidRPr="001A10CE">
        <w:t xml:space="preserve">na </w:t>
      </w:r>
      <w:r w:rsidR="004072B7" w:rsidRPr="001A10CE">
        <w:rPr>
          <w:b/>
        </w:rPr>
        <w:fldChar w:fldCharType="begin"/>
      </w:r>
      <w:r w:rsidR="004072B7" w:rsidRPr="001A10CE">
        <w:rPr>
          <w:b/>
        </w:rPr>
        <w:instrText xml:space="preserve"> REF _Ref463533671 \h  \* MERGEFORMAT </w:instrText>
      </w:r>
      <w:r w:rsidR="004072B7" w:rsidRPr="001A10CE">
        <w:rPr>
          <w:b/>
        </w:rPr>
      </w:r>
      <w:r w:rsidR="004072B7" w:rsidRPr="001A10CE">
        <w:rPr>
          <w:b/>
        </w:rPr>
        <w:fldChar w:fldCharType="separate"/>
      </w:r>
      <w:r w:rsidR="00205D8B">
        <w:rPr>
          <w:rFonts w:eastAsia="Times New Roman" w:cs="Times New Roman"/>
          <w:b/>
          <w:iCs/>
        </w:rPr>
        <w:t>Slici</w:t>
      </w:r>
      <w:r w:rsidR="009C319B" w:rsidRPr="001A10CE">
        <w:rPr>
          <w:rFonts w:eastAsia="Times New Roman" w:cs="Times New Roman"/>
          <w:b/>
          <w:iCs/>
        </w:rPr>
        <w:t xml:space="preserve"> </w:t>
      </w:r>
      <w:r w:rsidR="009C319B">
        <w:rPr>
          <w:rFonts w:eastAsia="Times New Roman" w:cs="Times New Roman"/>
          <w:b/>
          <w:iCs/>
          <w:noProof/>
        </w:rPr>
        <w:t>5</w:t>
      </w:r>
      <w:r w:rsidR="009C319B" w:rsidRPr="001A10CE">
        <w:rPr>
          <w:rFonts w:eastAsia="Times New Roman" w:cs="Times New Roman"/>
          <w:b/>
          <w:iCs/>
          <w:noProof/>
        </w:rPr>
        <w:t>.</w:t>
      </w:r>
      <w:r w:rsidR="009C319B">
        <w:rPr>
          <w:rFonts w:eastAsia="Times New Roman" w:cs="Times New Roman"/>
          <w:b/>
          <w:iCs/>
          <w:noProof/>
        </w:rPr>
        <w:t>15</w:t>
      </w:r>
      <w:r w:rsidR="004072B7" w:rsidRPr="001A10CE">
        <w:rPr>
          <w:b/>
        </w:rPr>
        <w:fldChar w:fldCharType="end"/>
      </w:r>
      <w:r w:rsidR="00104A81" w:rsidRPr="001A10CE">
        <w:t xml:space="preserve">, dok je broj prevezenih putnika u turističkom </w:t>
      </w:r>
      <w:r w:rsidRPr="001A10CE">
        <w:t xml:space="preserve">prijevozu prikazan na </w:t>
      </w:r>
      <w:r w:rsidR="004072B7" w:rsidRPr="001A10CE">
        <w:rPr>
          <w:b/>
        </w:rPr>
        <w:fldChar w:fldCharType="begin"/>
      </w:r>
      <w:r w:rsidR="004072B7" w:rsidRPr="001A10CE">
        <w:rPr>
          <w:b/>
        </w:rPr>
        <w:instrText xml:space="preserve"> REF _Ref463533769 \h  \* MERGEFORMAT </w:instrText>
      </w:r>
      <w:r w:rsidR="004072B7" w:rsidRPr="001A10CE">
        <w:rPr>
          <w:b/>
        </w:rPr>
      </w:r>
      <w:r w:rsidR="004072B7" w:rsidRPr="001A10CE">
        <w:rPr>
          <w:b/>
        </w:rPr>
        <w:fldChar w:fldCharType="separate"/>
      </w:r>
      <w:r w:rsidR="00205D8B">
        <w:rPr>
          <w:rFonts w:eastAsia="Times New Roman" w:cs="Times New Roman"/>
          <w:b/>
          <w:iCs/>
        </w:rPr>
        <w:t>Slici</w:t>
      </w:r>
      <w:r w:rsidR="009C319B" w:rsidRPr="001A10CE">
        <w:rPr>
          <w:rFonts w:eastAsia="Times New Roman" w:cs="Times New Roman"/>
          <w:b/>
          <w:iCs/>
        </w:rPr>
        <w:t xml:space="preserve"> </w:t>
      </w:r>
      <w:r w:rsidR="009C319B">
        <w:rPr>
          <w:rFonts w:eastAsia="Times New Roman" w:cs="Times New Roman"/>
          <w:b/>
          <w:iCs/>
          <w:noProof/>
        </w:rPr>
        <w:t>5</w:t>
      </w:r>
      <w:r w:rsidR="009C319B" w:rsidRPr="001A10CE">
        <w:rPr>
          <w:rFonts w:eastAsia="Times New Roman" w:cs="Times New Roman"/>
          <w:b/>
          <w:iCs/>
          <w:noProof/>
        </w:rPr>
        <w:t>.</w:t>
      </w:r>
      <w:r w:rsidR="009C319B">
        <w:rPr>
          <w:rFonts w:eastAsia="Times New Roman" w:cs="Times New Roman"/>
          <w:b/>
          <w:iCs/>
          <w:noProof/>
        </w:rPr>
        <w:t>16</w:t>
      </w:r>
      <w:r w:rsidR="004072B7" w:rsidRPr="001A10CE">
        <w:rPr>
          <w:b/>
        </w:rPr>
        <w:fldChar w:fldCharType="end"/>
      </w:r>
      <w:r w:rsidR="00104A81" w:rsidRPr="001A10CE">
        <w:rPr>
          <w:b/>
        </w:rPr>
        <w:t>.</w:t>
      </w:r>
    </w:p>
    <w:p w14:paraId="3B3CE944" w14:textId="2DB9850E" w:rsidR="00104A81" w:rsidRPr="001A10CE" w:rsidRDefault="00891FA2" w:rsidP="00E92750">
      <w:pPr>
        <w:spacing w:after="0" w:line="240" w:lineRule="auto"/>
        <w:jc w:val="center"/>
        <w:rPr>
          <w:noProof/>
          <w:lang w:eastAsia="hr-HR"/>
        </w:rPr>
      </w:pPr>
      <w:r w:rsidRPr="001A10CE">
        <w:rPr>
          <w:noProof/>
          <w:lang w:eastAsia="hr-HR"/>
        </w:rPr>
        <w:drawing>
          <wp:inline distT="0" distB="0" distL="0" distR="0" wp14:anchorId="413232B1" wp14:editId="3DCF8A84">
            <wp:extent cx="44577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ACDAE7F" w14:textId="68FC2A88" w:rsidR="00104A81" w:rsidRPr="001A10CE" w:rsidRDefault="00104A81" w:rsidP="00E92750">
      <w:pPr>
        <w:keepNext/>
        <w:keepLines/>
        <w:spacing w:after="0" w:line="240" w:lineRule="auto"/>
        <w:ind w:left="1152" w:hanging="1152"/>
        <w:jc w:val="center"/>
        <w:outlineLvl w:val="5"/>
        <w:rPr>
          <w:rFonts w:ascii="Century Gothic" w:eastAsia="Times New Roman" w:hAnsi="Century Gothic" w:cs="Times New Roman"/>
          <w:iCs/>
        </w:rPr>
      </w:pPr>
      <w:bookmarkStart w:id="209" w:name="_Ref463533544"/>
      <w:bookmarkStart w:id="210" w:name="_Toc468277450"/>
      <w:r w:rsidRPr="001A10CE">
        <w:rPr>
          <w:rFonts w:eastAsia="Times New Roman" w:cs="Times New Roman"/>
          <w:b/>
          <w:iCs/>
        </w:rPr>
        <w:t xml:space="preserve">Slika </w:t>
      </w:r>
      <w:r w:rsidRPr="001A10CE">
        <w:rPr>
          <w:rFonts w:eastAsia="Times New Roman" w:cs="Times New Roman"/>
          <w:b/>
          <w:iCs/>
        </w:rPr>
        <w:fldChar w:fldCharType="begin"/>
      </w:r>
      <w:r w:rsidRPr="001A10CE">
        <w:rPr>
          <w:rFonts w:eastAsia="Times New Roman" w:cs="Times New Roman"/>
          <w:b/>
          <w:iCs/>
        </w:rPr>
        <w:instrText xml:space="preserve"> STYLEREF 1 \s </w:instrText>
      </w:r>
      <w:r w:rsidRPr="001A10CE">
        <w:rPr>
          <w:rFonts w:eastAsia="Times New Roman" w:cs="Times New Roman"/>
          <w:b/>
          <w:iCs/>
        </w:rPr>
        <w:fldChar w:fldCharType="separate"/>
      </w:r>
      <w:r w:rsidR="009C319B">
        <w:rPr>
          <w:rFonts w:eastAsia="Times New Roman" w:cs="Times New Roman"/>
          <w:b/>
          <w:iCs/>
          <w:noProof/>
        </w:rPr>
        <w:t>5</w:t>
      </w:r>
      <w:r w:rsidRPr="001A10CE">
        <w:rPr>
          <w:rFonts w:eastAsia="Times New Roman" w:cs="Times New Roman"/>
          <w:b/>
          <w:iCs/>
          <w:noProof/>
        </w:rPr>
        <w:fldChar w:fldCharType="end"/>
      </w:r>
      <w:r w:rsidRPr="001A10CE">
        <w:rPr>
          <w:rFonts w:eastAsia="Times New Roman" w:cs="Times New Roman"/>
          <w:b/>
          <w:iCs/>
        </w:rPr>
        <w:t>.</w:t>
      </w:r>
      <w:r w:rsidRPr="001A10CE">
        <w:rPr>
          <w:rFonts w:eastAsia="Times New Roman" w:cs="Times New Roman"/>
          <w:b/>
          <w:iCs/>
        </w:rPr>
        <w:fldChar w:fldCharType="begin"/>
      </w:r>
      <w:r w:rsidRPr="001A10CE">
        <w:rPr>
          <w:rFonts w:eastAsia="Times New Roman" w:cs="Times New Roman"/>
          <w:b/>
          <w:iCs/>
        </w:rPr>
        <w:instrText xml:space="preserve"> SEQ Slika \* ARABIC \s 1 </w:instrText>
      </w:r>
      <w:r w:rsidRPr="001A10CE">
        <w:rPr>
          <w:rFonts w:eastAsia="Times New Roman" w:cs="Times New Roman"/>
          <w:b/>
          <w:iCs/>
        </w:rPr>
        <w:fldChar w:fldCharType="separate"/>
      </w:r>
      <w:r w:rsidR="009C319B">
        <w:rPr>
          <w:rFonts w:eastAsia="Times New Roman" w:cs="Times New Roman"/>
          <w:b/>
          <w:iCs/>
          <w:noProof/>
        </w:rPr>
        <w:t>14</w:t>
      </w:r>
      <w:r w:rsidRPr="001A10CE">
        <w:rPr>
          <w:rFonts w:eastAsia="Times New Roman" w:cs="Times New Roman"/>
          <w:b/>
          <w:iCs/>
          <w:noProof/>
        </w:rPr>
        <w:fldChar w:fldCharType="end"/>
      </w:r>
      <w:bookmarkEnd w:id="209"/>
      <w:r w:rsidRPr="001A10CE">
        <w:rPr>
          <w:rFonts w:eastAsia="Times New Roman" w:cs="Times New Roman"/>
          <w:b/>
          <w:iCs/>
          <w:noProof/>
        </w:rPr>
        <w:t xml:space="preserve"> </w:t>
      </w:r>
      <w:r w:rsidRPr="001A10CE">
        <w:rPr>
          <w:rFonts w:eastAsia="Times New Roman" w:cs="Times New Roman"/>
          <w:iCs/>
        </w:rPr>
        <w:t>Broj prevezenih pu</w:t>
      </w:r>
      <w:r w:rsidR="004072B7" w:rsidRPr="001A10CE">
        <w:rPr>
          <w:rFonts w:eastAsia="Times New Roman" w:cs="Times New Roman"/>
          <w:iCs/>
        </w:rPr>
        <w:t>tnika u školskom prijevozu u vremenskom periodu</w:t>
      </w:r>
      <w:r w:rsidRPr="001A10CE">
        <w:rPr>
          <w:rFonts w:eastAsia="Times New Roman" w:cs="Times New Roman"/>
          <w:iCs/>
        </w:rPr>
        <w:t xml:space="preserve"> od 2009. do 2015. godine</w:t>
      </w:r>
      <w:bookmarkEnd w:id="210"/>
    </w:p>
    <w:p w14:paraId="2FABFAFB" w14:textId="6BEC688D" w:rsidR="00104A81" w:rsidRPr="001A10CE" w:rsidRDefault="00104A81" w:rsidP="00E92750">
      <w:pPr>
        <w:spacing w:line="240" w:lineRule="auto"/>
        <w:jc w:val="center"/>
      </w:pPr>
    </w:p>
    <w:p w14:paraId="3979D6CE" w14:textId="4D50BFA2" w:rsidR="00891FA2" w:rsidRPr="001A10CE" w:rsidRDefault="00891FA2" w:rsidP="00E92750">
      <w:pPr>
        <w:spacing w:after="0" w:line="240" w:lineRule="auto"/>
        <w:jc w:val="center"/>
        <w:rPr>
          <w:noProof/>
          <w:lang w:eastAsia="hr-HR"/>
        </w:rPr>
      </w:pPr>
      <w:r w:rsidRPr="001A10CE">
        <w:rPr>
          <w:noProof/>
          <w:lang w:eastAsia="hr-HR"/>
        </w:rPr>
        <w:lastRenderedPageBreak/>
        <w:drawing>
          <wp:inline distT="0" distB="0" distL="0" distR="0" wp14:anchorId="2DD4924E" wp14:editId="4EFD75C1">
            <wp:extent cx="5076825"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2BADE79" w14:textId="7001C6CF" w:rsidR="00104A81" w:rsidRPr="001A10CE" w:rsidRDefault="00104A81" w:rsidP="00E92750">
      <w:pPr>
        <w:keepNext/>
        <w:keepLines/>
        <w:spacing w:after="240" w:line="240" w:lineRule="auto"/>
        <w:ind w:left="1151"/>
        <w:jc w:val="center"/>
        <w:outlineLvl w:val="5"/>
        <w:rPr>
          <w:rFonts w:eastAsia="Times New Roman" w:cs="Times New Roman"/>
          <w:iCs/>
        </w:rPr>
      </w:pPr>
      <w:bookmarkStart w:id="211" w:name="_Ref463533671"/>
      <w:bookmarkStart w:id="212" w:name="_Toc468277451"/>
      <w:r w:rsidRPr="001A10CE">
        <w:rPr>
          <w:rFonts w:eastAsia="Times New Roman" w:cs="Times New Roman"/>
          <w:b/>
          <w:iCs/>
        </w:rPr>
        <w:t xml:space="preserve">Slika </w:t>
      </w:r>
      <w:r w:rsidRPr="001A10CE">
        <w:rPr>
          <w:rFonts w:eastAsia="Times New Roman" w:cs="Times New Roman"/>
          <w:b/>
          <w:iCs/>
        </w:rPr>
        <w:fldChar w:fldCharType="begin"/>
      </w:r>
      <w:r w:rsidRPr="001A10CE">
        <w:rPr>
          <w:rFonts w:eastAsia="Times New Roman" w:cs="Times New Roman"/>
          <w:b/>
          <w:iCs/>
        </w:rPr>
        <w:instrText xml:space="preserve"> STYLEREF 1 \s </w:instrText>
      </w:r>
      <w:r w:rsidRPr="001A10CE">
        <w:rPr>
          <w:rFonts w:eastAsia="Times New Roman" w:cs="Times New Roman"/>
          <w:b/>
          <w:iCs/>
        </w:rPr>
        <w:fldChar w:fldCharType="separate"/>
      </w:r>
      <w:r w:rsidR="009C319B">
        <w:rPr>
          <w:rFonts w:eastAsia="Times New Roman" w:cs="Times New Roman"/>
          <w:b/>
          <w:iCs/>
          <w:noProof/>
        </w:rPr>
        <w:t>5</w:t>
      </w:r>
      <w:r w:rsidRPr="001A10CE">
        <w:rPr>
          <w:rFonts w:eastAsia="Times New Roman" w:cs="Times New Roman"/>
          <w:b/>
          <w:iCs/>
          <w:noProof/>
        </w:rPr>
        <w:fldChar w:fldCharType="end"/>
      </w:r>
      <w:r w:rsidRPr="001A10CE">
        <w:rPr>
          <w:rFonts w:eastAsia="Times New Roman" w:cs="Times New Roman"/>
          <w:b/>
          <w:iCs/>
        </w:rPr>
        <w:t>.</w:t>
      </w:r>
      <w:r w:rsidRPr="001A10CE">
        <w:rPr>
          <w:rFonts w:eastAsia="Times New Roman" w:cs="Times New Roman"/>
          <w:b/>
          <w:iCs/>
        </w:rPr>
        <w:fldChar w:fldCharType="begin"/>
      </w:r>
      <w:r w:rsidRPr="001A10CE">
        <w:rPr>
          <w:rFonts w:eastAsia="Times New Roman" w:cs="Times New Roman"/>
          <w:b/>
          <w:iCs/>
        </w:rPr>
        <w:instrText xml:space="preserve"> SEQ Slika \* ARABIC \s 1 </w:instrText>
      </w:r>
      <w:r w:rsidRPr="001A10CE">
        <w:rPr>
          <w:rFonts w:eastAsia="Times New Roman" w:cs="Times New Roman"/>
          <w:b/>
          <w:iCs/>
        </w:rPr>
        <w:fldChar w:fldCharType="separate"/>
      </w:r>
      <w:r w:rsidR="009C319B">
        <w:rPr>
          <w:rFonts w:eastAsia="Times New Roman" w:cs="Times New Roman"/>
          <w:b/>
          <w:iCs/>
          <w:noProof/>
        </w:rPr>
        <w:t>15</w:t>
      </w:r>
      <w:r w:rsidRPr="001A10CE">
        <w:rPr>
          <w:rFonts w:eastAsia="Times New Roman" w:cs="Times New Roman"/>
          <w:b/>
          <w:iCs/>
          <w:noProof/>
        </w:rPr>
        <w:fldChar w:fldCharType="end"/>
      </w:r>
      <w:bookmarkEnd w:id="211"/>
      <w:r w:rsidRPr="001A10CE">
        <w:rPr>
          <w:rFonts w:eastAsia="Times New Roman" w:cs="Times New Roman"/>
          <w:b/>
          <w:iCs/>
          <w:noProof/>
        </w:rPr>
        <w:t xml:space="preserve"> </w:t>
      </w:r>
      <w:r w:rsidR="004072B7" w:rsidRPr="001A10CE">
        <w:rPr>
          <w:rFonts w:eastAsia="Times New Roman" w:cs="Times New Roman"/>
          <w:iCs/>
        </w:rPr>
        <w:t>Broj prevezenih putnika uspinjačom u vremenskom periodu</w:t>
      </w:r>
      <w:r w:rsidRPr="001A10CE">
        <w:rPr>
          <w:rFonts w:eastAsia="Times New Roman" w:cs="Times New Roman"/>
          <w:iCs/>
        </w:rPr>
        <w:t xml:space="preserve"> od 2009. do 2015. godine</w:t>
      </w:r>
      <w:bookmarkEnd w:id="212"/>
    </w:p>
    <w:p w14:paraId="3093E400" w14:textId="2A8B858A" w:rsidR="00104A81" w:rsidRPr="001A10CE" w:rsidRDefault="00891FA2" w:rsidP="00E92750">
      <w:pPr>
        <w:spacing w:after="0" w:line="240" w:lineRule="auto"/>
        <w:jc w:val="center"/>
        <w:rPr>
          <w:noProof/>
          <w:lang w:eastAsia="hr-HR"/>
        </w:rPr>
      </w:pPr>
      <w:r w:rsidRPr="001A10CE">
        <w:rPr>
          <w:noProof/>
          <w:lang w:eastAsia="hr-HR"/>
        </w:rPr>
        <w:drawing>
          <wp:inline distT="0" distB="0" distL="0" distR="0" wp14:anchorId="458ED394" wp14:editId="1357A372">
            <wp:extent cx="4981575"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49E9AA9" w14:textId="0B50826C" w:rsidR="00104A81" w:rsidRPr="001A10CE" w:rsidRDefault="00104A81" w:rsidP="00E92750">
      <w:pPr>
        <w:keepNext/>
        <w:keepLines/>
        <w:spacing w:after="0" w:line="240" w:lineRule="auto"/>
        <w:ind w:left="1152" w:hanging="1152"/>
        <w:jc w:val="center"/>
        <w:outlineLvl w:val="5"/>
        <w:rPr>
          <w:rFonts w:ascii="Century Gothic" w:eastAsia="Times New Roman" w:hAnsi="Century Gothic" w:cs="Times New Roman"/>
          <w:i/>
          <w:iCs/>
        </w:rPr>
      </w:pPr>
      <w:bookmarkStart w:id="213" w:name="_Ref463533769"/>
      <w:bookmarkStart w:id="214" w:name="_Toc468277452"/>
      <w:r w:rsidRPr="001A10CE">
        <w:rPr>
          <w:rFonts w:eastAsia="Times New Roman" w:cs="Times New Roman"/>
          <w:b/>
          <w:iCs/>
        </w:rPr>
        <w:t xml:space="preserve">Slika </w:t>
      </w:r>
      <w:r w:rsidRPr="001A10CE">
        <w:rPr>
          <w:rFonts w:eastAsia="Times New Roman" w:cs="Times New Roman"/>
          <w:b/>
          <w:iCs/>
        </w:rPr>
        <w:fldChar w:fldCharType="begin"/>
      </w:r>
      <w:r w:rsidRPr="001A10CE">
        <w:rPr>
          <w:rFonts w:eastAsia="Times New Roman" w:cs="Times New Roman"/>
          <w:b/>
          <w:iCs/>
        </w:rPr>
        <w:instrText xml:space="preserve"> STYLEREF 1 \s </w:instrText>
      </w:r>
      <w:r w:rsidRPr="001A10CE">
        <w:rPr>
          <w:rFonts w:eastAsia="Times New Roman" w:cs="Times New Roman"/>
          <w:b/>
          <w:iCs/>
        </w:rPr>
        <w:fldChar w:fldCharType="separate"/>
      </w:r>
      <w:r w:rsidR="009C319B">
        <w:rPr>
          <w:rFonts w:eastAsia="Times New Roman" w:cs="Times New Roman"/>
          <w:b/>
          <w:iCs/>
          <w:noProof/>
        </w:rPr>
        <w:t>5</w:t>
      </w:r>
      <w:r w:rsidRPr="001A10CE">
        <w:rPr>
          <w:rFonts w:eastAsia="Times New Roman" w:cs="Times New Roman"/>
          <w:b/>
          <w:iCs/>
          <w:noProof/>
        </w:rPr>
        <w:fldChar w:fldCharType="end"/>
      </w:r>
      <w:r w:rsidRPr="001A10CE">
        <w:rPr>
          <w:rFonts w:eastAsia="Times New Roman" w:cs="Times New Roman"/>
          <w:b/>
          <w:iCs/>
        </w:rPr>
        <w:t>.</w:t>
      </w:r>
      <w:r w:rsidRPr="001A10CE">
        <w:rPr>
          <w:rFonts w:eastAsia="Times New Roman" w:cs="Times New Roman"/>
          <w:b/>
          <w:iCs/>
        </w:rPr>
        <w:fldChar w:fldCharType="begin"/>
      </w:r>
      <w:r w:rsidRPr="001A10CE">
        <w:rPr>
          <w:rFonts w:eastAsia="Times New Roman" w:cs="Times New Roman"/>
          <w:b/>
          <w:iCs/>
        </w:rPr>
        <w:instrText xml:space="preserve"> SEQ Slika \* ARABIC \s 1 </w:instrText>
      </w:r>
      <w:r w:rsidRPr="001A10CE">
        <w:rPr>
          <w:rFonts w:eastAsia="Times New Roman" w:cs="Times New Roman"/>
          <w:b/>
          <w:iCs/>
        </w:rPr>
        <w:fldChar w:fldCharType="separate"/>
      </w:r>
      <w:r w:rsidR="009C319B">
        <w:rPr>
          <w:rFonts w:eastAsia="Times New Roman" w:cs="Times New Roman"/>
          <w:b/>
          <w:iCs/>
          <w:noProof/>
        </w:rPr>
        <w:t>16</w:t>
      </w:r>
      <w:r w:rsidRPr="001A10CE">
        <w:rPr>
          <w:rFonts w:eastAsia="Times New Roman" w:cs="Times New Roman"/>
          <w:b/>
          <w:iCs/>
          <w:noProof/>
        </w:rPr>
        <w:fldChar w:fldCharType="end"/>
      </w:r>
      <w:bookmarkEnd w:id="213"/>
      <w:r w:rsidRPr="001A10CE">
        <w:rPr>
          <w:rFonts w:eastAsia="Times New Roman" w:cs="Times New Roman"/>
          <w:b/>
          <w:iCs/>
          <w:noProof/>
        </w:rPr>
        <w:t xml:space="preserve"> </w:t>
      </w:r>
      <w:r w:rsidRPr="001A10CE">
        <w:rPr>
          <w:rFonts w:eastAsia="Times New Roman" w:cs="Times New Roman"/>
          <w:iCs/>
        </w:rPr>
        <w:t xml:space="preserve">Broj prevezenih putnika u turističkom javnom prijevozu u </w:t>
      </w:r>
      <w:r w:rsidR="004072B7" w:rsidRPr="001A10CE">
        <w:rPr>
          <w:rFonts w:eastAsia="Times New Roman" w:cs="Times New Roman"/>
          <w:iCs/>
        </w:rPr>
        <w:t>vremenskom periodu od</w:t>
      </w:r>
      <w:r w:rsidR="00941339">
        <w:rPr>
          <w:rFonts w:eastAsia="Times New Roman" w:cs="Times New Roman"/>
          <w:iCs/>
        </w:rPr>
        <w:t xml:space="preserve"> 2010</w:t>
      </w:r>
      <w:r w:rsidRPr="001A10CE">
        <w:rPr>
          <w:rFonts w:eastAsia="Times New Roman" w:cs="Times New Roman"/>
          <w:iCs/>
        </w:rPr>
        <w:t>. do 2015. godine</w:t>
      </w:r>
      <w:bookmarkEnd w:id="214"/>
    </w:p>
    <w:p w14:paraId="1DF479E0" w14:textId="77777777" w:rsidR="004072B7" w:rsidRPr="001A10CE" w:rsidRDefault="004072B7" w:rsidP="00E92750">
      <w:pPr>
        <w:spacing w:after="0" w:line="240" w:lineRule="auto"/>
        <w:jc w:val="center"/>
        <w:rPr>
          <w:rFonts w:ascii="Century Gothic" w:hAnsi="Century Gothic"/>
        </w:rPr>
      </w:pPr>
    </w:p>
    <w:p w14:paraId="46F43AC0" w14:textId="77777777" w:rsidR="004072B7" w:rsidRPr="001A10CE" w:rsidRDefault="004072B7" w:rsidP="00E92750">
      <w:pPr>
        <w:spacing w:after="0" w:line="240" w:lineRule="auto"/>
        <w:jc w:val="center"/>
        <w:rPr>
          <w:rFonts w:ascii="Century Gothic" w:hAnsi="Century Gothic"/>
        </w:rPr>
      </w:pPr>
    </w:p>
    <w:p w14:paraId="79A30E69" w14:textId="77777777" w:rsidR="00891FA2" w:rsidRPr="007C7920" w:rsidRDefault="00891FA2" w:rsidP="00E92750">
      <w:pPr>
        <w:spacing w:after="0" w:line="240" w:lineRule="auto"/>
        <w:jc w:val="center"/>
        <w:rPr>
          <w:rFonts w:ascii="Century Gothic" w:hAnsi="Century Gothic"/>
          <w:highlight w:val="yellow"/>
        </w:rPr>
      </w:pPr>
    </w:p>
    <w:p w14:paraId="7F6CDE42" w14:textId="77777777" w:rsidR="00891FA2" w:rsidRPr="007C7920" w:rsidRDefault="00891FA2" w:rsidP="00E92750">
      <w:pPr>
        <w:spacing w:after="0" w:line="240" w:lineRule="auto"/>
        <w:jc w:val="center"/>
        <w:rPr>
          <w:rFonts w:ascii="Century Gothic" w:hAnsi="Century Gothic"/>
          <w:highlight w:val="yellow"/>
        </w:rPr>
      </w:pPr>
    </w:p>
    <w:p w14:paraId="0E977D72" w14:textId="77777777" w:rsidR="00891FA2" w:rsidRPr="007C7920" w:rsidRDefault="00891FA2" w:rsidP="00E92750">
      <w:pPr>
        <w:spacing w:after="0" w:line="240" w:lineRule="auto"/>
        <w:jc w:val="center"/>
        <w:rPr>
          <w:rFonts w:ascii="Century Gothic" w:hAnsi="Century Gothic"/>
          <w:highlight w:val="yellow"/>
        </w:rPr>
      </w:pPr>
    </w:p>
    <w:p w14:paraId="64B42E71" w14:textId="77777777" w:rsidR="00891FA2" w:rsidRPr="007C7920" w:rsidRDefault="00891FA2" w:rsidP="00E92750">
      <w:pPr>
        <w:spacing w:after="0" w:line="240" w:lineRule="auto"/>
        <w:jc w:val="center"/>
        <w:rPr>
          <w:rFonts w:ascii="Century Gothic" w:hAnsi="Century Gothic"/>
          <w:highlight w:val="yellow"/>
        </w:rPr>
      </w:pPr>
    </w:p>
    <w:p w14:paraId="6F668F72" w14:textId="522FECE9" w:rsidR="00891FA2" w:rsidRPr="007C7920" w:rsidRDefault="00891FA2" w:rsidP="00E92750">
      <w:pPr>
        <w:spacing w:after="0" w:line="240" w:lineRule="auto"/>
        <w:jc w:val="center"/>
        <w:rPr>
          <w:rFonts w:ascii="Century Gothic" w:hAnsi="Century Gothic"/>
          <w:highlight w:val="yellow"/>
        </w:rPr>
      </w:pPr>
    </w:p>
    <w:p w14:paraId="13A0964A" w14:textId="3F70D5F7" w:rsidR="00E91AEF" w:rsidRPr="007C7920" w:rsidRDefault="00E91AEF" w:rsidP="00E92750">
      <w:pPr>
        <w:spacing w:after="0" w:line="240" w:lineRule="auto"/>
        <w:jc w:val="center"/>
        <w:rPr>
          <w:rFonts w:ascii="Century Gothic" w:hAnsi="Century Gothic"/>
          <w:highlight w:val="yellow"/>
        </w:rPr>
      </w:pPr>
    </w:p>
    <w:p w14:paraId="66CD3161" w14:textId="0507330A" w:rsidR="00E91AEF" w:rsidRPr="007C7920" w:rsidRDefault="00E91AEF" w:rsidP="00E92750">
      <w:pPr>
        <w:spacing w:after="0" w:line="240" w:lineRule="auto"/>
        <w:jc w:val="center"/>
        <w:rPr>
          <w:rFonts w:ascii="Century Gothic" w:hAnsi="Century Gothic"/>
          <w:highlight w:val="yellow"/>
        </w:rPr>
      </w:pPr>
    </w:p>
    <w:p w14:paraId="003DCC18" w14:textId="77777777" w:rsidR="00E91AEF" w:rsidRPr="007C7920" w:rsidRDefault="00E91AEF" w:rsidP="00E92750">
      <w:pPr>
        <w:spacing w:after="0" w:line="240" w:lineRule="auto"/>
        <w:jc w:val="center"/>
        <w:rPr>
          <w:rFonts w:ascii="Century Gothic" w:hAnsi="Century Gothic"/>
          <w:highlight w:val="yellow"/>
        </w:rPr>
      </w:pPr>
    </w:p>
    <w:p w14:paraId="709611E2" w14:textId="633A453F" w:rsidR="00E91AEF" w:rsidRPr="000D3A03" w:rsidRDefault="00E91AEF" w:rsidP="00E92750">
      <w:pPr>
        <w:pStyle w:val="Heading3"/>
        <w:spacing w:after="240" w:line="240" w:lineRule="auto"/>
        <w:jc w:val="both"/>
      </w:pPr>
      <w:bookmarkStart w:id="215" w:name="_Toc468345372"/>
      <w:r w:rsidRPr="000D3A03">
        <w:lastRenderedPageBreak/>
        <w:t>HŽ Putnički prijevoz d.o.o.</w:t>
      </w:r>
      <w:bookmarkEnd w:id="215"/>
    </w:p>
    <w:p w14:paraId="21F98BCF" w14:textId="755EA123" w:rsidR="00A42AAE" w:rsidRPr="000D3A03" w:rsidRDefault="00A42AAE" w:rsidP="00E92750">
      <w:pPr>
        <w:spacing w:line="240" w:lineRule="auto"/>
        <w:jc w:val="both"/>
      </w:pPr>
      <w:r w:rsidRPr="000D3A03">
        <w:t>Že</w:t>
      </w:r>
      <w:r w:rsidR="00CB47D4">
        <w:t>ljeznički prijevoz na području G</w:t>
      </w:r>
      <w:r w:rsidRPr="000D3A03">
        <w:t>rada Zagreba ima relativno manju ulogu u javnom prijevozu putnika. Gradski prijevoz se odvija</w:t>
      </w:r>
      <w:r w:rsidR="007E5C38" w:rsidRPr="000D3A03">
        <w:t xml:space="preserve"> </w:t>
      </w:r>
      <w:r w:rsidRPr="000D3A03">
        <w:t>na 58 km elektrificirane pruge.</w:t>
      </w:r>
    </w:p>
    <w:p w14:paraId="0FF21BC0" w14:textId="323CBF66" w:rsidR="00B1266E" w:rsidRPr="000D3A03" w:rsidRDefault="00B1266E" w:rsidP="00E92750">
      <w:pPr>
        <w:spacing w:line="240" w:lineRule="auto"/>
        <w:jc w:val="both"/>
      </w:pPr>
      <w:r w:rsidRPr="000D3A03">
        <w:t>Kolodvo</w:t>
      </w:r>
      <w:r w:rsidR="00CB47D4">
        <w:t>ri i stajališta na području G</w:t>
      </w:r>
      <w:r w:rsidRPr="000D3A03">
        <w:t xml:space="preserve">rada Zagreba </w:t>
      </w:r>
      <w:r w:rsidR="007E5C38" w:rsidRPr="000D3A03">
        <w:t xml:space="preserve">dani </w:t>
      </w:r>
      <w:r w:rsidRPr="000D3A03">
        <w:t>su</w:t>
      </w:r>
      <w:r w:rsidR="007E5C38" w:rsidRPr="000D3A03">
        <w:t xml:space="preserve"> u nastavku</w:t>
      </w:r>
      <w:r w:rsidRPr="000D3A03">
        <w:t xml:space="preserve">: Podsused, Gajnice, Vrapče, Kustošija, Zagreb Zapadni kolodvor, Zagreb Glavni kolodvor, Maksimir, Trnava, Čulinec, Sesvete, </w:t>
      </w:r>
      <w:r w:rsidR="007E5C38" w:rsidRPr="000D3A03">
        <w:t xml:space="preserve">i </w:t>
      </w:r>
      <w:r w:rsidRPr="000D3A03">
        <w:t>Sesvetski K</w:t>
      </w:r>
      <w:r w:rsidR="007E5C38" w:rsidRPr="000D3A03">
        <w:t>raljevec.</w:t>
      </w:r>
    </w:p>
    <w:p w14:paraId="0EA36B08" w14:textId="77777777" w:rsidR="00A42AAE" w:rsidRPr="000D3A03" w:rsidRDefault="00602328" w:rsidP="00E92750">
      <w:pPr>
        <w:spacing w:line="240" w:lineRule="auto"/>
        <w:jc w:val="both"/>
      </w:pPr>
      <w:r w:rsidRPr="000D3A03">
        <w:t xml:space="preserve">Zagreb Glavni kolodvor je krajnji, polazni ili prolazni kolodvor za 290 vlakova radnim danom, od kojih 56 vlakova vozi u daljinskom prijevozu i ne zaustavlja se u stajalištima i manjim kolodvorima. </w:t>
      </w:r>
    </w:p>
    <w:p w14:paraId="34A2D5AB" w14:textId="392DE27D" w:rsidR="00602328" w:rsidRPr="000D3A03" w:rsidRDefault="001973E7" w:rsidP="00E92750">
      <w:pPr>
        <w:spacing w:line="240" w:lineRule="auto"/>
        <w:jc w:val="both"/>
      </w:pPr>
      <w:r w:rsidRPr="000D3A03">
        <w:t xml:space="preserve">Ukupan broj vlakova je </w:t>
      </w:r>
      <w:r w:rsidR="00602328" w:rsidRPr="000D3A03">
        <w:t xml:space="preserve">290 vlakova, </w:t>
      </w:r>
      <w:r w:rsidRPr="000D3A03">
        <w:t xml:space="preserve">od čega </w:t>
      </w:r>
      <w:r w:rsidR="00602328" w:rsidRPr="000D3A03">
        <w:t xml:space="preserve">52 vlaka koriste dizelsku </w:t>
      </w:r>
      <w:r w:rsidRPr="000D3A03">
        <w:t>vuču, a ostali električnu vuču. Prikaz potrošnje energije u želj</w:t>
      </w:r>
      <w:r w:rsidR="00CB47D4">
        <w:t>ezničkom prijevozu na području G</w:t>
      </w:r>
      <w:r w:rsidRPr="000D3A03">
        <w:t xml:space="preserve">rada dan je u </w:t>
      </w:r>
      <w:r w:rsidRPr="000D3A03">
        <w:fldChar w:fldCharType="begin"/>
      </w:r>
      <w:r w:rsidRPr="000D3A03">
        <w:instrText xml:space="preserve"> REF _Ref464651315 \h </w:instrText>
      </w:r>
      <w:r w:rsidR="007C7920" w:rsidRPr="000D3A03">
        <w:instrText xml:space="preserve"> \* MERGEFORMAT </w:instrText>
      </w:r>
      <w:r w:rsidRPr="000D3A03">
        <w:fldChar w:fldCharType="separate"/>
      </w:r>
      <w:r w:rsidR="003A121F">
        <w:rPr>
          <w:b/>
        </w:rPr>
        <w:t>Tablici</w:t>
      </w:r>
      <w:r w:rsidR="009C319B" w:rsidRPr="000D3A03">
        <w:rPr>
          <w:b/>
        </w:rPr>
        <w:t xml:space="preserve"> </w:t>
      </w:r>
      <w:r w:rsidR="009C319B">
        <w:rPr>
          <w:b/>
          <w:noProof/>
        </w:rPr>
        <w:t>5</w:t>
      </w:r>
      <w:r w:rsidR="009C319B" w:rsidRPr="000D3A03">
        <w:rPr>
          <w:b/>
          <w:noProof/>
        </w:rPr>
        <w:t>.</w:t>
      </w:r>
      <w:r w:rsidR="009C319B">
        <w:rPr>
          <w:b/>
          <w:noProof/>
        </w:rPr>
        <w:t>4</w:t>
      </w:r>
      <w:r w:rsidRPr="000D3A03">
        <w:fldChar w:fldCharType="end"/>
      </w:r>
      <w:r w:rsidRPr="000D3A03">
        <w:t>.</w:t>
      </w:r>
    </w:p>
    <w:p w14:paraId="631D857A" w14:textId="0057FEF7" w:rsidR="00637578" w:rsidRPr="000D3A03" w:rsidRDefault="00602328" w:rsidP="00E92750">
      <w:pPr>
        <w:spacing w:after="0" w:line="240" w:lineRule="auto"/>
        <w:jc w:val="both"/>
      </w:pPr>
      <w:bookmarkStart w:id="216" w:name="_Ref464651315"/>
      <w:bookmarkStart w:id="217" w:name="_Toc468277510"/>
      <w:r w:rsidRPr="000D3A03">
        <w:rPr>
          <w:b/>
        </w:rPr>
        <w:t xml:space="preserve">Tablica </w:t>
      </w:r>
      <w:r w:rsidRPr="000D3A03">
        <w:rPr>
          <w:b/>
        </w:rPr>
        <w:fldChar w:fldCharType="begin"/>
      </w:r>
      <w:r w:rsidRPr="000D3A03">
        <w:rPr>
          <w:b/>
        </w:rPr>
        <w:instrText xml:space="preserve"> STYLEREF 1 \s </w:instrText>
      </w:r>
      <w:r w:rsidRPr="000D3A03">
        <w:rPr>
          <w:b/>
        </w:rPr>
        <w:fldChar w:fldCharType="separate"/>
      </w:r>
      <w:r w:rsidR="009C319B">
        <w:rPr>
          <w:b/>
          <w:noProof/>
        </w:rPr>
        <w:t>5</w:t>
      </w:r>
      <w:r w:rsidRPr="000D3A03">
        <w:rPr>
          <w:b/>
        </w:rPr>
        <w:fldChar w:fldCharType="end"/>
      </w:r>
      <w:r w:rsidRPr="000D3A03">
        <w:rPr>
          <w:b/>
        </w:rPr>
        <w:t>.</w:t>
      </w:r>
      <w:r w:rsidRPr="000D3A03">
        <w:rPr>
          <w:b/>
        </w:rPr>
        <w:fldChar w:fldCharType="begin"/>
      </w:r>
      <w:r w:rsidRPr="000D3A03">
        <w:rPr>
          <w:b/>
        </w:rPr>
        <w:instrText xml:space="preserve"> SEQ Tablica \* ARABIC \s 1 </w:instrText>
      </w:r>
      <w:r w:rsidRPr="000D3A03">
        <w:rPr>
          <w:b/>
        </w:rPr>
        <w:fldChar w:fldCharType="separate"/>
      </w:r>
      <w:r w:rsidR="009C319B">
        <w:rPr>
          <w:b/>
          <w:noProof/>
        </w:rPr>
        <w:t>4</w:t>
      </w:r>
      <w:r w:rsidRPr="000D3A03">
        <w:rPr>
          <w:b/>
        </w:rPr>
        <w:fldChar w:fldCharType="end"/>
      </w:r>
      <w:bookmarkEnd w:id="216"/>
      <w:r w:rsidRPr="000D3A03">
        <w:rPr>
          <w:b/>
        </w:rPr>
        <w:t xml:space="preserve"> </w:t>
      </w:r>
      <w:r w:rsidR="001973E7" w:rsidRPr="000D3A03">
        <w:t>P</w:t>
      </w:r>
      <w:r w:rsidRPr="000D3A03">
        <w:t>otrošnja energije u želj</w:t>
      </w:r>
      <w:r w:rsidR="00CB47D4">
        <w:t>ezničkom prijevozu na području G</w:t>
      </w:r>
      <w:r w:rsidRPr="000D3A03">
        <w:t>rada Zagreba</w:t>
      </w:r>
      <w:bookmarkEnd w:id="217"/>
    </w:p>
    <w:tbl>
      <w:tblPr>
        <w:tblStyle w:val="TableGrid"/>
        <w:tblW w:w="9214" w:type="dxa"/>
        <w:tblInd w:w="108" w:type="dxa"/>
        <w:tblLook w:val="04A0" w:firstRow="1" w:lastRow="0" w:firstColumn="1" w:lastColumn="0" w:noHBand="0" w:noVBand="1"/>
      </w:tblPr>
      <w:tblGrid>
        <w:gridCol w:w="1276"/>
        <w:gridCol w:w="2410"/>
        <w:gridCol w:w="2693"/>
        <w:gridCol w:w="2835"/>
      </w:tblGrid>
      <w:tr w:rsidR="00602328" w:rsidRPr="000D3A03" w14:paraId="417A570F" w14:textId="713FA94F" w:rsidTr="00602328">
        <w:tc>
          <w:tcPr>
            <w:tcW w:w="1276" w:type="dxa"/>
            <w:shd w:val="clear" w:color="auto" w:fill="D9D9D9" w:themeFill="background1" w:themeFillShade="D9"/>
          </w:tcPr>
          <w:p w14:paraId="26057D91" w14:textId="328DC062" w:rsidR="00602328" w:rsidRPr="000D3A03" w:rsidRDefault="00602328" w:rsidP="00E92750">
            <w:pPr>
              <w:jc w:val="center"/>
            </w:pPr>
            <w:r w:rsidRPr="000D3A03">
              <w:t>Broj vlakova</w:t>
            </w:r>
          </w:p>
        </w:tc>
        <w:tc>
          <w:tcPr>
            <w:tcW w:w="2410" w:type="dxa"/>
            <w:shd w:val="clear" w:color="auto" w:fill="D9D9D9" w:themeFill="background1" w:themeFillShade="D9"/>
          </w:tcPr>
          <w:p w14:paraId="3BAEF1AD" w14:textId="2D4A4348" w:rsidR="00602328" w:rsidRPr="000D3A03" w:rsidRDefault="00602328" w:rsidP="00E92750">
            <w:pPr>
              <w:jc w:val="center"/>
            </w:pPr>
            <w:r w:rsidRPr="000D3A03">
              <w:t>Dnevna potrošnja dizela (l)</w:t>
            </w:r>
          </w:p>
        </w:tc>
        <w:tc>
          <w:tcPr>
            <w:tcW w:w="2693" w:type="dxa"/>
            <w:shd w:val="clear" w:color="auto" w:fill="D9D9D9" w:themeFill="background1" w:themeFillShade="D9"/>
          </w:tcPr>
          <w:p w14:paraId="15FCF5C7" w14:textId="333C59B5" w:rsidR="00602328" w:rsidRPr="000D3A03" w:rsidRDefault="00602328" w:rsidP="00E92750">
            <w:pPr>
              <w:jc w:val="center"/>
            </w:pPr>
            <w:r w:rsidRPr="000D3A03">
              <w:t>Godišnja potrošnja dizela (l)</w:t>
            </w:r>
          </w:p>
        </w:tc>
        <w:tc>
          <w:tcPr>
            <w:tcW w:w="2835" w:type="dxa"/>
            <w:shd w:val="clear" w:color="auto" w:fill="D9D9D9" w:themeFill="background1" w:themeFillShade="D9"/>
          </w:tcPr>
          <w:p w14:paraId="324F26A0" w14:textId="4DB4AF68" w:rsidR="00602328" w:rsidRPr="000D3A03" w:rsidRDefault="00602328" w:rsidP="00E92750">
            <w:pPr>
              <w:jc w:val="center"/>
            </w:pPr>
            <w:r w:rsidRPr="000D3A03">
              <w:t xml:space="preserve">Godišnja </w:t>
            </w:r>
            <w:r w:rsidR="00ED6776" w:rsidRPr="000D3A03">
              <w:t>potrošnja električne energije (k</w:t>
            </w:r>
            <w:r w:rsidRPr="000D3A03">
              <w:t>Wh)</w:t>
            </w:r>
            <w:r w:rsidR="00ED6776" w:rsidRPr="000D3A03">
              <w:rPr>
                <w:rStyle w:val="FootnoteReference"/>
              </w:rPr>
              <w:footnoteReference w:id="26"/>
            </w:r>
          </w:p>
        </w:tc>
      </w:tr>
      <w:tr w:rsidR="00602328" w:rsidRPr="000D3A03" w14:paraId="1CAA71BC" w14:textId="21898365" w:rsidTr="00602328">
        <w:tc>
          <w:tcPr>
            <w:tcW w:w="1276" w:type="dxa"/>
          </w:tcPr>
          <w:p w14:paraId="7D6C7729" w14:textId="031A4B05" w:rsidR="00602328" w:rsidRPr="000D3A03" w:rsidRDefault="00602328" w:rsidP="00E92750">
            <w:pPr>
              <w:jc w:val="center"/>
            </w:pPr>
            <w:r w:rsidRPr="000D3A03">
              <w:t>290</w:t>
            </w:r>
          </w:p>
        </w:tc>
        <w:tc>
          <w:tcPr>
            <w:tcW w:w="2410" w:type="dxa"/>
          </w:tcPr>
          <w:p w14:paraId="45244CFD" w14:textId="3B4C35F4" w:rsidR="00602328" w:rsidRPr="000D3A03" w:rsidRDefault="00602328" w:rsidP="00E92750">
            <w:pPr>
              <w:jc w:val="center"/>
            </w:pPr>
            <w:r w:rsidRPr="000D3A03">
              <w:t>1 300</w:t>
            </w:r>
          </w:p>
        </w:tc>
        <w:tc>
          <w:tcPr>
            <w:tcW w:w="2693" w:type="dxa"/>
          </w:tcPr>
          <w:p w14:paraId="19146286" w14:textId="75BE9812" w:rsidR="00602328" w:rsidRPr="000D3A03" w:rsidRDefault="00602328" w:rsidP="00E92750">
            <w:pPr>
              <w:jc w:val="center"/>
            </w:pPr>
            <w:r w:rsidRPr="000D3A03">
              <w:t>474 500</w:t>
            </w:r>
          </w:p>
        </w:tc>
        <w:tc>
          <w:tcPr>
            <w:tcW w:w="2835" w:type="dxa"/>
          </w:tcPr>
          <w:p w14:paraId="3382872B" w14:textId="6DF3FAAB" w:rsidR="00602328" w:rsidRPr="000D3A03" w:rsidRDefault="00ED6776" w:rsidP="00E92750">
            <w:pPr>
              <w:jc w:val="center"/>
            </w:pPr>
            <w:r w:rsidRPr="000D3A03">
              <w:t>10 566 080</w:t>
            </w:r>
          </w:p>
        </w:tc>
      </w:tr>
    </w:tbl>
    <w:p w14:paraId="7E968DC1" w14:textId="77777777" w:rsidR="00637578" w:rsidRPr="000D3A03" w:rsidRDefault="00637578" w:rsidP="00E92750">
      <w:pPr>
        <w:spacing w:line="240" w:lineRule="auto"/>
      </w:pPr>
    </w:p>
    <w:p w14:paraId="61C7CED7" w14:textId="77777777" w:rsidR="00104A81" w:rsidRPr="000D3A03" w:rsidRDefault="00104A81" w:rsidP="00E92750">
      <w:pPr>
        <w:tabs>
          <w:tab w:val="left" w:pos="3531"/>
        </w:tabs>
        <w:spacing w:line="240" w:lineRule="auto"/>
      </w:pPr>
    </w:p>
    <w:p w14:paraId="55F82831" w14:textId="77777777" w:rsidR="00104A81" w:rsidRPr="000D3A03" w:rsidRDefault="00104A81" w:rsidP="00E92750">
      <w:pPr>
        <w:spacing w:before="240" w:line="240" w:lineRule="auto"/>
        <w:jc w:val="both"/>
      </w:pPr>
    </w:p>
    <w:p w14:paraId="5DC0485D" w14:textId="77777777" w:rsidR="00104A81" w:rsidRPr="000D3A03" w:rsidRDefault="00104A81" w:rsidP="00E92750">
      <w:pPr>
        <w:spacing w:before="240" w:line="240" w:lineRule="auto"/>
        <w:jc w:val="both"/>
      </w:pPr>
    </w:p>
    <w:p w14:paraId="34A50A80" w14:textId="77777777" w:rsidR="00104A81" w:rsidRPr="007C7920" w:rsidRDefault="00104A81" w:rsidP="00E92750">
      <w:pPr>
        <w:spacing w:before="240" w:line="240" w:lineRule="auto"/>
        <w:jc w:val="both"/>
        <w:rPr>
          <w:highlight w:val="yellow"/>
        </w:rPr>
      </w:pPr>
    </w:p>
    <w:p w14:paraId="3A90ADDC" w14:textId="77777777" w:rsidR="00104A81" w:rsidRPr="007C7920" w:rsidRDefault="00104A81" w:rsidP="00E92750">
      <w:pPr>
        <w:spacing w:before="240" w:line="240" w:lineRule="auto"/>
        <w:jc w:val="both"/>
        <w:rPr>
          <w:highlight w:val="yellow"/>
        </w:rPr>
      </w:pPr>
    </w:p>
    <w:p w14:paraId="5B6AB733" w14:textId="77777777" w:rsidR="00104A81" w:rsidRPr="007C7920" w:rsidRDefault="00104A81" w:rsidP="00E92750">
      <w:pPr>
        <w:spacing w:before="240" w:line="240" w:lineRule="auto"/>
        <w:jc w:val="both"/>
        <w:rPr>
          <w:highlight w:val="yellow"/>
        </w:rPr>
      </w:pPr>
    </w:p>
    <w:p w14:paraId="2802F70C" w14:textId="77777777" w:rsidR="00104A81" w:rsidRPr="007C7920" w:rsidRDefault="00104A81" w:rsidP="00E92750">
      <w:pPr>
        <w:spacing w:before="240" w:line="240" w:lineRule="auto"/>
        <w:jc w:val="both"/>
        <w:rPr>
          <w:highlight w:val="yellow"/>
        </w:rPr>
      </w:pPr>
    </w:p>
    <w:p w14:paraId="14CC40D5" w14:textId="77777777" w:rsidR="00104A81" w:rsidRPr="007C7920" w:rsidRDefault="00104A81" w:rsidP="00E92750">
      <w:pPr>
        <w:spacing w:before="240" w:line="240" w:lineRule="auto"/>
        <w:jc w:val="both"/>
        <w:rPr>
          <w:highlight w:val="yellow"/>
        </w:rPr>
      </w:pPr>
    </w:p>
    <w:p w14:paraId="7ADFEB11" w14:textId="77777777" w:rsidR="00104A81" w:rsidRPr="007C7920" w:rsidRDefault="00104A81" w:rsidP="00E92750">
      <w:pPr>
        <w:spacing w:before="240" w:line="240" w:lineRule="auto"/>
        <w:jc w:val="both"/>
        <w:rPr>
          <w:highlight w:val="yellow"/>
        </w:rPr>
      </w:pPr>
    </w:p>
    <w:p w14:paraId="7B49D426" w14:textId="77777777" w:rsidR="00104A81" w:rsidRPr="007C7920" w:rsidRDefault="00104A81" w:rsidP="00E92750">
      <w:pPr>
        <w:spacing w:before="240" w:line="240" w:lineRule="auto"/>
        <w:jc w:val="both"/>
        <w:rPr>
          <w:highlight w:val="yellow"/>
        </w:rPr>
      </w:pPr>
    </w:p>
    <w:p w14:paraId="5A5CA213" w14:textId="77777777" w:rsidR="00104A81" w:rsidRPr="007C7920" w:rsidRDefault="00104A81" w:rsidP="00E92750">
      <w:pPr>
        <w:spacing w:before="240" w:line="240" w:lineRule="auto"/>
        <w:jc w:val="both"/>
        <w:rPr>
          <w:highlight w:val="yellow"/>
        </w:rPr>
      </w:pPr>
    </w:p>
    <w:p w14:paraId="2EC29EE0" w14:textId="77777777" w:rsidR="00104A81" w:rsidRPr="007C7920" w:rsidRDefault="00104A81" w:rsidP="00E92750">
      <w:pPr>
        <w:spacing w:before="240" w:line="240" w:lineRule="auto"/>
        <w:jc w:val="both"/>
        <w:rPr>
          <w:highlight w:val="yellow"/>
        </w:rPr>
      </w:pPr>
    </w:p>
    <w:p w14:paraId="7B55C765" w14:textId="77777777" w:rsidR="00104A81" w:rsidRPr="007C7920" w:rsidRDefault="00104A81" w:rsidP="00E92750">
      <w:pPr>
        <w:spacing w:before="240" w:line="240" w:lineRule="auto"/>
        <w:jc w:val="both"/>
        <w:rPr>
          <w:highlight w:val="yellow"/>
        </w:rPr>
      </w:pPr>
    </w:p>
    <w:p w14:paraId="24CF6D99" w14:textId="77777777" w:rsidR="00104A81" w:rsidRPr="007C7920" w:rsidRDefault="00104A81" w:rsidP="00E92750">
      <w:pPr>
        <w:spacing w:before="240" w:line="240" w:lineRule="auto"/>
        <w:jc w:val="both"/>
        <w:rPr>
          <w:highlight w:val="yellow"/>
        </w:rPr>
      </w:pPr>
    </w:p>
    <w:p w14:paraId="7A8DFDF4" w14:textId="5047FCDC" w:rsidR="004912C8" w:rsidRPr="0003300F" w:rsidRDefault="004912C8" w:rsidP="00E92750">
      <w:pPr>
        <w:pStyle w:val="Heading2"/>
      </w:pPr>
      <w:bookmarkStart w:id="218" w:name="_Toc447803200"/>
      <w:bookmarkStart w:id="219" w:name="_Toc468345373"/>
      <w:r w:rsidRPr="0003300F">
        <w:lastRenderedPageBreak/>
        <w:t>O</w:t>
      </w:r>
      <w:bookmarkEnd w:id="218"/>
      <w:r w:rsidR="00621E7C" w:rsidRPr="0003300F">
        <w:t>SOBNA I KOMERCIJALNA VOZILA</w:t>
      </w:r>
      <w:bookmarkEnd w:id="219"/>
    </w:p>
    <w:p w14:paraId="34546CBB" w14:textId="26B7B78F" w:rsidR="004912C8" w:rsidRPr="0003300F" w:rsidRDefault="004912C8" w:rsidP="00E92750">
      <w:pPr>
        <w:pStyle w:val="Heading3"/>
        <w:spacing w:after="240" w:line="240" w:lineRule="auto"/>
        <w:jc w:val="both"/>
      </w:pPr>
      <w:bookmarkStart w:id="220" w:name="_Toc447803201"/>
      <w:bookmarkStart w:id="221" w:name="_Toc468345374"/>
      <w:r w:rsidRPr="0003300F">
        <w:t>Opći podaci</w:t>
      </w:r>
      <w:bookmarkEnd w:id="220"/>
      <w:bookmarkEnd w:id="221"/>
    </w:p>
    <w:p w14:paraId="651B4FC9" w14:textId="41D1A6EB" w:rsidR="000E6023" w:rsidRPr="0003300F" w:rsidRDefault="004912C8" w:rsidP="00E92750">
      <w:pPr>
        <w:spacing w:after="240" w:line="240" w:lineRule="auto"/>
        <w:jc w:val="both"/>
      </w:pPr>
      <w:r w:rsidRPr="0003300F">
        <w:t xml:space="preserve">U </w:t>
      </w:r>
      <w:r w:rsidR="000F64C5" w:rsidRPr="0003300F">
        <w:t>2015</w:t>
      </w:r>
      <w:r w:rsidRPr="0003300F">
        <w:t>. god</w:t>
      </w:r>
      <w:r w:rsidR="004D1C98" w:rsidRPr="0003300F">
        <w:t>ini na području G</w:t>
      </w:r>
      <w:r w:rsidRPr="0003300F">
        <w:t xml:space="preserve">rada </w:t>
      </w:r>
      <w:r w:rsidR="000F64C5" w:rsidRPr="0003300F">
        <w:t>Zagreba</w:t>
      </w:r>
      <w:r w:rsidRPr="0003300F">
        <w:t xml:space="preserve"> ukupno </w:t>
      </w:r>
      <w:r w:rsidR="00B03800" w:rsidRPr="0003300F">
        <w:t>je registrirano 359 896</w:t>
      </w:r>
      <w:r w:rsidR="000E6023" w:rsidRPr="0003300F">
        <w:t xml:space="preserve"> </w:t>
      </w:r>
      <w:r w:rsidR="00EA75E6" w:rsidRPr="0003300F">
        <w:t>osobnih i komercijalnih</w:t>
      </w:r>
      <w:r w:rsidRPr="0003300F">
        <w:t xml:space="preserve"> vozila. </w:t>
      </w:r>
      <w:r w:rsidR="00EA75E6" w:rsidRPr="0003300F">
        <w:t>Prikaz</w:t>
      </w:r>
      <w:r w:rsidR="000E6023" w:rsidRPr="0003300F">
        <w:t xml:space="preserve"> </w:t>
      </w:r>
      <w:r w:rsidR="00EA75E6" w:rsidRPr="0003300F">
        <w:t xml:space="preserve">broja </w:t>
      </w:r>
      <w:r w:rsidR="00604F40" w:rsidRPr="0003300F">
        <w:t xml:space="preserve">osobnih i komercijalnih </w:t>
      </w:r>
      <w:r w:rsidR="00EA75E6" w:rsidRPr="0003300F">
        <w:t xml:space="preserve">vozila po vrsti vozila i vrsti pogonskog </w:t>
      </w:r>
      <w:r w:rsidR="004D1C98" w:rsidRPr="0003300F">
        <w:t>goriva</w:t>
      </w:r>
      <w:r w:rsidR="00EA75E6" w:rsidRPr="0003300F">
        <w:t xml:space="preserve"> na dan 31.12.2015. godine dan je u nastavku, </w:t>
      </w:r>
      <w:r w:rsidR="00EA75E6" w:rsidRPr="0003300F">
        <w:fldChar w:fldCharType="begin"/>
      </w:r>
      <w:r w:rsidR="00EA75E6" w:rsidRPr="0003300F">
        <w:instrText xml:space="preserve"> REF _Ref464639889 \h  \* MERGEFORMAT </w:instrText>
      </w:r>
      <w:r w:rsidR="00EA75E6" w:rsidRPr="0003300F">
        <w:fldChar w:fldCharType="separate"/>
      </w:r>
      <w:r w:rsidR="009C319B" w:rsidRPr="0003300F">
        <w:rPr>
          <w:b/>
        </w:rPr>
        <w:t xml:space="preserve">Tablica </w:t>
      </w:r>
      <w:r w:rsidR="009C319B">
        <w:rPr>
          <w:b/>
          <w:noProof/>
        </w:rPr>
        <w:t>5</w:t>
      </w:r>
      <w:r w:rsidR="009C319B" w:rsidRPr="0003300F">
        <w:rPr>
          <w:b/>
          <w:noProof/>
        </w:rPr>
        <w:t>.</w:t>
      </w:r>
      <w:r w:rsidR="009C319B">
        <w:rPr>
          <w:b/>
          <w:noProof/>
        </w:rPr>
        <w:t>5</w:t>
      </w:r>
      <w:r w:rsidR="00EA75E6" w:rsidRPr="0003300F">
        <w:fldChar w:fldCharType="end"/>
      </w:r>
      <w:r w:rsidR="00604F40" w:rsidRPr="0003300F">
        <w:t>.</w:t>
      </w:r>
    </w:p>
    <w:p w14:paraId="1082B1FF" w14:textId="1AFFC6AF" w:rsidR="000E6023" w:rsidRPr="0003300F" w:rsidRDefault="000E6023" w:rsidP="00E92750">
      <w:pPr>
        <w:spacing w:after="0" w:line="240" w:lineRule="auto"/>
        <w:jc w:val="both"/>
      </w:pPr>
      <w:bookmarkStart w:id="222" w:name="_Ref464639889"/>
      <w:bookmarkStart w:id="223" w:name="_Toc468277511"/>
      <w:r w:rsidRPr="0003300F">
        <w:rPr>
          <w:b/>
        </w:rPr>
        <w:t xml:space="preserve">Tablica </w:t>
      </w:r>
      <w:r w:rsidRPr="0003300F">
        <w:rPr>
          <w:b/>
        </w:rPr>
        <w:fldChar w:fldCharType="begin"/>
      </w:r>
      <w:r w:rsidRPr="0003300F">
        <w:rPr>
          <w:b/>
        </w:rPr>
        <w:instrText xml:space="preserve"> STYLEREF 1 \s </w:instrText>
      </w:r>
      <w:r w:rsidRPr="0003300F">
        <w:rPr>
          <w:b/>
        </w:rPr>
        <w:fldChar w:fldCharType="separate"/>
      </w:r>
      <w:r w:rsidR="009C319B">
        <w:rPr>
          <w:b/>
          <w:noProof/>
        </w:rPr>
        <w:t>5</w:t>
      </w:r>
      <w:r w:rsidRPr="0003300F">
        <w:rPr>
          <w:b/>
        </w:rPr>
        <w:fldChar w:fldCharType="end"/>
      </w:r>
      <w:r w:rsidRPr="0003300F">
        <w:rPr>
          <w:b/>
        </w:rPr>
        <w:t>.</w:t>
      </w:r>
      <w:r w:rsidRPr="0003300F">
        <w:rPr>
          <w:b/>
        </w:rPr>
        <w:fldChar w:fldCharType="begin"/>
      </w:r>
      <w:r w:rsidRPr="0003300F">
        <w:rPr>
          <w:b/>
        </w:rPr>
        <w:instrText xml:space="preserve"> SEQ Tablica \* ARABIC \s 1 </w:instrText>
      </w:r>
      <w:r w:rsidRPr="0003300F">
        <w:rPr>
          <w:b/>
        </w:rPr>
        <w:fldChar w:fldCharType="separate"/>
      </w:r>
      <w:r w:rsidR="009C319B">
        <w:rPr>
          <w:b/>
          <w:noProof/>
        </w:rPr>
        <w:t>5</w:t>
      </w:r>
      <w:r w:rsidRPr="0003300F">
        <w:rPr>
          <w:b/>
        </w:rPr>
        <w:fldChar w:fldCharType="end"/>
      </w:r>
      <w:bookmarkEnd w:id="222"/>
      <w:r w:rsidR="00EA75E6" w:rsidRPr="0003300F">
        <w:rPr>
          <w:b/>
        </w:rPr>
        <w:t xml:space="preserve"> </w:t>
      </w:r>
      <w:r w:rsidR="00EA75E6" w:rsidRPr="0003300F">
        <w:t xml:space="preserve">Broj </w:t>
      </w:r>
      <w:r w:rsidR="00604F40" w:rsidRPr="0003300F">
        <w:t xml:space="preserve">osobnih i komercijalnih </w:t>
      </w:r>
      <w:r w:rsidR="00EA75E6" w:rsidRPr="0003300F">
        <w:t>vozila po vrsti vozila i vrsti goriva</w:t>
      </w:r>
      <w:r w:rsidR="004D1C98" w:rsidRPr="0003300F">
        <w:t xml:space="preserve"> na području G</w:t>
      </w:r>
      <w:r w:rsidR="00EA75E6" w:rsidRPr="0003300F">
        <w:t>rada Zagreba u 2015. godini</w:t>
      </w:r>
      <w:bookmarkEnd w:id="223"/>
    </w:p>
    <w:tbl>
      <w:tblPr>
        <w:tblW w:w="5054" w:type="pct"/>
        <w:tblLayout w:type="fixed"/>
        <w:tblLook w:val="04A0" w:firstRow="1" w:lastRow="0" w:firstColumn="1" w:lastColumn="0" w:noHBand="0" w:noVBand="1"/>
      </w:tblPr>
      <w:tblGrid>
        <w:gridCol w:w="1216"/>
        <w:gridCol w:w="687"/>
        <w:gridCol w:w="791"/>
        <w:gridCol w:w="1072"/>
        <w:gridCol w:w="905"/>
        <w:gridCol w:w="1105"/>
        <w:gridCol w:w="1246"/>
        <w:gridCol w:w="691"/>
        <w:gridCol w:w="692"/>
        <w:gridCol w:w="755"/>
      </w:tblGrid>
      <w:tr w:rsidR="0006574A" w:rsidRPr="0006574A" w14:paraId="2EAF93CD" w14:textId="77777777" w:rsidTr="0006574A">
        <w:trPr>
          <w:trHeight w:val="300"/>
        </w:trPr>
        <w:tc>
          <w:tcPr>
            <w:tcW w:w="66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4F8172" w14:textId="77777777" w:rsidR="00EA75E6" w:rsidRPr="0006574A" w:rsidRDefault="00EA75E6" w:rsidP="00E92750">
            <w:pPr>
              <w:spacing w:after="0" w:line="240" w:lineRule="auto"/>
              <w:rPr>
                <w:rFonts w:eastAsia="Times New Roman" w:cstheme="minorHAnsi"/>
                <w:color w:val="000000"/>
                <w:sz w:val="14"/>
                <w:szCs w:val="14"/>
                <w:lang w:eastAsia="hr-HR"/>
              </w:rPr>
            </w:pPr>
            <w:r w:rsidRPr="0006574A">
              <w:rPr>
                <w:rFonts w:eastAsia="Times New Roman" w:cstheme="minorHAnsi"/>
                <w:color w:val="000000"/>
                <w:sz w:val="14"/>
                <w:szCs w:val="14"/>
                <w:lang w:eastAsia="hr-HR"/>
              </w:rPr>
              <w:t> </w:t>
            </w:r>
          </w:p>
        </w:tc>
        <w:tc>
          <w:tcPr>
            <w:tcW w:w="375" w:type="pct"/>
            <w:tcBorders>
              <w:top w:val="single" w:sz="4" w:space="0" w:color="auto"/>
              <w:left w:val="nil"/>
              <w:bottom w:val="single" w:sz="4" w:space="0" w:color="auto"/>
              <w:right w:val="single" w:sz="4" w:space="0" w:color="auto"/>
            </w:tcBorders>
            <w:shd w:val="clear" w:color="000000" w:fill="D9D9D9"/>
            <w:noWrap/>
            <w:vAlign w:val="center"/>
            <w:hideMark/>
          </w:tcPr>
          <w:p w14:paraId="4325C536"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Moped</w:t>
            </w:r>
          </w:p>
        </w:tc>
        <w:tc>
          <w:tcPr>
            <w:tcW w:w="432" w:type="pct"/>
            <w:tcBorders>
              <w:top w:val="single" w:sz="4" w:space="0" w:color="auto"/>
              <w:left w:val="nil"/>
              <w:bottom w:val="single" w:sz="4" w:space="0" w:color="auto"/>
              <w:right w:val="single" w:sz="4" w:space="0" w:color="auto"/>
            </w:tcBorders>
            <w:shd w:val="clear" w:color="000000" w:fill="D9D9D9"/>
            <w:noWrap/>
            <w:vAlign w:val="center"/>
            <w:hideMark/>
          </w:tcPr>
          <w:p w14:paraId="1B0B7772"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Motocikl</w:t>
            </w:r>
          </w:p>
        </w:tc>
        <w:tc>
          <w:tcPr>
            <w:tcW w:w="585" w:type="pct"/>
            <w:tcBorders>
              <w:top w:val="single" w:sz="4" w:space="0" w:color="auto"/>
              <w:left w:val="nil"/>
              <w:bottom w:val="single" w:sz="4" w:space="0" w:color="auto"/>
              <w:right w:val="single" w:sz="4" w:space="0" w:color="auto"/>
            </w:tcBorders>
            <w:shd w:val="clear" w:color="000000" w:fill="D9D9D9"/>
            <w:noWrap/>
            <w:vAlign w:val="center"/>
            <w:hideMark/>
          </w:tcPr>
          <w:p w14:paraId="21F20730"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Osobni automobili</w:t>
            </w:r>
          </w:p>
        </w:tc>
        <w:tc>
          <w:tcPr>
            <w:tcW w:w="494" w:type="pct"/>
            <w:tcBorders>
              <w:top w:val="single" w:sz="4" w:space="0" w:color="auto"/>
              <w:left w:val="nil"/>
              <w:bottom w:val="single" w:sz="4" w:space="0" w:color="auto"/>
              <w:right w:val="single" w:sz="4" w:space="0" w:color="auto"/>
            </w:tcBorders>
            <w:shd w:val="clear" w:color="000000" w:fill="D9D9D9"/>
            <w:noWrap/>
            <w:vAlign w:val="center"/>
            <w:hideMark/>
          </w:tcPr>
          <w:p w14:paraId="5D0A8DCF"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Autobusi</w:t>
            </w:r>
          </w:p>
        </w:tc>
        <w:tc>
          <w:tcPr>
            <w:tcW w:w="603" w:type="pct"/>
            <w:tcBorders>
              <w:top w:val="single" w:sz="4" w:space="0" w:color="auto"/>
              <w:left w:val="nil"/>
              <w:bottom w:val="single" w:sz="4" w:space="0" w:color="auto"/>
              <w:right w:val="single" w:sz="4" w:space="0" w:color="auto"/>
            </w:tcBorders>
            <w:shd w:val="clear" w:color="000000" w:fill="D9D9D9"/>
            <w:noWrap/>
            <w:vAlign w:val="center"/>
            <w:hideMark/>
          </w:tcPr>
          <w:p w14:paraId="78EF2213"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Teretni automobili</w:t>
            </w:r>
          </w:p>
        </w:tc>
        <w:tc>
          <w:tcPr>
            <w:tcW w:w="680" w:type="pct"/>
            <w:tcBorders>
              <w:top w:val="single" w:sz="4" w:space="0" w:color="auto"/>
              <w:left w:val="nil"/>
              <w:bottom w:val="single" w:sz="4" w:space="0" w:color="auto"/>
              <w:right w:val="single" w:sz="4" w:space="0" w:color="auto"/>
            </w:tcBorders>
            <w:shd w:val="clear" w:color="000000" w:fill="D9D9D9"/>
            <w:noWrap/>
            <w:vAlign w:val="center"/>
            <w:hideMark/>
          </w:tcPr>
          <w:p w14:paraId="08FB37FB"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Kombinirani automobili</w:t>
            </w:r>
          </w:p>
        </w:tc>
        <w:tc>
          <w:tcPr>
            <w:tcW w:w="377" w:type="pct"/>
            <w:tcBorders>
              <w:top w:val="single" w:sz="4" w:space="0" w:color="auto"/>
              <w:left w:val="nil"/>
              <w:bottom w:val="single" w:sz="4" w:space="0" w:color="auto"/>
              <w:right w:val="single" w:sz="4" w:space="0" w:color="auto"/>
            </w:tcBorders>
            <w:shd w:val="clear" w:color="000000" w:fill="D9D9D9"/>
            <w:noWrap/>
            <w:vAlign w:val="center"/>
            <w:hideMark/>
          </w:tcPr>
          <w:p w14:paraId="289F3C13"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Radni stroj</w:t>
            </w:r>
          </w:p>
        </w:tc>
        <w:tc>
          <w:tcPr>
            <w:tcW w:w="378" w:type="pct"/>
            <w:tcBorders>
              <w:top w:val="single" w:sz="4" w:space="0" w:color="auto"/>
              <w:left w:val="nil"/>
              <w:bottom w:val="single" w:sz="4" w:space="0" w:color="auto"/>
              <w:right w:val="single" w:sz="4" w:space="0" w:color="auto"/>
            </w:tcBorders>
            <w:shd w:val="clear" w:color="000000" w:fill="D9D9D9"/>
            <w:noWrap/>
            <w:vAlign w:val="center"/>
            <w:hideMark/>
          </w:tcPr>
          <w:p w14:paraId="7FD07EF6"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Traktor</w:t>
            </w:r>
          </w:p>
        </w:tc>
        <w:tc>
          <w:tcPr>
            <w:tcW w:w="413" w:type="pct"/>
            <w:tcBorders>
              <w:top w:val="single" w:sz="4" w:space="0" w:color="auto"/>
              <w:left w:val="nil"/>
              <w:bottom w:val="single" w:sz="4" w:space="0" w:color="auto"/>
              <w:right w:val="single" w:sz="4" w:space="0" w:color="auto"/>
            </w:tcBorders>
            <w:shd w:val="clear" w:color="000000" w:fill="D9D9D9"/>
            <w:noWrap/>
            <w:vAlign w:val="center"/>
            <w:hideMark/>
          </w:tcPr>
          <w:p w14:paraId="7CA3B04E"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UKUPNO</w:t>
            </w:r>
          </w:p>
        </w:tc>
      </w:tr>
      <w:tr w:rsidR="0006574A" w:rsidRPr="0006574A" w14:paraId="60962522"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17D3AF52"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BENZIN</w:t>
            </w:r>
          </w:p>
        </w:tc>
        <w:tc>
          <w:tcPr>
            <w:tcW w:w="375" w:type="pct"/>
            <w:tcBorders>
              <w:top w:val="nil"/>
              <w:left w:val="nil"/>
              <w:bottom w:val="single" w:sz="4" w:space="0" w:color="auto"/>
              <w:right w:val="single" w:sz="4" w:space="0" w:color="auto"/>
            </w:tcBorders>
            <w:shd w:val="clear" w:color="auto" w:fill="auto"/>
            <w:noWrap/>
            <w:vAlign w:val="center"/>
            <w:hideMark/>
          </w:tcPr>
          <w:p w14:paraId="2EF9A818"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10.108</w:t>
            </w:r>
          </w:p>
        </w:tc>
        <w:tc>
          <w:tcPr>
            <w:tcW w:w="432" w:type="pct"/>
            <w:tcBorders>
              <w:top w:val="nil"/>
              <w:left w:val="nil"/>
              <w:bottom w:val="single" w:sz="4" w:space="0" w:color="auto"/>
              <w:right w:val="single" w:sz="4" w:space="0" w:color="auto"/>
            </w:tcBorders>
            <w:shd w:val="clear" w:color="auto" w:fill="auto"/>
            <w:noWrap/>
            <w:vAlign w:val="center"/>
            <w:hideMark/>
          </w:tcPr>
          <w:p w14:paraId="3AB26940"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9.239</w:t>
            </w:r>
          </w:p>
        </w:tc>
        <w:tc>
          <w:tcPr>
            <w:tcW w:w="585" w:type="pct"/>
            <w:tcBorders>
              <w:top w:val="nil"/>
              <w:left w:val="nil"/>
              <w:bottom w:val="single" w:sz="4" w:space="0" w:color="auto"/>
              <w:right w:val="single" w:sz="4" w:space="0" w:color="auto"/>
            </w:tcBorders>
            <w:shd w:val="clear" w:color="auto" w:fill="auto"/>
            <w:noWrap/>
            <w:vAlign w:val="center"/>
            <w:hideMark/>
          </w:tcPr>
          <w:p w14:paraId="697C8F7E"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152.483</w:t>
            </w:r>
          </w:p>
        </w:tc>
        <w:tc>
          <w:tcPr>
            <w:tcW w:w="494" w:type="pct"/>
            <w:tcBorders>
              <w:top w:val="nil"/>
              <w:left w:val="nil"/>
              <w:bottom w:val="single" w:sz="4" w:space="0" w:color="auto"/>
              <w:right w:val="single" w:sz="4" w:space="0" w:color="auto"/>
            </w:tcBorders>
            <w:shd w:val="clear" w:color="auto" w:fill="auto"/>
            <w:noWrap/>
            <w:vAlign w:val="center"/>
            <w:hideMark/>
          </w:tcPr>
          <w:p w14:paraId="6A99CD68"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03" w:type="pct"/>
            <w:tcBorders>
              <w:top w:val="nil"/>
              <w:left w:val="nil"/>
              <w:bottom w:val="single" w:sz="4" w:space="0" w:color="auto"/>
              <w:right w:val="single" w:sz="4" w:space="0" w:color="auto"/>
            </w:tcBorders>
            <w:shd w:val="clear" w:color="auto" w:fill="auto"/>
            <w:noWrap/>
            <w:vAlign w:val="center"/>
            <w:hideMark/>
          </w:tcPr>
          <w:p w14:paraId="2969F98E"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1.055</w:t>
            </w:r>
          </w:p>
        </w:tc>
        <w:tc>
          <w:tcPr>
            <w:tcW w:w="680" w:type="pct"/>
            <w:tcBorders>
              <w:top w:val="nil"/>
              <w:left w:val="nil"/>
              <w:bottom w:val="single" w:sz="4" w:space="0" w:color="auto"/>
              <w:right w:val="single" w:sz="4" w:space="0" w:color="auto"/>
            </w:tcBorders>
            <w:shd w:val="clear" w:color="auto" w:fill="auto"/>
            <w:noWrap/>
            <w:vAlign w:val="center"/>
            <w:hideMark/>
          </w:tcPr>
          <w:p w14:paraId="61979034"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79</w:t>
            </w:r>
          </w:p>
        </w:tc>
        <w:tc>
          <w:tcPr>
            <w:tcW w:w="377" w:type="pct"/>
            <w:tcBorders>
              <w:top w:val="nil"/>
              <w:left w:val="nil"/>
              <w:bottom w:val="single" w:sz="4" w:space="0" w:color="auto"/>
              <w:right w:val="single" w:sz="4" w:space="0" w:color="auto"/>
            </w:tcBorders>
            <w:shd w:val="clear" w:color="auto" w:fill="auto"/>
            <w:noWrap/>
            <w:vAlign w:val="center"/>
            <w:hideMark/>
          </w:tcPr>
          <w:p w14:paraId="0E841002"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10</w:t>
            </w:r>
          </w:p>
        </w:tc>
        <w:tc>
          <w:tcPr>
            <w:tcW w:w="378" w:type="pct"/>
            <w:tcBorders>
              <w:top w:val="nil"/>
              <w:left w:val="nil"/>
              <w:bottom w:val="single" w:sz="4" w:space="0" w:color="auto"/>
              <w:right w:val="single" w:sz="4" w:space="0" w:color="auto"/>
            </w:tcBorders>
            <w:shd w:val="clear" w:color="auto" w:fill="auto"/>
            <w:noWrap/>
            <w:vAlign w:val="center"/>
            <w:hideMark/>
          </w:tcPr>
          <w:p w14:paraId="7B66CC87"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31</w:t>
            </w:r>
          </w:p>
        </w:tc>
        <w:tc>
          <w:tcPr>
            <w:tcW w:w="413" w:type="pct"/>
            <w:tcBorders>
              <w:top w:val="nil"/>
              <w:left w:val="nil"/>
              <w:bottom w:val="single" w:sz="4" w:space="0" w:color="auto"/>
              <w:right w:val="single" w:sz="4" w:space="0" w:color="auto"/>
            </w:tcBorders>
            <w:shd w:val="clear" w:color="auto" w:fill="auto"/>
            <w:noWrap/>
            <w:vAlign w:val="center"/>
            <w:hideMark/>
          </w:tcPr>
          <w:p w14:paraId="31C152E7"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173.005</w:t>
            </w:r>
          </w:p>
        </w:tc>
      </w:tr>
      <w:tr w:rsidR="0006574A" w:rsidRPr="0006574A" w14:paraId="4299A8FE"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7B1B728C"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DIESEL</w:t>
            </w:r>
          </w:p>
        </w:tc>
        <w:tc>
          <w:tcPr>
            <w:tcW w:w="375" w:type="pct"/>
            <w:tcBorders>
              <w:top w:val="nil"/>
              <w:left w:val="nil"/>
              <w:bottom w:val="single" w:sz="4" w:space="0" w:color="auto"/>
              <w:right w:val="single" w:sz="4" w:space="0" w:color="auto"/>
            </w:tcBorders>
            <w:shd w:val="clear" w:color="auto" w:fill="auto"/>
            <w:noWrap/>
            <w:vAlign w:val="center"/>
            <w:hideMark/>
          </w:tcPr>
          <w:p w14:paraId="670665F5"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5</w:t>
            </w:r>
          </w:p>
        </w:tc>
        <w:tc>
          <w:tcPr>
            <w:tcW w:w="432" w:type="pct"/>
            <w:tcBorders>
              <w:top w:val="nil"/>
              <w:left w:val="nil"/>
              <w:bottom w:val="single" w:sz="4" w:space="0" w:color="auto"/>
              <w:right w:val="single" w:sz="4" w:space="0" w:color="auto"/>
            </w:tcBorders>
            <w:shd w:val="clear" w:color="auto" w:fill="auto"/>
            <w:noWrap/>
            <w:vAlign w:val="center"/>
            <w:hideMark/>
          </w:tcPr>
          <w:p w14:paraId="7B826701"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7</w:t>
            </w:r>
          </w:p>
        </w:tc>
        <w:tc>
          <w:tcPr>
            <w:tcW w:w="585" w:type="pct"/>
            <w:tcBorders>
              <w:top w:val="nil"/>
              <w:left w:val="nil"/>
              <w:bottom w:val="single" w:sz="4" w:space="0" w:color="auto"/>
              <w:right w:val="single" w:sz="4" w:space="0" w:color="auto"/>
            </w:tcBorders>
            <w:shd w:val="clear" w:color="auto" w:fill="auto"/>
            <w:noWrap/>
            <w:vAlign w:val="center"/>
            <w:hideMark/>
          </w:tcPr>
          <w:p w14:paraId="54B68CFE"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137.759</w:t>
            </w:r>
          </w:p>
        </w:tc>
        <w:tc>
          <w:tcPr>
            <w:tcW w:w="494" w:type="pct"/>
            <w:tcBorders>
              <w:top w:val="nil"/>
              <w:left w:val="nil"/>
              <w:bottom w:val="single" w:sz="4" w:space="0" w:color="auto"/>
              <w:right w:val="single" w:sz="4" w:space="0" w:color="auto"/>
            </w:tcBorders>
            <w:shd w:val="clear" w:color="auto" w:fill="auto"/>
            <w:noWrap/>
            <w:vAlign w:val="center"/>
            <w:hideMark/>
          </w:tcPr>
          <w:p w14:paraId="7A4BE13C"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823</w:t>
            </w:r>
          </w:p>
        </w:tc>
        <w:tc>
          <w:tcPr>
            <w:tcW w:w="603" w:type="pct"/>
            <w:tcBorders>
              <w:top w:val="nil"/>
              <w:left w:val="nil"/>
              <w:bottom w:val="single" w:sz="4" w:space="0" w:color="auto"/>
              <w:right w:val="single" w:sz="4" w:space="0" w:color="auto"/>
            </w:tcBorders>
            <w:shd w:val="clear" w:color="auto" w:fill="auto"/>
            <w:noWrap/>
            <w:vAlign w:val="center"/>
            <w:hideMark/>
          </w:tcPr>
          <w:p w14:paraId="4C0CA964"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31.332</w:t>
            </w:r>
          </w:p>
        </w:tc>
        <w:tc>
          <w:tcPr>
            <w:tcW w:w="680" w:type="pct"/>
            <w:tcBorders>
              <w:top w:val="nil"/>
              <w:left w:val="nil"/>
              <w:bottom w:val="single" w:sz="4" w:space="0" w:color="auto"/>
              <w:right w:val="single" w:sz="4" w:space="0" w:color="auto"/>
            </w:tcBorders>
            <w:shd w:val="clear" w:color="auto" w:fill="auto"/>
            <w:noWrap/>
            <w:vAlign w:val="center"/>
            <w:hideMark/>
          </w:tcPr>
          <w:p w14:paraId="1CCB3F11"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187</w:t>
            </w:r>
          </w:p>
        </w:tc>
        <w:tc>
          <w:tcPr>
            <w:tcW w:w="377" w:type="pct"/>
            <w:tcBorders>
              <w:top w:val="nil"/>
              <w:left w:val="nil"/>
              <w:bottom w:val="single" w:sz="4" w:space="0" w:color="auto"/>
              <w:right w:val="single" w:sz="4" w:space="0" w:color="auto"/>
            </w:tcBorders>
            <w:shd w:val="clear" w:color="auto" w:fill="auto"/>
            <w:noWrap/>
            <w:vAlign w:val="center"/>
            <w:hideMark/>
          </w:tcPr>
          <w:p w14:paraId="3C3F2B92"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936</w:t>
            </w:r>
          </w:p>
        </w:tc>
        <w:tc>
          <w:tcPr>
            <w:tcW w:w="378" w:type="pct"/>
            <w:tcBorders>
              <w:top w:val="nil"/>
              <w:left w:val="nil"/>
              <w:bottom w:val="single" w:sz="4" w:space="0" w:color="auto"/>
              <w:right w:val="single" w:sz="4" w:space="0" w:color="auto"/>
            </w:tcBorders>
            <w:shd w:val="clear" w:color="auto" w:fill="auto"/>
            <w:noWrap/>
            <w:vAlign w:val="center"/>
            <w:hideMark/>
          </w:tcPr>
          <w:p w14:paraId="5E7742F3"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3.699</w:t>
            </w:r>
          </w:p>
        </w:tc>
        <w:tc>
          <w:tcPr>
            <w:tcW w:w="413" w:type="pct"/>
            <w:tcBorders>
              <w:top w:val="nil"/>
              <w:left w:val="nil"/>
              <w:bottom w:val="single" w:sz="4" w:space="0" w:color="auto"/>
              <w:right w:val="single" w:sz="4" w:space="0" w:color="auto"/>
            </w:tcBorders>
            <w:shd w:val="clear" w:color="auto" w:fill="auto"/>
            <w:noWrap/>
            <w:vAlign w:val="center"/>
            <w:hideMark/>
          </w:tcPr>
          <w:p w14:paraId="205045FC"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174.748</w:t>
            </w:r>
          </w:p>
        </w:tc>
      </w:tr>
      <w:tr w:rsidR="0006574A" w:rsidRPr="0006574A" w14:paraId="014151D2"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1BF4E6F3"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BENZIN-LPG</w:t>
            </w:r>
          </w:p>
        </w:tc>
        <w:tc>
          <w:tcPr>
            <w:tcW w:w="375" w:type="pct"/>
            <w:tcBorders>
              <w:top w:val="nil"/>
              <w:left w:val="nil"/>
              <w:bottom w:val="single" w:sz="4" w:space="0" w:color="auto"/>
              <w:right w:val="single" w:sz="4" w:space="0" w:color="auto"/>
            </w:tcBorders>
            <w:shd w:val="clear" w:color="auto" w:fill="auto"/>
            <w:noWrap/>
            <w:vAlign w:val="center"/>
            <w:hideMark/>
          </w:tcPr>
          <w:p w14:paraId="1D4CC77B"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32" w:type="pct"/>
            <w:tcBorders>
              <w:top w:val="nil"/>
              <w:left w:val="nil"/>
              <w:bottom w:val="single" w:sz="4" w:space="0" w:color="auto"/>
              <w:right w:val="single" w:sz="4" w:space="0" w:color="auto"/>
            </w:tcBorders>
            <w:shd w:val="clear" w:color="auto" w:fill="auto"/>
            <w:noWrap/>
            <w:vAlign w:val="center"/>
            <w:hideMark/>
          </w:tcPr>
          <w:p w14:paraId="258D6CF0"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w:t>
            </w:r>
          </w:p>
        </w:tc>
        <w:tc>
          <w:tcPr>
            <w:tcW w:w="585" w:type="pct"/>
            <w:tcBorders>
              <w:top w:val="nil"/>
              <w:left w:val="nil"/>
              <w:bottom w:val="single" w:sz="4" w:space="0" w:color="auto"/>
              <w:right w:val="single" w:sz="4" w:space="0" w:color="auto"/>
            </w:tcBorders>
            <w:shd w:val="clear" w:color="auto" w:fill="auto"/>
            <w:noWrap/>
            <w:vAlign w:val="center"/>
            <w:hideMark/>
          </w:tcPr>
          <w:p w14:paraId="3D98EFF4"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10.968</w:t>
            </w:r>
          </w:p>
        </w:tc>
        <w:tc>
          <w:tcPr>
            <w:tcW w:w="494" w:type="pct"/>
            <w:tcBorders>
              <w:top w:val="nil"/>
              <w:left w:val="nil"/>
              <w:bottom w:val="single" w:sz="4" w:space="0" w:color="auto"/>
              <w:right w:val="single" w:sz="4" w:space="0" w:color="auto"/>
            </w:tcBorders>
            <w:shd w:val="clear" w:color="auto" w:fill="auto"/>
            <w:noWrap/>
            <w:vAlign w:val="center"/>
            <w:hideMark/>
          </w:tcPr>
          <w:p w14:paraId="2F3A4965"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03" w:type="pct"/>
            <w:tcBorders>
              <w:top w:val="nil"/>
              <w:left w:val="nil"/>
              <w:bottom w:val="single" w:sz="4" w:space="0" w:color="auto"/>
              <w:right w:val="single" w:sz="4" w:space="0" w:color="auto"/>
            </w:tcBorders>
            <w:shd w:val="clear" w:color="auto" w:fill="auto"/>
            <w:noWrap/>
            <w:vAlign w:val="center"/>
            <w:hideMark/>
          </w:tcPr>
          <w:p w14:paraId="6A1E74CA"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205</w:t>
            </w:r>
          </w:p>
        </w:tc>
        <w:tc>
          <w:tcPr>
            <w:tcW w:w="680" w:type="pct"/>
            <w:tcBorders>
              <w:top w:val="nil"/>
              <w:left w:val="nil"/>
              <w:bottom w:val="single" w:sz="4" w:space="0" w:color="auto"/>
              <w:right w:val="single" w:sz="4" w:space="0" w:color="auto"/>
            </w:tcBorders>
            <w:shd w:val="clear" w:color="auto" w:fill="auto"/>
            <w:noWrap/>
            <w:vAlign w:val="center"/>
            <w:hideMark/>
          </w:tcPr>
          <w:p w14:paraId="2D736611"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4</w:t>
            </w:r>
          </w:p>
        </w:tc>
        <w:tc>
          <w:tcPr>
            <w:tcW w:w="377" w:type="pct"/>
            <w:tcBorders>
              <w:top w:val="nil"/>
              <w:left w:val="nil"/>
              <w:bottom w:val="single" w:sz="4" w:space="0" w:color="auto"/>
              <w:right w:val="single" w:sz="4" w:space="0" w:color="auto"/>
            </w:tcBorders>
            <w:shd w:val="clear" w:color="auto" w:fill="auto"/>
            <w:noWrap/>
            <w:vAlign w:val="center"/>
            <w:hideMark/>
          </w:tcPr>
          <w:p w14:paraId="3F1F573E"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19</w:t>
            </w:r>
          </w:p>
        </w:tc>
        <w:tc>
          <w:tcPr>
            <w:tcW w:w="378" w:type="pct"/>
            <w:tcBorders>
              <w:top w:val="nil"/>
              <w:left w:val="nil"/>
              <w:bottom w:val="single" w:sz="4" w:space="0" w:color="auto"/>
              <w:right w:val="single" w:sz="4" w:space="0" w:color="auto"/>
            </w:tcBorders>
            <w:shd w:val="clear" w:color="auto" w:fill="auto"/>
            <w:noWrap/>
            <w:vAlign w:val="center"/>
            <w:hideMark/>
          </w:tcPr>
          <w:p w14:paraId="3062C0CA"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13" w:type="pct"/>
            <w:tcBorders>
              <w:top w:val="nil"/>
              <w:left w:val="nil"/>
              <w:bottom w:val="single" w:sz="4" w:space="0" w:color="auto"/>
              <w:right w:val="single" w:sz="4" w:space="0" w:color="auto"/>
            </w:tcBorders>
            <w:shd w:val="clear" w:color="auto" w:fill="auto"/>
            <w:noWrap/>
            <w:vAlign w:val="center"/>
            <w:hideMark/>
          </w:tcPr>
          <w:p w14:paraId="578AC200"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11.197</w:t>
            </w:r>
          </w:p>
        </w:tc>
      </w:tr>
      <w:tr w:rsidR="0006574A" w:rsidRPr="0006574A" w14:paraId="2EFEF23A"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41EC9445"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BENZIN-NG</w:t>
            </w:r>
          </w:p>
        </w:tc>
        <w:tc>
          <w:tcPr>
            <w:tcW w:w="375" w:type="pct"/>
            <w:tcBorders>
              <w:top w:val="nil"/>
              <w:left w:val="nil"/>
              <w:bottom w:val="single" w:sz="4" w:space="0" w:color="auto"/>
              <w:right w:val="single" w:sz="4" w:space="0" w:color="auto"/>
            </w:tcBorders>
            <w:shd w:val="clear" w:color="auto" w:fill="auto"/>
            <w:noWrap/>
            <w:vAlign w:val="center"/>
            <w:hideMark/>
          </w:tcPr>
          <w:p w14:paraId="2C00F0A3"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32" w:type="pct"/>
            <w:tcBorders>
              <w:top w:val="nil"/>
              <w:left w:val="nil"/>
              <w:bottom w:val="single" w:sz="4" w:space="0" w:color="auto"/>
              <w:right w:val="single" w:sz="4" w:space="0" w:color="auto"/>
            </w:tcBorders>
            <w:shd w:val="clear" w:color="auto" w:fill="auto"/>
            <w:noWrap/>
            <w:vAlign w:val="center"/>
            <w:hideMark/>
          </w:tcPr>
          <w:p w14:paraId="3B1C6CCA"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w:t>
            </w:r>
          </w:p>
        </w:tc>
        <w:tc>
          <w:tcPr>
            <w:tcW w:w="585" w:type="pct"/>
            <w:tcBorders>
              <w:top w:val="nil"/>
              <w:left w:val="nil"/>
              <w:bottom w:val="single" w:sz="4" w:space="0" w:color="auto"/>
              <w:right w:val="single" w:sz="4" w:space="0" w:color="auto"/>
            </w:tcBorders>
            <w:shd w:val="clear" w:color="auto" w:fill="auto"/>
            <w:noWrap/>
            <w:vAlign w:val="center"/>
            <w:hideMark/>
          </w:tcPr>
          <w:p w14:paraId="4C86577A"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68</w:t>
            </w:r>
          </w:p>
        </w:tc>
        <w:tc>
          <w:tcPr>
            <w:tcW w:w="494" w:type="pct"/>
            <w:tcBorders>
              <w:top w:val="nil"/>
              <w:left w:val="nil"/>
              <w:bottom w:val="single" w:sz="4" w:space="0" w:color="auto"/>
              <w:right w:val="single" w:sz="4" w:space="0" w:color="auto"/>
            </w:tcBorders>
            <w:shd w:val="clear" w:color="auto" w:fill="auto"/>
            <w:noWrap/>
            <w:vAlign w:val="center"/>
            <w:hideMark/>
          </w:tcPr>
          <w:p w14:paraId="58D6B1D8"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62</w:t>
            </w:r>
          </w:p>
        </w:tc>
        <w:tc>
          <w:tcPr>
            <w:tcW w:w="603" w:type="pct"/>
            <w:tcBorders>
              <w:top w:val="nil"/>
              <w:left w:val="nil"/>
              <w:bottom w:val="single" w:sz="4" w:space="0" w:color="auto"/>
              <w:right w:val="single" w:sz="4" w:space="0" w:color="auto"/>
            </w:tcBorders>
            <w:shd w:val="clear" w:color="auto" w:fill="auto"/>
            <w:noWrap/>
            <w:vAlign w:val="center"/>
            <w:hideMark/>
          </w:tcPr>
          <w:p w14:paraId="3F719318"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45</w:t>
            </w:r>
          </w:p>
        </w:tc>
        <w:tc>
          <w:tcPr>
            <w:tcW w:w="680" w:type="pct"/>
            <w:tcBorders>
              <w:top w:val="nil"/>
              <w:left w:val="nil"/>
              <w:bottom w:val="single" w:sz="4" w:space="0" w:color="auto"/>
              <w:right w:val="single" w:sz="4" w:space="0" w:color="auto"/>
            </w:tcBorders>
            <w:shd w:val="clear" w:color="auto" w:fill="auto"/>
            <w:noWrap/>
            <w:vAlign w:val="center"/>
            <w:hideMark/>
          </w:tcPr>
          <w:p w14:paraId="0324E194"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7" w:type="pct"/>
            <w:tcBorders>
              <w:top w:val="nil"/>
              <w:left w:val="nil"/>
              <w:bottom w:val="single" w:sz="4" w:space="0" w:color="auto"/>
              <w:right w:val="single" w:sz="4" w:space="0" w:color="auto"/>
            </w:tcBorders>
            <w:shd w:val="clear" w:color="auto" w:fill="auto"/>
            <w:noWrap/>
            <w:vAlign w:val="center"/>
            <w:hideMark/>
          </w:tcPr>
          <w:p w14:paraId="38EEA6C9"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8" w:type="pct"/>
            <w:tcBorders>
              <w:top w:val="nil"/>
              <w:left w:val="nil"/>
              <w:bottom w:val="single" w:sz="4" w:space="0" w:color="auto"/>
              <w:right w:val="single" w:sz="4" w:space="0" w:color="auto"/>
            </w:tcBorders>
            <w:shd w:val="clear" w:color="auto" w:fill="auto"/>
            <w:noWrap/>
            <w:vAlign w:val="center"/>
            <w:hideMark/>
          </w:tcPr>
          <w:p w14:paraId="36813375"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13" w:type="pct"/>
            <w:tcBorders>
              <w:top w:val="nil"/>
              <w:left w:val="nil"/>
              <w:bottom w:val="single" w:sz="4" w:space="0" w:color="auto"/>
              <w:right w:val="single" w:sz="4" w:space="0" w:color="auto"/>
            </w:tcBorders>
            <w:shd w:val="clear" w:color="auto" w:fill="auto"/>
            <w:noWrap/>
            <w:vAlign w:val="center"/>
            <w:hideMark/>
          </w:tcPr>
          <w:p w14:paraId="159FD018"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176</w:t>
            </w:r>
          </w:p>
        </w:tc>
      </w:tr>
      <w:tr w:rsidR="0006574A" w:rsidRPr="0006574A" w14:paraId="379922EA"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059F55D1"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ELEKTRIČNI</w:t>
            </w:r>
          </w:p>
        </w:tc>
        <w:tc>
          <w:tcPr>
            <w:tcW w:w="375" w:type="pct"/>
            <w:tcBorders>
              <w:top w:val="nil"/>
              <w:left w:val="nil"/>
              <w:bottom w:val="single" w:sz="4" w:space="0" w:color="auto"/>
              <w:right w:val="single" w:sz="4" w:space="0" w:color="auto"/>
            </w:tcBorders>
            <w:shd w:val="clear" w:color="auto" w:fill="auto"/>
            <w:noWrap/>
            <w:vAlign w:val="center"/>
            <w:hideMark/>
          </w:tcPr>
          <w:p w14:paraId="4CABF5FC"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136</w:t>
            </w:r>
          </w:p>
        </w:tc>
        <w:tc>
          <w:tcPr>
            <w:tcW w:w="432" w:type="pct"/>
            <w:tcBorders>
              <w:top w:val="nil"/>
              <w:left w:val="nil"/>
              <w:bottom w:val="single" w:sz="4" w:space="0" w:color="auto"/>
              <w:right w:val="single" w:sz="4" w:space="0" w:color="auto"/>
            </w:tcBorders>
            <w:shd w:val="clear" w:color="auto" w:fill="auto"/>
            <w:noWrap/>
            <w:vAlign w:val="center"/>
            <w:hideMark/>
          </w:tcPr>
          <w:p w14:paraId="7C08B430"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18</w:t>
            </w:r>
          </w:p>
        </w:tc>
        <w:tc>
          <w:tcPr>
            <w:tcW w:w="585" w:type="pct"/>
            <w:tcBorders>
              <w:top w:val="nil"/>
              <w:left w:val="nil"/>
              <w:bottom w:val="single" w:sz="4" w:space="0" w:color="auto"/>
              <w:right w:val="single" w:sz="4" w:space="0" w:color="auto"/>
            </w:tcBorders>
            <w:shd w:val="clear" w:color="auto" w:fill="auto"/>
            <w:noWrap/>
            <w:vAlign w:val="center"/>
            <w:hideMark/>
          </w:tcPr>
          <w:p w14:paraId="74F58800"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69</w:t>
            </w:r>
          </w:p>
        </w:tc>
        <w:tc>
          <w:tcPr>
            <w:tcW w:w="494" w:type="pct"/>
            <w:tcBorders>
              <w:top w:val="nil"/>
              <w:left w:val="nil"/>
              <w:bottom w:val="single" w:sz="4" w:space="0" w:color="auto"/>
              <w:right w:val="single" w:sz="4" w:space="0" w:color="auto"/>
            </w:tcBorders>
            <w:shd w:val="clear" w:color="auto" w:fill="auto"/>
            <w:noWrap/>
            <w:vAlign w:val="center"/>
            <w:hideMark/>
          </w:tcPr>
          <w:p w14:paraId="0A6F5DDE"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03" w:type="pct"/>
            <w:tcBorders>
              <w:top w:val="nil"/>
              <w:left w:val="nil"/>
              <w:bottom w:val="single" w:sz="4" w:space="0" w:color="auto"/>
              <w:right w:val="single" w:sz="4" w:space="0" w:color="auto"/>
            </w:tcBorders>
            <w:shd w:val="clear" w:color="auto" w:fill="auto"/>
            <w:noWrap/>
            <w:vAlign w:val="center"/>
            <w:hideMark/>
          </w:tcPr>
          <w:p w14:paraId="6D70B67B"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12</w:t>
            </w:r>
          </w:p>
        </w:tc>
        <w:tc>
          <w:tcPr>
            <w:tcW w:w="680" w:type="pct"/>
            <w:tcBorders>
              <w:top w:val="nil"/>
              <w:left w:val="nil"/>
              <w:bottom w:val="single" w:sz="4" w:space="0" w:color="auto"/>
              <w:right w:val="single" w:sz="4" w:space="0" w:color="auto"/>
            </w:tcBorders>
            <w:shd w:val="clear" w:color="auto" w:fill="auto"/>
            <w:noWrap/>
            <w:vAlign w:val="center"/>
            <w:hideMark/>
          </w:tcPr>
          <w:p w14:paraId="18158CAA"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7" w:type="pct"/>
            <w:tcBorders>
              <w:top w:val="nil"/>
              <w:left w:val="nil"/>
              <w:bottom w:val="single" w:sz="4" w:space="0" w:color="auto"/>
              <w:right w:val="single" w:sz="4" w:space="0" w:color="auto"/>
            </w:tcBorders>
            <w:shd w:val="clear" w:color="auto" w:fill="auto"/>
            <w:noWrap/>
            <w:vAlign w:val="center"/>
            <w:hideMark/>
          </w:tcPr>
          <w:p w14:paraId="0DC21287"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3</w:t>
            </w:r>
          </w:p>
        </w:tc>
        <w:tc>
          <w:tcPr>
            <w:tcW w:w="378" w:type="pct"/>
            <w:tcBorders>
              <w:top w:val="nil"/>
              <w:left w:val="nil"/>
              <w:bottom w:val="single" w:sz="4" w:space="0" w:color="auto"/>
              <w:right w:val="single" w:sz="4" w:space="0" w:color="auto"/>
            </w:tcBorders>
            <w:shd w:val="clear" w:color="auto" w:fill="auto"/>
            <w:noWrap/>
            <w:vAlign w:val="center"/>
            <w:hideMark/>
          </w:tcPr>
          <w:p w14:paraId="694D846E"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13" w:type="pct"/>
            <w:tcBorders>
              <w:top w:val="nil"/>
              <w:left w:val="nil"/>
              <w:bottom w:val="single" w:sz="4" w:space="0" w:color="auto"/>
              <w:right w:val="single" w:sz="4" w:space="0" w:color="auto"/>
            </w:tcBorders>
            <w:shd w:val="clear" w:color="auto" w:fill="auto"/>
            <w:noWrap/>
            <w:vAlign w:val="center"/>
            <w:hideMark/>
          </w:tcPr>
          <w:p w14:paraId="5DDE636D"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238</w:t>
            </w:r>
          </w:p>
        </w:tc>
      </w:tr>
      <w:tr w:rsidR="0006574A" w:rsidRPr="0006574A" w14:paraId="69A94688"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08DD4E71"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HIBRIDNO VOZILO</w:t>
            </w:r>
          </w:p>
        </w:tc>
        <w:tc>
          <w:tcPr>
            <w:tcW w:w="375" w:type="pct"/>
            <w:tcBorders>
              <w:top w:val="nil"/>
              <w:left w:val="nil"/>
              <w:bottom w:val="single" w:sz="4" w:space="0" w:color="auto"/>
              <w:right w:val="single" w:sz="4" w:space="0" w:color="auto"/>
            </w:tcBorders>
            <w:shd w:val="clear" w:color="auto" w:fill="auto"/>
            <w:noWrap/>
            <w:vAlign w:val="center"/>
            <w:hideMark/>
          </w:tcPr>
          <w:p w14:paraId="2D16F9F4"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32" w:type="pct"/>
            <w:tcBorders>
              <w:top w:val="nil"/>
              <w:left w:val="nil"/>
              <w:bottom w:val="single" w:sz="4" w:space="0" w:color="auto"/>
              <w:right w:val="single" w:sz="4" w:space="0" w:color="auto"/>
            </w:tcBorders>
            <w:shd w:val="clear" w:color="auto" w:fill="auto"/>
            <w:noWrap/>
            <w:vAlign w:val="center"/>
            <w:hideMark/>
          </w:tcPr>
          <w:p w14:paraId="657FC241"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585" w:type="pct"/>
            <w:tcBorders>
              <w:top w:val="nil"/>
              <w:left w:val="nil"/>
              <w:bottom w:val="single" w:sz="4" w:space="0" w:color="auto"/>
              <w:right w:val="single" w:sz="4" w:space="0" w:color="auto"/>
            </w:tcBorders>
            <w:shd w:val="clear" w:color="auto" w:fill="auto"/>
            <w:noWrap/>
            <w:vAlign w:val="center"/>
            <w:hideMark/>
          </w:tcPr>
          <w:p w14:paraId="714C35CA"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495</w:t>
            </w:r>
          </w:p>
        </w:tc>
        <w:tc>
          <w:tcPr>
            <w:tcW w:w="494" w:type="pct"/>
            <w:tcBorders>
              <w:top w:val="nil"/>
              <w:left w:val="nil"/>
              <w:bottom w:val="single" w:sz="4" w:space="0" w:color="auto"/>
              <w:right w:val="single" w:sz="4" w:space="0" w:color="auto"/>
            </w:tcBorders>
            <w:shd w:val="clear" w:color="auto" w:fill="auto"/>
            <w:noWrap/>
            <w:vAlign w:val="center"/>
            <w:hideMark/>
          </w:tcPr>
          <w:p w14:paraId="13B88218"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03" w:type="pct"/>
            <w:tcBorders>
              <w:top w:val="nil"/>
              <w:left w:val="nil"/>
              <w:bottom w:val="single" w:sz="4" w:space="0" w:color="auto"/>
              <w:right w:val="single" w:sz="4" w:space="0" w:color="auto"/>
            </w:tcBorders>
            <w:shd w:val="clear" w:color="auto" w:fill="auto"/>
            <w:noWrap/>
            <w:vAlign w:val="center"/>
            <w:hideMark/>
          </w:tcPr>
          <w:p w14:paraId="28638200"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2</w:t>
            </w:r>
          </w:p>
        </w:tc>
        <w:tc>
          <w:tcPr>
            <w:tcW w:w="680" w:type="pct"/>
            <w:tcBorders>
              <w:top w:val="nil"/>
              <w:left w:val="nil"/>
              <w:bottom w:val="single" w:sz="4" w:space="0" w:color="auto"/>
              <w:right w:val="single" w:sz="4" w:space="0" w:color="auto"/>
            </w:tcBorders>
            <w:shd w:val="clear" w:color="auto" w:fill="auto"/>
            <w:noWrap/>
            <w:vAlign w:val="center"/>
            <w:hideMark/>
          </w:tcPr>
          <w:p w14:paraId="0C7F0515"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7" w:type="pct"/>
            <w:tcBorders>
              <w:top w:val="nil"/>
              <w:left w:val="nil"/>
              <w:bottom w:val="single" w:sz="4" w:space="0" w:color="auto"/>
              <w:right w:val="single" w:sz="4" w:space="0" w:color="auto"/>
            </w:tcBorders>
            <w:shd w:val="clear" w:color="auto" w:fill="auto"/>
            <w:noWrap/>
            <w:vAlign w:val="center"/>
            <w:hideMark/>
          </w:tcPr>
          <w:p w14:paraId="7FF2AA40"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w:t>
            </w:r>
          </w:p>
        </w:tc>
        <w:tc>
          <w:tcPr>
            <w:tcW w:w="378" w:type="pct"/>
            <w:tcBorders>
              <w:top w:val="nil"/>
              <w:left w:val="nil"/>
              <w:bottom w:val="single" w:sz="4" w:space="0" w:color="auto"/>
              <w:right w:val="single" w:sz="4" w:space="0" w:color="auto"/>
            </w:tcBorders>
            <w:shd w:val="clear" w:color="auto" w:fill="auto"/>
            <w:noWrap/>
            <w:vAlign w:val="center"/>
            <w:hideMark/>
          </w:tcPr>
          <w:p w14:paraId="1B7A5F39"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13" w:type="pct"/>
            <w:tcBorders>
              <w:top w:val="nil"/>
              <w:left w:val="nil"/>
              <w:bottom w:val="single" w:sz="4" w:space="0" w:color="auto"/>
              <w:right w:val="single" w:sz="4" w:space="0" w:color="auto"/>
            </w:tcBorders>
            <w:shd w:val="clear" w:color="auto" w:fill="auto"/>
            <w:noWrap/>
            <w:vAlign w:val="center"/>
            <w:hideMark/>
          </w:tcPr>
          <w:p w14:paraId="40A3DEDB"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498</w:t>
            </w:r>
          </w:p>
        </w:tc>
      </w:tr>
      <w:tr w:rsidR="0006574A" w:rsidRPr="0006574A" w14:paraId="64547A16"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1E03BA7B"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HIBRIDNO V. S V.P.</w:t>
            </w:r>
          </w:p>
        </w:tc>
        <w:tc>
          <w:tcPr>
            <w:tcW w:w="375" w:type="pct"/>
            <w:tcBorders>
              <w:top w:val="nil"/>
              <w:left w:val="nil"/>
              <w:bottom w:val="single" w:sz="4" w:space="0" w:color="auto"/>
              <w:right w:val="single" w:sz="4" w:space="0" w:color="auto"/>
            </w:tcBorders>
            <w:shd w:val="clear" w:color="auto" w:fill="auto"/>
            <w:noWrap/>
            <w:vAlign w:val="center"/>
            <w:hideMark/>
          </w:tcPr>
          <w:p w14:paraId="1015C9D1"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32" w:type="pct"/>
            <w:tcBorders>
              <w:top w:val="nil"/>
              <w:left w:val="nil"/>
              <w:bottom w:val="single" w:sz="4" w:space="0" w:color="auto"/>
              <w:right w:val="single" w:sz="4" w:space="0" w:color="auto"/>
            </w:tcBorders>
            <w:shd w:val="clear" w:color="auto" w:fill="auto"/>
            <w:noWrap/>
            <w:vAlign w:val="center"/>
            <w:hideMark/>
          </w:tcPr>
          <w:p w14:paraId="2EEC1531"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585" w:type="pct"/>
            <w:tcBorders>
              <w:top w:val="nil"/>
              <w:left w:val="nil"/>
              <w:bottom w:val="single" w:sz="4" w:space="0" w:color="auto"/>
              <w:right w:val="single" w:sz="4" w:space="0" w:color="auto"/>
            </w:tcBorders>
            <w:shd w:val="clear" w:color="auto" w:fill="auto"/>
            <w:noWrap/>
            <w:vAlign w:val="center"/>
            <w:hideMark/>
          </w:tcPr>
          <w:p w14:paraId="31F5D078"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11</w:t>
            </w:r>
          </w:p>
        </w:tc>
        <w:tc>
          <w:tcPr>
            <w:tcW w:w="494" w:type="pct"/>
            <w:tcBorders>
              <w:top w:val="nil"/>
              <w:left w:val="nil"/>
              <w:bottom w:val="single" w:sz="4" w:space="0" w:color="auto"/>
              <w:right w:val="single" w:sz="4" w:space="0" w:color="auto"/>
            </w:tcBorders>
            <w:shd w:val="clear" w:color="auto" w:fill="auto"/>
            <w:noWrap/>
            <w:vAlign w:val="center"/>
            <w:hideMark/>
          </w:tcPr>
          <w:p w14:paraId="3E4B5300"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03" w:type="pct"/>
            <w:tcBorders>
              <w:top w:val="nil"/>
              <w:left w:val="nil"/>
              <w:bottom w:val="single" w:sz="4" w:space="0" w:color="auto"/>
              <w:right w:val="single" w:sz="4" w:space="0" w:color="auto"/>
            </w:tcBorders>
            <w:shd w:val="clear" w:color="auto" w:fill="auto"/>
            <w:noWrap/>
            <w:vAlign w:val="center"/>
            <w:hideMark/>
          </w:tcPr>
          <w:p w14:paraId="6ABC04CF"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80" w:type="pct"/>
            <w:tcBorders>
              <w:top w:val="nil"/>
              <w:left w:val="nil"/>
              <w:bottom w:val="single" w:sz="4" w:space="0" w:color="auto"/>
              <w:right w:val="single" w:sz="4" w:space="0" w:color="auto"/>
            </w:tcBorders>
            <w:shd w:val="clear" w:color="auto" w:fill="auto"/>
            <w:noWrap/>
            <w:vAlign w:val="center"/>
            <w:hideMark/>
          </w:tcPr>
          <w:p w14:paraId="4A1162EC"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7" w:type="pct"/>
            <w:tcBorders>
              <w:top w:val="nil"/>
              <w:left w:val="nil"/>
              <w:bottom w:val="single" w:sz="4" w:space="0" w:color="auto"/>
              <w:right w:val="single" w:sz="4" w:space="0" w:color="auto"/>
            </w:tcBorders>
            <w:shd w:val="clear" w:color="auto" w:fill="auto"/>
            <w:noWrap/>
            <w:vAlign w:val="center"/>
            <w:hideMark/>
          </w:tcPr>
          <w:p w14:paraId="180CDCE4"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8" w:type="pct"/>
            <w:tcBorders>
              <w:top w:val="nil"/>
              <w:left w:val="nil"/>
              <w:bottom w:val="single" w:sz="4" w:space="0" w:color="auto"/>
              <w:right w:val="single" w:sz="4" w:space="0" w:color="auto"/>
            </w:tcBorders>
            <w:shd w:val="clear" w:color="auto" w:fill="auto"/>
            <w:noWrap/>
            <w:vAlign w:val="center"/>
            <w:hideMark/>
          </w:tcPr>
          <w:p w14:paraId="4082D28C"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13" w:type="pct"/>
            <w:tcBorders>
              <w:top w:val="nil"/>
              <w:left w:val="nil"/>
              <w:bottom w:val="single" w:sz="4" w:space="0" w:color="auto"/>
              <w:right w:val="single" w:sz="4" w:space="0" w:color="auto"/>
            </w:tcBorders>
            <w:shd w:val="clear" w:color="auto" w:fill="auto"/>
            <w:noWrap/>
            <w:vAlign w:val="center"/>
            <w:hideMark/>
          </w:tcPr>
          <w:p w14:paraId="75D415C7"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11</w:t>
            </w:r>
          </w:p>
        </w:tc>
      </w:tr>
      <w:tr w:rsidR="0006574A" w:rsidRPr="0006574A" w14:paraId="78B82E80"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17DC9581"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LPG</w:t>
            </w:r>
          </w:p>
        </w:tc>
        <w:tc>
          <w:tcPr>
            <w:tcW w:w="375" w:type="pct"/>
            <w:tcBorders>
              <w:top w:val="nil"/>
              <w:left w:val="nil"/>
              <w:bottom w:val="single" w:sz="4" w:space="0" w:color="auto"/>
              <w:right w:val="single" w:sz="4" w:space="0" w:color="auto"/>
            </w:tcBorders>
            <w:shd w:val="clear" w:color="auto" w:fill="auto"/>
            <w:noWrap/>
            <w:vAlign w:val="center"/>
            <w:hideMark/>
          </w:tcPr>
          <w:p w14:paraId="046044D7"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32" w:type="pct"/>
            <w:tcBorders>
              <w:top w:val="nil"/>
              <w:left w:val="nil"/>
              <w:bottom w:val="single" w:sz="4" w:space="0" w:color="auto"/>
              <w:right w:val="single" w:sz="4" w:space="0" w:color="auto"/>
            </w:tcBorders>
            <w:shd w:val="clear" w:color="auto" w:fill="auto"/>
            <w:noWrap/>
            <w:vAlign w:val="center"/>
            <w:hideMark/>
          </w:tcPr>
          <w:p w14:paraId="7C3DB0D0"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585" w:type="pct"/>
            <w:tcBorders>
              <w:top w:val="nil"/>
              <w:left w:val="nil"/>
              <w:bottom w:val="single" w:sz="4" w:space="0" w:color="auto"/>
              <w:right w:val="single" w:sz="4" w:space="0" w:color="auto"/>
            </w:tcBorders>
            <w:shd w:val="clear" w:color="auto" w:fill="auto"/>
            <w:noWrap/>
            <w:vAlign w:val="center"/>
            <w:hideMark/>
          </w:tcPr>
          <w:p w14:paraId="65B50B0E"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5</w:t>
            </w:r>
          </w:p>
        </w:tc>
        <w:tc>
          <w:tcPr>
            <w:tcW w:w="494" w:type="pct"/>
            <w:tcBorders>
              <w:top w:val="nil"/>
              <w:left w:val="nil"/>
              <w:bottom w:val="single" w:sz="4" w:space="0" w:color="auto"/>
              <w:right w:val="single" w:sz="4" w:space="0" w:color="auto"/>
            </w:tcBorders>
            <w:shd w:val="clear" w:color="auto" w:fill="auto"/>
            <w:noWrap/>
            <w:vAlign w:val="center"/>
            <w:hideMark/>
          </w:tcPr>
          <w:p w14:paraId="6D75FCB6"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03" w:type="pct"/>
            <w:tcBorders>
              <w:top w:val="nil"/>
              <w:left w:val="nil"/>
              <w:bottom w:val="single" w:sz="4" w:space="0" w:color="auto"/>
              <w:right w:val="single" w:sz="4" w:space="0" w:color="auto"/>
            </w:tcBorders>
            <w:shd w:val="clear" w:color="auto" w:fill="auto"/>
            <w:noWrap/>
            <w:vAlign w:val="center"/>
            <w:hideMark/>
          </w:tcPr>
          <w:p w14:paraId="626CD025"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80" w:type="pct"/>
            <w:tcBorders>
              <w:top w:val="nil"/>
              <w:left w:val="nil"/>
              <w:bottom w:val="single" w:sz="4" w:space="0" w:color="auto"/>
              <w:right w:val="single" w:sz="4" w:space="0" w:color="auto"/>
            </w:tcBorders>
            <w:shd w:val="clear" w:color="auto" w:fill="auto"/>
            <w:noWrap/>
            <w:vAlign w:val="center"/>
            <w:hideMark/>
          </w:tcPr>
          <w:p w14:paraId="037A0937"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7" w:type="pct"/>
            <w:tcBorders>
              <w:top w:val="nil"/>
              <w:left w:val="nil"/>
              <w:bottom w:val="single" w:sz="4" w:space="0" w:color="auto"/>
              <w:right w:val="single" w:sz="4" w:space="0" w:color="auto"/>
            </w:tcBorders>
            <w:shd w:val="clear" w:color="auto" w:fill="auto"/>
            <w:noWrap/>
            <w:vAlign w:val="center"/>
            <w:hideMark/>
          </w:tcPr>
          <w:p w14:paraId="7BC03A6D"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8" w:type="pct"/>
            <w:tcBorders>
              <w:top w:val="nil"/>
              <w:left w:val="nil"/>
              <w:bottom w:val="single" w:sz="4" w:space="0" w:color="auto"/>
              <w:right w:val="single" w:sz="4" w:space="0" w:color="auto"/>
            </w:tcBorders>
            <w:shd w:val="clear" w:color="auto" w:fill="auto"/>
            <w:noWrap/>
            <w:vAlign w:val="center"/>
            <w:hideMark/>
          </w:tcPr>
          <w:p w14:paraId="188E5153"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13" w:type="pct"/>
            <w:tcBorders>
              <w:top w:val="nil"/>
              <w:left w:val="nil"/>
              <w:bottom w:val="single" w:sz="4" w:space="0" w:color="auto"/>
              <w:right w:val="single" w:sz="4" w:space="0" w:color="auto"/>
            </w:tcBorders>
            <w:shd w:val="clear" w:color="auto" w:fill="auto"/>
            <w:noWrap/>
            <w:vAlign w:val="center"/>
            <w:hideMark/>
          </w:tcPr>
          <w:p w14:paraId="26D29C05"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5</w:t>
            </w:r>
          </w:p>
        </w:tc>
      </w:tr>
      <w:tr w:rsidR="0006574A" w:rsidRPr="0006574A" w14:paraId="0140E21A"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4CDCD7AA"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DIZEL-BIODIZEL</w:t>
            </w:r>
          </w:p>
        </w:tc>
        <w:tc>
          <w:tcPr>
            <w:tcW w:w="375" w:type="pct"/>
            <w:tcBorders>
              <w:top w:val="nil"/>
              <w:left w:val="nil"/>
              <w:bottom w:val="single" w:sz="4" w:space="0" w:color="auto"/>
              <w:right w:val="single" w:sz="4" w:space="0" w:color="auto"/>
            </w:tcBorders>
            <w:shd w:val="clear" w:color="auto" w:fill="auto"/>
            <w:noWrap/>
            <w:vAlign w:val="center"/>
            <w:hideMark/>
          </w:tcPr>
          <w:p w14:paraId="4F4A75A4"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32" w:type="pct"/>
            <w:tcBorders>
              <w:top w:val="nil"/>
              <w:left w:val="nil"/>
              <w:bottom w:val="single" w:sz="4" w:space="0" w:color="auto"/>
              <w:right w:val="single" w:sz="4" w:space="0" w:color="auto"/>
            </w:tcBorders>
            <w:shd w:val="clear" w:color="auto" w:fill="auto"/>
            <w:noWrap/>
            <w:vAlign w:val="center"/>
            <w:hideMark/>
          </w:tcPr>
          <w:p w14:paraId="768FE918"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585" w:type="pct"/>
            <w:tcBorders>
              <w:top w:val="nil"/>
              <w:left w:val="nil"/>
              <w:bottom w:val="single" w:sz="4" w:space="0" w:color="auto"/>
              <w:right w:val="single" w:sz="4" w:space="0" w:color="auto"/>
            </w:tcBorders>
            <w:shd w:val="clear" w:color="auto" w:fill="auto"/>
            <w:noWrap/>
            <w:vAlign w:val="center"/>
            <w:hideMark/>
          </w:tcPr>
          <w:p w14:paraId="09EE39BB"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w:t>
            </w:r>
          </w:p>
        </w:tc>
        <w:tc>
          <w:tcPr>
            <w:tcW w:w="494" w:type="pct"/>
            <w:tcBorders>
              <w:top w:val="nil"/>
              <w:left w:val="nil"/>
              <w:bottom w:val="single" w:sz="4" w:space="0" w:color="auto"/>
              <w:right w:val="single" w:sz="4" w:space="0" w:color="auto"/>
            </w:tcBorders>
            <w:shd w:val="clear" w:color="auto" w:fill="auto"/>
            <w:noWrap/>
            <w:vAlign w:val="center"/>
            <w:hideMark/>
          </w:tcPr>
          <w:p w14:paraId="13295FBA"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03" w:type="pct"/>
            <w:tcBorders>
              <w:top w:val="nil"/>
              <w:left w:val="nil"/>
              <w:bottom w:val="single" w:sz="4" w:space="0" w:color="auto"/>
              <w:right w:val="single" w:sz="4" w:space="0" w:color="auto"/>
            </w:tcBorders>
            <w:shd w:val="clear" w:color="auto" w:fill="auto"/>
            <w:noWrap/>
            <w:vAlign w:val="center"/>
            <w:hideMark/>
          </w:tcPr>
          <w:p w14:paraId="354A1D2A"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80" w:type="pct"/>
            <w:tcBorders>
              <w:top w:val="nil"/>
              <w:left w:val="nil"/>
              <w:bottom w:val="single" w:sz="4" w:space="0" w:color="auto"/>
              <w:right w:val="single" w:sz="4" w:space="0" w:color="auto"/>
            </w:tcBorders>
            <w:shd w:val="clear" w:color="auto" w:fill="auto"/>
            <w:noWrap/>
            <w:vAlign w:val="center"/>
            <w:hideMark/>
          </w:tcPr>
          <w:p w14:paraId="774DAFBE"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7" w:type="pct"/>
            <w:tcBorders>
              <w:top w:val="nil"/>
              <w:left w:val="nil"/>
              <w:bottom w:val="single" w:sz="4" w:space="0" w:color="auto"/>
              <w:right w:val="single" w:sz="4" w:space="0" w:color="auto"/>
            </w:tcBorders>
            <w:shd w:val="clear" w:color="auto" w:fill="auto"/>
            <w:noWrap/>
            <w:vAlign w:val="center"/>
            <w:hideMark/>
          </w:tcPr>
          <w:p w14:paraId="7A5C03E8"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8" w:type="pct"/>
            <w:tcBorders>
              <w:top w:val="nil"/>
              <w:left w:val="nil"/>
              <w:bottom w:val="single" w:sz="4" w:space="0" w:color="auto"/>
              <w:right w:val="single" w:sz="4" w:space="0" w:color="auto"/>
            </w:tcBorders>
            <w:shd w:val="clear" w:color="auto" w:fill="auto"/>
            <w:noWrap/>
            <w:vAlign w:val="center"/>
            <w:hideMark/>
          </w:tcPr>
          <w:p w14:paraId="370ECD19"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13" w:type="pct"/>
            <w:tcBorders>
              <w:top w:val="nil"/>
              <w:left w:val="nil"/>
              <w:bottom w:val="single" w:sz="4" w:space="0" w:color="auto"/>
              <w:right w:val="single" w:sz="4" w:space="0" w:color="auto"/>
            </w:tcBorders>
            <w:shd w:val="clear" w:color="auto" w:fill="auto"/>
            <w:noWrap/>
            <w:vAlign w:val="center"/>
            <w:hideMark/>
          </w:tcPr>
          <w:p w14:paraId="4DDF0EA0"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1</w:t>
            </w:r>
          </w:p>
        </w:tc>
      </w:tr>
      <w:tr w:rsidR="0006574A" w:rsidRPr="0006574A" w14:paraId="29603BF7"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312EA7FC"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DIZEL - LPG</w:t>
            </w:r>
          </w:p>
        </w:tc>
        <w:tc>
          <w:tcPr>
            <w:tcW w:w="375" w:type="pct"/>
            <w:tcBorders>
              <w:top w:val="nil"/>
              <w:left w:val="nil"/>
              <w:bottom w:val="single" w:sz="4" w:space="0" w:color="auto"/>
              <w:right w:val="single" w:sz="4" w:space="0" w:color="auto"/>
            </w:tcBorders>
            <w:shd w:val="clear" w:color="auto" w:fill="auto"/>
            <w:noWrap/>
            <w:vAlign w:val="center"/>
            <w:hideMark/>
          </w:tcPr>
          <w:p w14:paraId="65EF2C49"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32" w:type="pct"/>
            <w:tcBorders>
              <w:top w:val="nil"/>
              <w:left w:val="nil"/>
              <w:bottom w:val="single" w:sz="4" w:space="0" w:color="auto"/>
              <w:right w:val="single" w:sz="4" w:space="0" w:color="auto"/>
            </w:tcBorders>
            <w:shd w:val="clear" w:color="auto" w:fill="auto"/>
            <w:noWrap/>
            <w:vAlign w:val="center"/>
            <w:hideMark/>
          </w:tcPr>
          <w:p w14:paraId="2382EBA3"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585" w:type="pct"/>
            <w:tcBorders>
              <w:top w:val="nil"/>
              <w:left w:val="nil"/>
              <w:bottom w:val="single" w:sz="4" w:space="0" w:color="auto"/>
              <w:right w:val="single" w:sz="4" w:space="0" w:color="auto"/>
            </w:tcBorders>
            <w:shd w:val="clear" w:color="auto" w:fill="auto"/>
            <w:noWrap/>
            <w:vAlign w:val="center"/>
            <w:hideMark/>
          </w:tcPr>
          <w:p w14:paraId="709698CA"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w:t>
            </w:r>
          </w:p>
        </w:tc>
        <w:tc>
          <w:tcPr>
            <w:tcW w:w="494" w:type="pct"/>
            <w:tcBorders>
              <w:top w:val="nil"/>
              <w:left w:val="nil"/>
              <w:bottom w:val="single" w:sz="4" w:space="0" w:color="auto"/>
              <w:right w:val="single" w:sz="4" w:space="0" w:color="auto"/>
            </w:tcBorders>
            <w:shd w:val="clear" w:color="auto" w:fill="auto"/>
            <w:noWrap/>
            <w:vAlign w:val="center"/>
            <w:hideMark/>
          </w:tcPr>
          <w:p w14:paraId="5C706FA6"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03" w:type="pct"/>
            <w:tcBorders>
              <w:top w:val="nil"/>
              <w:left w:val="nil"/>
              <w:bottom w:val="single" w:sz="4" w:space="0" w:color="auto"/>
              <w:right w:val="single" w:sz="4" w:space="0" w:color="auto"/>
            </w:tcBorders>
            <w:shd w:val="clear" w:color="auto" w:fill="auto"/>
            <w:noWrap/>
            <w:vAlign w:val="center"/>
            <w:hideMark/>
          </w:tcPr>
          <w:p w14:paraId="60780D4B"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80" w:type="pct"/>
            <w:tcBorders>
              <w:top w:val="nil"/>
              <w:left w:val="nil"/>
              <w:bottom w:val="single" w:sz="4" w:space="0" w:color="auto"/>
              <w:right w:val="single" w:sz="4" w:space="0" w:color="auto"/>
            </w:tcBorders>
            <w:shd w:val="clear" w:color="auto" w:fill="auto"/>
            <w:noWrap/>
            <w:vAlign w:val="center"/>
            <w:hideMark/>
          </w:tcPr>
          <w:p w14:paraId="78A2D5DA"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7" w:type="pct"/>
            <w:tcBorders>
              <w:top w:val="nil"/>
              <w:left w:val="nil"/>
              <w:bottom w:val="single" w:sz="4" w:space="0" w:color="auto"/>
              <w:right w:val="single" w:sz="4" w:space="0" w:color="auto"/>
            </w:tcBorders>
            <w:shd w:val="clear" w:color="auto" w:fill="auto"/>
            <w:noWrap/>
            <w:vAlign w:val="center"/>
            <w:hideMark/>
          </w:tcPr>
          <w:p w14:paraId="19F303B5"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8" w:type="pct"/>
            <w:tcBorders>
              <w:top w:val="nil"/>
              <w:left w:val="nil"/>
              <w:bottom w:val="single" w:sz="4" w:space="0" w:color="auto"/>
              <w:right w:val="single" w:sz="4" w:space="0" w:color="auto"/>
            </w:tcBorders>
            <w:shd w:val="clear" w:color="auto" w:fill="auto"/>
            <w:noWrap/>
            <w:vAlign w:val="center"/>
            <w:hideMark/>
          </w:tcPr>
          <w:p w14:paraId="1AE205CE"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13" w:type="pct"/>
            <w:tcBorders>
              <w:top w:val="nil"/>
              <w:left w:val="nil"/>
              <w:bottom w:val="single" w:sz="4" w:space="0" w:color="auto"/>
              <w:right w:val="single" w:sz="4" w:space="0" w:color="auto"/>
            </w:tcBorders>
            <w:shd w:val="clear" w:color="auto" w:fill="auto"/>
            <w:noWrap/>
            <w:vAlign w:val="center"/>
            <w:hideMark/>
          </w:tcPr>
          <w:p w14:paraId="6C057B83"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1</w:t>
            </w:r>
          </w:p>
        </w:tc>
      </w:tr>
      <w:tr w:rsidR="0006574A" w:rsidRPr="0006574A" w14:paraId="4426196B"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6BE93171" w14:textId="77777777" w:rsidR="00EA75E6" w:rsidRPr="0006574A" w:rsidRDefault="00EA75E6"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DIZEL-CNG</w:t>
            </w:r>
          </w:p>
        </w:tc>
        <w:tc>
          <w:tcPr>
            <w:tcW w:w="375" w:type="pct"/>
            <w:tcBorders>
              <w:top w:val="nil"/>
              <w:left w:val="nil"/>
              <w:bottom w:val="single" w:sz="4" w:space="0" w:color="auto"/>
              <w:right w:val="single" w:sz="4" w:space="0" w:color="auto"/>
            </w:tcBorders>
            <w:shd w:val="clear" w:color="auto" w:fill="auto"/>
            <w:noWrap/>
            <w:vAlign w:val="center"/>
            <w:hideMark/>
          </w:tcPr>
          <w:p w14:paraId="6C1ABD86"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32" w:type="pct"/>
            <w:tcBorders>
              <w:top w:val="nil"/>
              <w:left w:val="nil"/>
              <w:bottom w:val="single" w:sz="4" w:space="0" w:color="auto"/>
              <w:right w:val="single" w:sz="4" w:space="0" w:color="auto"/>
            </w:tcBorders>
            <w:shd w:val="clear" w:color="auto" w:fill="auto"/>
            <w:noWrap/>
            <w:vAlign w:val="center"/>
            <w:hideMark/>
          </w:tcPr>
          <w:p w14:paraId="58E5B916"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585" w:type="pct"/>
            <w:tcBorders>
              <w:top w:val="nil"/>
              <w:left w:val="nil"/>
              <w:bottom w:val="single" w:sz="4" w:space="0" w:color="auto"/>
              <w:right w:val="single" w:sz="4" w:space="0" w:color="auto"/>
            </w:tcBorders>
            <w:shd w:val="clear" w:color="auto" w:fill="auto"/>
            <w:noWrap/>
            <w:vAlign w:val="center"/>
            <w:hideMark/>
          </w:tcPr>
          <w:p w14:paraId="7FFA611F"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94" w:type="pct"/>
            <w:tcBorders>
              <w:top w:val="nil"/>
              <w:left w:val="nil"/>
              <w:bottom w:val="single" w:sz="4" w:space="0" w:color="auto"/>
              <w:right w:val="single" w:sz="4" w:space="0" w:color="auto"/>
            </w:tcBorders>
            <w:shd w:val="clear" w:color="auto" w:fill="auto"/>
            <w:noWrap/>
            <w:vAlign w:val="center"/>
            <w:hideMark/>
          </w:tcPr>
          <w:p w14:paraId="436CE430"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16</w:t>
            </w:r>
          </w:p>
        </w:tc>
        <w:tc>
          <w:tcPr>
            <w:tcW w:w="603" w:type="pct"/>
            <w:tcBorders>
              <w:top w:val="nil"/>
              <w:left w:val="nil"/>
              <w:bottom w:val="single" w:sz="4" w:space="0" w:color="auto"/>
              <w:right w:val="single" w:sz="4" w:space="0" w:color="auto"/>
            </w:tcBorders>
            <w:shd w:val="clear" w:color="auto" w:fill="auto"/>
            <w:noWrap/>
            <w:vAlign w:val="center"/>
            <w:hideMark/>
          </w:tcPr>
          <w:p w14:paraId="437ADDEE"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680" w:type="pct"/>
            <w:tcBorders>
              <w:top w:val="nil"/>
              <w:left w:val="nil"/>
              <w:bottom w:val="single" w:sz="4" w:space="0" w:color="auto"/>
              <w:right w:val="single" w:sz="4" w:space="0" w:color="auto"/>
            </w:tcBorders>
            <w:shd w:val="clear" w:color="auto" w:fill="auto"/>
            <w:noWrap/>
            <w:vAlign w:val="center"/>
            <w:hideMark/>
          </w:tcPr>
          <w:p w14:paraId="5BA0BACB"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7" w:type="pct"/>
            <w:tcBorders>
              <w:top w:val="nil"/>
              <w:left w:val="nil"/>
              <w:bottom w:val="single" w:sz="4" w:space="0" w:color="auto"/>
              <w:right w:val="single" w:sz="4" w:space="0" w:color="auto"/>
            </w:tcBorders>
            <w:shd w:val="clear" w:color="auto" w:fill="auto"/>
            <w:noWrap/>
            <w:vAlign w:val="center"/>
            <w:hideMark/>
          </w:tcPr>
          <w:p w14:paraId="402AD497"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378" w:type="pct"/>
            <w:tcBorders>
              <w:top w:val="nil"/>
              <w:left w:val="nil"/>
              <w:bottom w:val="single" w:sz="4" w:space="0" w:color="auto"/>
              <w:right w:val="single" w:sz="4" w:space="0" w:color="auto"/>
            </w:tcBorders>
            <w:shd w:val="clear" w:color="auto" w:fill="auto"/>
            <w:noWrap/>
            <w:vAlign w:val="center"/>
            <w:hideMark/>
          </w:tcPr>
          <w:p w14:paraId="462A6C56" w14:textId="77777777" w:rsidR="00EA75E6" w:rsidRPr="0006574A" w:rsidRDefault="00EA75E6" w:rsidP="00E92750">
            <w:pPr>
              <w:spacing w:after="0" w:line="240" w:lineRule="auto"/>
              <w:jc w:val="center"/>
              <w:rPr>
                <w:rFonts w:eastAsia="Times New Roman" w:cstheme="minorHAnsi"/>
                <w:color w:val="000000"/>
                <w:sz w:val="14"/>
                <w:szCs w:val="14"/>
                <w:lang w:eastAsia="hr-HR"/>
              </w:rPr>
            </w:pPr>
            <w:r w:rsidRPr="0006574A">
              <w:rPr>
                <w:rFonts w:eastAsia="Times New Roman" w:cstheme="minorHAnsi"/>
                <w:color w:val="000000"/>
                <w:sz w:val="14"/>
                <w:szCs w:val="14"/>
                <w:lang w:eastAsia="hr-HR"/>
              </w:rPr>
              <w:t>0</w:t>
            </w:r>
          </w:p>
        </w:tc>
        <w:tc>
          <w:tcPr>
            <w:tcW w:w="413" w:type="pct"/>
            <w:tcBorders>
              <w:top w:val="nil"/>
              <w:left w:val="nil"/>
              <w:bottom w:val="single" w:sz="4" w:space="0" w:color="auto"/>
              <w:right w:val="single" w:sz="4" w:space="0" w:color="auto"/>
            </w:tcBorders>
            <w:shd w:val="clear" w:color="auto" w:fill="auto"/>
            <w:noWrap/>
            <w:vAlign w:val="center"/>
            <w:hideMark/>
          </w:tcPr>
          <w:p w14:paraId="648B0405" w14:textId="77777777" w:rsidR="00EA75E6" w:rsidRPr="0006574A" w:rsidRDefault="00EA75E6"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16</w:t>
            </w:r>
          </w:p>
        </w:tc>
      </w:tr>
      <w:tr w:rsidR="0006574A" w:rsidRPr="0006574A" w14:paraId="47C32D5D" w14:textId="77777777" w:rsidTr="0006574A">
        <w:trPr>
          <w:trHeight w:val="64"/>
        </w:trPr>
        <w:tc>
          <w:tcPr>
            <w:tcW w:w="664" w:type="pct"/>
            <w:tcBorders>
              <w:top w:val="nil"/>
              <w:left w:val="single" w:sz="4" w:space="0" w:color="auto"/>
              <w:bottom w:val="single" w:sz="4" w:space="0" w:color="auto"/>
              <w:right w:val="single" w:sz="4" w:space="0" w:color="auto"/>
            </w:tcBorders>
            <w:shd w:val="clear" w:color="000000" w:fill="D9D9D9"/>
            <w:noWrap/>
            <w:vAlign w:val="center"/>
            <w:hideMark/>
          </w:tcPr>
          <w:p w14:paraId="7006E0FC" w14:textId="77777777" w:rsidR="00F5251E" w:rsidRPr="0006574A" w:rsidRDefault="00F5251E" w:rsidP="00E92750">
            <w:pPr>
              <w:spacing w:after="0" w:line="240" w:lineRule="auto"/>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UKUPNO</w:t>
            </w:r>
          </w:p>
        </w:tc>
        <w:tc>
          <w:tcPr>
            <w:tcW w:w="375" w:type="pct"/>
            <w:tcBorders>
              <w:top w:val="nil"/>
              <w:left w:val="nil"/>
              <w:bottom w:val="single" w:sz="4" w:space="0" w:color="auto"/>
              <w:right w:val="single" w:sz="4" w:space="0" w:color="auto"/>
            </w:tcBorders>
            <w:shd w:val="clear" w:color="auto" w:fill="D9D9D9" w:themeFill="background1" w:themeFillShade="D9"/>
            <w:noWrap/>
            <w:vAlign w:val="center"/>
            <w:hideMark/>
          </w:tcPr>
          <w:p w14:paraId="52F220C0" w14:textId="77777777" w:rsidR="00F5251E" w:rsidRPr="0006574A" w:rsidRDefault="00F5251E" w:rsidP="00E92750">
            <w:pPr>
              <w:spacing w:after="0" w:line="240" w:lineRule="auto"/>
              <w:jc w:val="center"/>
              <w:rPr>
                <w:rFonts w:eastAsia="Times New Roman" w:cstheme="minorHAnsi"/>
                <w:b/>
                <w:color w:val="000000"/>
                <w:sz w:val="14"/>
                <w:szCs w:val="14"/>
                <w:lang w:eastAsia="hr-HR"/>
              </w:rPr>
            </w:pPr>
            <w:r w:rsidRPr="0006574A">
              <w:rPr>
                <w:rFonts w:eastAsia="Times New Roman" w:cstheme="minorHAnsi"/>
                <w:b/>
                <w:color w:val="000000"/>
                <w:sz w:val="14"/>
                <w:szCs w:val="14"/>
                <w:lang w:eastAsia="hr-HR"/>
              </w:rPr>
              <w:t>10.249</w:t>
            </w:r>
          </w:p>
        </w:tc>
        <w:tc>
          <w:tcPr>
            <w:tcW w:w="432" w:type="pct"/>
            <w:tcBorders>
              <w:top w:val="nil"/>
              <w:left w:val="nil"/>
              <w:bottom w:val="single" w:sz="4" w:space="0" w:color="auto"/>
              <w:right w:val="single" w:sz="4" w:space="0" w:color="auto"/>
            </w:tcBorders>
            <w:shd w:val="clear" w:color="auto" w:fill="D9D9D9" w:themeFill="background1" w:themeFillShade="D9"/>
            <w:noWrap/>
            <w:vAlign w:val="center"/>
            <w:hideMark/>
          </w:tcPr>
          <w:p w14:paraId="2DDF53AC" w14:textId="77777777" w:rsidR="00F5251E" w:rsidRPr="0006574A" w:rsidRDefault="00F5251E" w:rsidP="00E92750">
            <w:pPr>
              <w:spacing w:after="0" w:line="240" w:lineRule="auto"/>
              <w:jc w:val="center"/>
              <w:rPr>
                <w:rFonts w:eastAsia="Times New Roman" w:cstheme="minorHAnsi"/>
                <w:b/>
                <w:color w:val="000000"/>
                <w:sz w:val="14"/>
                <w:szCs w:val="14"/>
                <w:lang w:eastAsia="hr-HR"/>
              </w:rPr>
            </w:pPr>
            <w:r w:rsidRPr="0006574A">
              <w:rPr>
                <w:rFonts w:eastAsia="Times New Roman" w:cstheme="minorHAnsi"/>
                <w:b/>
                <w:color w:val="000000"/>
                <w:sz w:val="14"/>
                <w:szCs w:val="14"/>
                <w:lang w:eastAsia="hr-HR"/>
              </w:rPr>
              <w:t>9.266</w:t>
            </w:r>
          </w:p>
        </w:tc>
        <w:tc>
          <w:tcPr>
            <w:tcW w:w="5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B99B2DE" w14:textId="77777777" w:rsidR="00F5251E" w:rsidRPr="0006574A" w:rsidRDefault="00F5251E" w:rsidP="00E92750">
            <w:pPr>
              <w:spacing w:after="0" w:line="240" w:lineRule="auto"/>
              <w:jc w:val="center"/>
              <w:rPr>
                <w:rFonts w:eastAsia="Times New Roman" w:cstheme="minorHAnsi"/>
                <w:b/>
                <w:color w:val="000000"/>
                <w:sz w:val="14"/>
                <w:szCs w:val="14"/>
                <w:lang w:eastAsia="hr-HR"/>
              </w:rPr>
            </w:pPr>
            <w:r w:rsidRPr="0006574A">
              <w:rPr>
                <w:rFonts w:eastAsia="Times New Roman" w:cstheme="minorHAnsi"/>
                <w:b/>
                <w:color w:val="000000"/>
                <w:sz w:val="14"/>
                <w:szCs w:val="14"/>
                <w:lang w:eastAsia="hr-HR"/>
              </w:rPr>
              <w:t>301.860</w:t>
            </w:r>
          </w:p>
        </w:tc>
        <w:tc>
          <w:tcPr>
            <w:tcW w:w="494" w:type="pct"/>
            <w:tcBorders>
              <w:top w:val="nil"/>
              <w:left w:val="nil"/>
              <w:bottom w:val="single" w:sz="4" w:space="0" w:color="auto"/>
              <w:right w:val="single" w:sz="4" w:space="0" w:color="auto"/>
            </w:tcBorders>
            <w:shd w:val="clear" w:color="auto" w:fill="D9D9D9" w:themeFill="background1" w:themeFillShade="D9"/>
            <w:noWrap/>
            <w:vAlign w:val="center"/>
            <w:hideMark/>
          </w:tcPr>
          <w:p w14:paraId="026FD022" w14:textId="77777777" w:rsidR="00F5251E" w:rsidRPr="0006574A" w:rsidRDefault="00F5251E" w:rsidP="00E92750">
            <w:pPr>
              <w:spacing w:after="0" w:line="240" w:lineRule="auto"/>
              <w:jc w:val="center"/>
              <w:rPr>
                <w:rFonts w:eastAsia="Times New Roman" w:cstheme="minorHAnsi"/>
                <w:b/>
                <w:color w:val="000000"/>
                <w:sz w:val="14"/>
                <w:szCs w:val="14"/>
                <w:lang w:eastAsia="hr-HR"/>
              </w:rPr>
            </w:pPr>
            <w:r w:rsidRPr="0006574A">
              <w:rPr>
                <w:rFonts w:eastAsia="Times New Roman" w:cstheme="minorHAnsi"/>
                <w:b/>
                <w:color w:val="000000"/>
                <w:sz w:val="14"/>
                <w:szCs w:val="14"/>
                <w:lang w:eastAsia="hr-HR"/>
              </w:rPr>
              <w:t>901</w:t>
            </w:r>
          </w:p>
        </w:tc>
        <w:tc>
          <w:tcPr>
            <w:tcW w:w="603" w:type="pct"/>
            <w:tcBorders>
              <w:top w:val="nil"/>
              <w:left w:val="nil"/>
              <w:bottom w:val="single" w:sz="4" w:space="0" w:color="auto"/>
              <w:right w:val="single" w:sz="4" w:space="0" w:color="auto"/>
            </w:tcBorders>
            <w:shd w:val="clear" w:color="auto" w:fill="D9D9D9" w:themeFill="background1" w:themeFillShade="D9"/>
            <w:noWrap/>
            <w:vAlign w:val="center"/>
            <w:hideMark/>
          </w:tcPr>
          <w:p w14:paraId="169067F8" w14:textId="77777777" w:rsidR="00F5251E" w:rsidRPr="0006574A" w:rsidRDefault="00F5251E" w:rsidP="00E92750">
            <w:pPr>
              <w:spacing w:after="0" w:line="240" w:lineRule="auto"/>
              <w:jc w:val="center"/>
              <w:rPr>
                <w:rFonts w:eastAsia="Times New Roman" w:cstheme="minorHAnsi"/>
                <w:b/>
                <w:color w:val="000000"/>
                <w:sz w:val="14"/>
                <w:szCs w:val="14"/>
                <w:lang w:eastAsia="hr-HR"/>
              </w:rPr>
            </w:pPr>
            <w:r w:rsidRPr="0006574A">
              <w:rPr>
                <w:rFonts w:eastAsia="Times New Roman" w:cstheme="minorHAnsi"/>
                <w:b/>
                <w:color w:val="000000"/>
                <w:sz w:val="14"/>
                <w:szCs w:val="14"/>
                <w:lang w:eastAsia="hr-HR"/>
              </w:rPr>
              <w:t>32.651</w:t>
            </w:r>
          </w:p>
        </w:tc>
        <w:tc>
          <w:tcPr>
            <w:tcW w:w="680" w:type="pct"/>
            <w:tcBorders>
              <w:top w:val="nil"/>
              <w:left w:val="nil"/>
              <w:bottom w:val="single" w:sz="4" w:space="0" w:color="auto"/>
              <w:right w:val="single" w:sz="4" w:space="0" w:color="auto"/>
            </w:tcBorders>
            <w:shd w:val="clear" w:color="auto" w:fill="D9D9D9" w:themeFill="background1" w:themeFillShade="D9"/>
            <w:noWrap/>
            <w:vAlign w:val="center"/>
            <w:hideMark/>
          </w:tcPr>
          <w:p w14:paraId="3CF150BD" w14:textId="77777777" w:rsidR="00F5251E" w:rsidRPr="0006574A" w:rsidRDefault="00F5251E" w:rsidP="00E92750">
            <w:pPr>
              <w:spacing w:after="0" w:line="240" w:lineRule="auto"/>
              <w:jc w:val="center"/>
              <w:rPr>
                <w:rFonts w:eastAsia="Times New Roman" w:cstheme="minorHAnsi"/>
                <w:b/>
                <w:color w:val="000000"/>
                <w:sz w:val="14"/>
                <w:szCs w:val="14"/>
                <w:lang w:eastAsia="hr-HR"/>
              </w:rPr>
            </w:pPr>
            <w:r w:rsidRPr="0006574A">
              <w:rPr>
                <w:rFonts w:eastAsia="Times New Roman" w:cstheme="minorHAnsi"/>
                <w:b/>
                <w:color w:val="000000"/>
                <w:sz w:val="14"/>
                <w:szCs w:val="14"/>
                <w:lang w:eastAsia="hr-HR"/>
              </w:rPr>
              <w:t>270</w:t>
            </w:r>
          </w:p>
        </w:tc>
        <w:tc>
          <w:tcPr>
            <w:tcW w:w="377" w:type="pct"/>
            <w:tcBorders>
              <w:top w:val="nil"/>
              <w:left w:val="nil"/>
              <w:bottom w:val="single" w:sz="4" w:space="0" w:color="auto"/>
              <w:right w:val="single" w:sz="4" w:space="0" w:color="auto"/>
            </w:tcBorders>
            <w:shd w:val="clear" w:color="auto" w:fill="D9D9D9" w:themeFill="background1" w:themeFillShade="D9"/>
            <w:noWrap/>
            <w:vAlign w:val="center"/>
            <w:hideMark/>
          </w:tcPr>
          <w:p w14:paraId="10B3439F" w14:textId="77777777" w:rsidR="00F5251E" w:rsidRPr="0006574A" w:rsidRDefault="00F5251E" w:rsidP="00E92750">
            <w:pPr>
              <w:spacing w:after="0" w:line="240" w:lineRule="auto"/>
              <w:jc w:val="center"/>
              <w:rPr>
                <w:rFonts w:eastAsia="Times New Roman" w:cstheme="minorHAnsi"/>
                <w:b/>
                <w:color w:val="000000"/>
                <w:sz w:val="14"/>
                <w:szCs w:val="14"/>
                <w:lang w:eastAsia="hr-HR"/>
              </w:rPr>
            </w:pPr>
            <w:r w:rsidRPr="0006574A">
              <w:rPr>
                <w:rFonts w:eastAsia="Times New Roman" w:cstheme="minorHAnsi"/>
                <w:b/>
                <w:color w:val="000000"/>
                <w:sz w:val="14"/>
                <w:szCs w:val="14"/>
                <w:lang w:eastAsia="hr-HR"/>
              </w:rPr>
              <w:t>969</w:t>
            </w:r>
          </w:p>
        </w:tc>
        <w:tc>
          <w:tcPr>
            <w:tcW w:w="378" w:type="pct"/>
            <w:tcBorders>
              <w:top w:val="nil"/>
              <w:left w:val="nil"/>
              <w:bottom w:val="single" w:sz="4" w:space="0" w:color="auto"/>
              <w:right w:val="single" w:sz="4" w:space="0" w:color="auto"/>
            </w:tcBorders>
            <w:shd w:val="clear" w:color="auto" w:fill="D9D9D9" w:themeFill="background1" w:themeFillShade="D9"/>
            <w:noWrap/>
            <w:vAlign w:val="center"/>
            <w:hideMark/>
          </w:tcPr>
          <w:p w14:paraId="4835DFE3" w14:textId="77777777" w:rsidR="00F5251E" w:rsidRPr="0006574A" w:rsidRDefault="00F5251E" w:rsidP="00E92750">
            <w:pPr>
              <w:spacing w:after="0" w:line="240" w:lineRule="auto"/>
              <w:jc w:val="center"/>
              <w:rPr>
                <w:rFonts w:eastAsia="Times New Roman" w:cstheme="minorHAnsi"/>
                <w:b/>
                <w:color w:val="000000"/>
                <w:sz w:val="14"/>
                <w:szCs w:val="14"/>
                <w:lang w:eastAsia="hr-HR"/>
              </w:rPr>
            </w:pPr>
            <w:r w:rsidRPr="0006574A">
              <w:rPr>
                <w:rFonts w:eastAsia="Times New Roman" w:cstheme="minorHAnsi"/>
                <w:b/>
                <w:color w:val="000000"/>
                <w:sz w:val="14"/>
                <w:szCs w:val="14"/>
                <w:lang w:eastAsia="hr-HR"/>
              </w:rPr>
              <w:t>3.730</w:t>
            </w:r>
          </w:p>
        </w:tc>
        <w:tc>
          <w:tcPr>
            <w:tcW w:w="413" w:type="pct"/>
            <w:tcBorders>
              <w:top w:val="nil"/>
              <w:left w:val="nil"/>
              <w:bottom w:val="single" w:sz="4" w:space="0" w:color="auto"/>
              <w:right w:val="single" w:sz="4" w:space="0" w:color="auto"/>
            </w:tcBorders>
            <w:shd w:val="clear" w:color="auto" w:fill="D9D9D9" w:themeFill="background1" w:themeFillShade="D9"/>
            <w:noWrap/>
            <w:vAlign w:val="center"/>
            <w:hideMark/>
          </w:tcPr>
          <w:p w14:paraId="55DAD8FC" w14:textId="77777777" w:rsidR="00F5251E" w:rsidRPr="0006574A" w:rsidRDefault="00F5251E" w:rsidP="00E92750">
            <w:pPr>
              <w:spacing w:after="0" w:line="240" w:lineRule="auto"/>
              <w:jc w:val="center"/>
              <w:rPr>
                <w:rFonts w:eastAsia="Times New Roman" w:cstheme="minorHAnsi"/>
                <w:b/>
                <w:bCs/>
                <w:color w:val="000000"/>
                <w:sz w:val="14"/>
                <w:szCs w:val="14"/>
                <w:lang w:eastAsia="hr-HR"/>
              </w:rPr>
            </w:pPr>
            <w:r w:rsidRPr="0006574A">
              <w:rPr>
                <w:rFonts w:eastAsia="Times New Roman" w:cstheme="minorHAnsi"/>
                <w:b/>
                <w:bCs/>
                <w:color w:val="000000"/>
                <w:sz w:val="14"/>
                <w:szCs w:val="14"/>
                <w:lang w:eastAsia="hr-HR"/>
              </w:rPr>
              <w:t>359.896</w:t>
            </w:r>
          </w:p>
        </w:tc>
      </w:tr>
    </w:tbl>
    <w:p w14:paraId="261F3BED" w14:textId="48D117C6" w:rsidR="005C643C" w:rsidRPr="009D75CB" w:rsidRDefault="005C643C" w:rsidP="00E92750">
      <w:pPr>
        <w:spacing w:before="240" w:after="240" w:line="240" w:lineRule="auto"/>
        <w:jc w:val="both"/>
        <w:rPr>
          <w:rFonts w:eastAsia="Calibri" w:cs="Times New Roman"/>
        </w:rPr>
      </w:pPr>
      <w:r w:rsidRPr="009D75CB">
        <w:rPr>
          <w:rFonts w:eastAsia="Calibri" w:cs="Times New Roman"/>
        </w:rPr>
        <w:t>U skladu s metodologijom, teretni automobili i radni strojevi grupirani su u skupin</w:t>
      </w:r>
      <w:r w:rsidR="004D1C98" w:rsidRPr="009D75CB">
        <w:rPr>
          <w:rFonts w:eastAsia="Calibri" w:cs="Times New Roman"/>
        </w:rPr>
        <w:t>u teretna i radna vozila, dok</w:t>
      </w:r>
      <w:r w:rsidRPr="009D75CB">
        <w:rPr>
          <w:rFonts w:eastAsia="Calibri" w:cs="Times New Roman"/>
        </w:rPr>
        <w:t xml:space="preserve"> traktori spadaju u grupu ostala vozila. Prikaz strukture registriranih osobnih i komercijalnih vozila </w:t>
      </w:r>
      <w:r w:rsidR="004D1C98" w:rsidRPr="009D75CB">
        <w:rPr>
          <w:rFonts w:eastAsia="Calibri" w:cs="Times New Roman"/>
        </w:rPr>
        <w:t>prema vrsti vozila na području G</w:t>
      </w:r>
      <w:r w:rsidRPr="009D75CB">
        <w:rPr>
          <w:rFonts w:eastAsia="Calibri" w:cs="Times New Roman"/>
        </w:rPr>
        <w:t xml:space="preserve">rada Zagreba dan je u nastavku, </w:t>
      </w:r>
      <w:r w:rsidRPr="009D75CB">
        <w:rPr>
          <w:rFonts w:eastAsia="Calibri" w:cs="Times New Roman"/>
        </w:rPr>
        <w:fldChar w:fldCharType="begin"/>
      </w:r>
      <w:r w:rsidRPr="009D75CB">
        <w:rPr>
          <w:rFonts w:eastAsia="Calibri" w:cs="Times New Roman"/>
        </w:rPr>
        <w:instrText xml:space="preserve"> REF _Ref464213742 \h  \* MERGEFORMAT </w:instrText>
      </w:r>
      <w:r w:rsidRPr="009D75CB">
        <w:rPr>
          <w:rFonts w:eastAsia="Calibri" w:cs="Times New Roman"/>
        </w:rPr>
      </w:r>
      <w:r w:rsidRPr="009D75CB">
        <w:rPr>
          <w:rFonts w:eastAsia="Calibri" w:cs="Times New Roman"/>
        </w:rPr>
        <w:fldChar w:fldCharType="separate"/>
      </w:r>
      <w:r w:rsidR="009C319B" w:rsidRPr="009D75CB">
        <w:rPr>
          <w:rFonts w:eastAsia="Calibri" w:cs="Times New Roman"/>
          <w:b/>
          <w:bCs/>
        </w:rPr>
        <w:t xml:space="preserve">Slika </w:t>
      </w:r>
      <w:r w:rsidR="009C319B">
        <w:rPr>
          <w:rFonts w:eastAsia="Calibri" w:cs="Times New Roman"/>
          <w:b/>
          <w:bCs/>
          <w:noProof/>
        </w:rPr>
        <w:t>5</w:t>
      </w:r>
      <w:r w:rsidR="009C319B" w:rsidRPr="009D75CB">
        <w:rPr>
          <w:rFonts w:eastAsia="Calibri" w:cs="Times New Roman"/>
          <w:b/>
          <w:bCs/>
          <w:noProof/>
        </w:rPr>
        <w:t>.</w:t>
      </w:r>
      <w:r w:rsidR="009C319B">
        <w:rPr>
          <w:rFonts w:eastAsia="Calibri" w:cs="Times New Roman"/>
          <w:b/>
          <w:bCs/>
          <w:noProof/>
        </w:rPr>
        <w:t>17</w:t>
      </w:r>
      <w:r w:rsidRPr="009D75CB">
        <w:rPr>
          <w:rFonts w:eastAsia="Calibri" w:cs="Times New Roman"/>
        </w:rPr>
        <w:fldChar w:fldCharType="end"/>
      </w:r>
      <w:r w:rsidRPr="009D75CB">
        <w:rPr>
          <w:rFonts w:eastAsia="Calibri" w:cs="Times New Roman"/>
        </w:rPr>
        <w:t>.</w:t>
      </w:r>
    </w:p>
    <w:p w14:paraId="1A620DB1" w14:textId="77777777" w:rsidR="00604F40" w:rsidRPr="009D75CB" w:rsidRDefault="00604F40" w:rsidP="00E92750">
      <w:pPr>
        <w:spacing w:after="0" w:line="240" w:lineRule="auto"/>
        <w:rPr>
          <w:noProof/>
          <w:lang w:eastAsia="hr-HR"/>
        </w:rPr>
      </w:pPr>
      <w:r w:rsidRPr="009D75CB">
        <w:tab/>
      </w:r>
      <w:r w:rsidRPr="009D75CB">
        <w:tab/>
      </w:r>
      <w:r w:rsidRPr="009D75CB">
        <w:rPr>
          <w:noProof/>
          <w:lang w:eastAsia="hr-HR"/>
        </w:rPr>
        <w:drawing>
          <wp:inline distT="0" distB="0" distL="0" distR="0" wp14:anchorId="09ACC810" wp14:editId="163ADA80">
            <wp:extent cx="4238625" cy="26384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EB410F9" w14:textId="43C94F66" w:rsidR="00604F40" w:rsidRPr="009D75CB" w:rsidRDefault="00604F40" w:rsidP="00E92750">
      <w:pPr>
        <w:spacing w:line="240" w:lineRule="auto"/>
        <w:jc w:val="center"/>
        <w:rPr>
          <w:rFonts w:eastAsia="Calibri" w:cs="Times New Roman"/>
          <w:bCs/>
        </w:rPr>
      </w:pPr>
      <w:bookmarkStart w:id="224" w:name="_Ref464213742"/>
      <w:bookmarkStart w:id="225" w:name="_Toc447802991"/>
      <w:bookmarkStart w:id="226" w:name="_Toc468277453"/>
      <w:r w:rsidRPr="009D75CB">
        <w:rPr>
          <w:rFonts w:eastAsia="Calibri" w:cs="Times New Roman"/>
          <w:b/>
          <w:bCs/>
        </w:rPr>
        <w:t xml:space="preserve">Slika </w:t>
      </w:r>
      <w:r w:rsidRPr="009D75CB">
        <w:rPr>
          <w:rFonts w:eastAsia="Calibri" w:cs="Times New Roman"/>
          <w:b/>
          <w:bCs/>
        </w:rPr>
        <w:fldChar w:fldCharType="begin"/>
      </w:r>
      <w:r w:rsidRPr="009D75CB">
        <w:rPr>
          <w:rFonts w:eastAsia="Calibri" w:cs="Times New Roman"/>
          <w:b/>
          <w:bCs/>
        </w:rPr>
        <w:instrText xml:space="preserve"> STYLEREF 1 \s </w:instrText>
      </w:r>
      <w:r w:rsidRPr="009D75CB">
        <w:rPr>
          <w:rFonts w:eastAsia="Calibri" w:cs="Times New Roman"/>
          <w:b/>
          <w:bCs/>
        </w:rPr>
        <w:fldChar w:fldCharType="separate"/>
      </w:r>
      <w:r w:rsidR="007A3B71">
        <w:rPr>
          <w:rFonts w:eastAsia="Calibri" w:cs="Times New Roman"/>
          <w:b/>
          <w:bCs/>
          <w:noProof/>
        </w:rPr>
        <w:t>5</w:t>
      </w:r>
      <w:r w:rsidRPr="009D75CB">
        <w:rPr>
          <w:rFonts w:eastAsia="Calibri" w:cs="Times New Roman"/>
          <w:b/>
          <w:bCs/>
        </w:rPr>
        <w:fldChar w:fldCharType="end"/>
      </w:r>
      <w:r w:rsidRPr="009D75CB">
        <w:rPr>
          <w:rFonts w:eastAsia="Calibri" w:cs="Times New Roman"/>
          <w:b/>
          <w:bCs/>
        </w:rPr>
        <w:t>.</w:t>
      </w:r>
      <w:r w:rsidRPr="009D75CB">
        <w:rPr>
          <w:rFonts w:eastAsia="Calibri" w:cs="Times New Roman"/>
          <w:b/>
          <w:bCs/>
        </w:rPr>
        <w:fldChar w:fldCharType="begin"/>
      </w:r>
      <w:r w:rsidRPr="009D75CB">
        <w:rPr>
          <w:rFonts w:eastAsia="Calibri" w:cs="Times New Roman"/>
          <w:b/>
          <w:bCs/>
        </w:rPr>
        <w:instrText xml:space="preserve"> SEQ Slika \* ARABIC \s 1 </w:instrText>
      </w:r>
      <w:r w:rsidRPr="009D75CB">
        <w:rPr>
          <w:rFonts w:eastAsia="Calibri" w:cs="Times New Roman"/>
          <w:b/>
          <w:bCs/>
        </w:rPr>
        <w:fldChar w:fldCharType="separate"/>
      </w:r>
      <w:r w:rsidR="007A3B71">
        <w:rPr>
          <w:rFonts w:eastAsia="Calibri" w:cs="Times New Roman"/>
          <w:b/>
          <w:bCs/>
          <w:noProof/>
        </w:rPr>
        <w:t>17</w:t>
      </w:r>
      <w:r w:rsidRPr="009D75CB">
        <w:rPr>
          <w:rFonts w:eastAsia="Calibri" w:cs="Times New Roman"/>
          <w:b/>
          <w:bCs/>
        </w:rPr>
        <w:fldChar w:fldCharType="end"/>
      </w:r>
      <w:bookmarkEnd w:id="224"/>
      <w:r w:rsidRPr="009D75CB">
        <w:rPr>
          <w:rFonts w:eastAsia="Calibri" w:cs="Times New Roman"/>
          <w:b/>
          <w:bCs/>
        </w:rPr>
        <w:t xml:space="preserve"> </w:t>
      </w:r>
      <w:r w:rsidRPr="009D75CB">
        <w:rPr>
          <w:rFonts w:eastAsia="Calibri" w:cs="Times New Roman"/>
          <w:bCs/>
        </w:rPr>
        <w:t xml:space="preserve">Struktura registriranih osobnih i komercijalnih </w:t>
      </w:r>
      <w:r w:rsidR="005C643C" w:rsidRPr="009D75CB">
        <w:rPr>
          <w:rFonts w:eastAsia="Calibri" w:cs="Times New Roman"/>
          <w:bCs/>
        </w:rPr>
        <w:t>vozila prema vrsti vozila</w:t>
      </w:r>
      <w:r w:rsidR="004D1C98" w:rsidRPr="009D75CB">
        <w:rPr>
          <w:rFonts w:eastAsia="Calibri" w:cs="Times New Roman"/>
          <w:bCs/>
        </w:rPr>
        <w:t xml:space="preserve"> u G</w:t>
      </w:r>
      <w:r w:rsidRPr="009D75CB">
        <w:rPr>
          <w:rFonts w:eastAsia="Calibri" w:cs="Times New Roman"/>
          <w:bCs/>
        </w:rPr>
        <w:t>radu Zagrebu u 2015. godini</w:t>
      </w:r>
      <w:bookmarkEnd w:id="225"/>
      <w:bookmarkEnd w:id="226"/>
    </w:p>
    <w:p w14:paraId="1CFBF9D9" w14:textId="0540405C" w:rsidR="00604F40" w:rsidRPr="009D75CB" w:rsidRDefault="00604F40" w:rsidP="00E92750">
      <w:pPr>
        <w:spacing w:line="240" w:lineRule="auto"/>
        <w:jc w:val="both"/>
        <w:rPr>
          <w:rFonts w:eastAsia="Calibri" w:cs="Times New Roman"/>
        </w:rPr>
      </w:pPr>
      <w:r w:rsidRPr="009D75CB">
        <w:rPr>
          <w:rFonts w:eastAsia="Calibri" w:cs="Times New Roman"/>
        </w:rPr>
        <w:t>U ukupnom broju vozila podsektora os</w:t>
      </w:r>
      <w:r w:rsidR="005C643C" w:rsidRPr="009D75CB">
        <w:rPr>
          <w:rFonts w:eastAsia="Calibri" w:cs="Times New Roman"/>
        </w:rPr>
        <w:t xml:space="preserve">obnih i komercijalnih vozila </w:t>
      </w:r>
      <w:r w:rsidRPr="009D75CB">
        <w:rPr>
          <w:rFonts w:eastAsia="Calibri" w:cs="Times New Roman"/>
        </w:rPr>
        <w:t>najzastupljeni</w:t>
      </w:r>
      <w:r w:rsidR="004D1C98" w:rsidRPr="009D75CB">
        <w:rPr>
          <w:rFonts w:eastAsia="Calibri" w:cs="Times New Roman"/>
        </w:rPr>
        <w:t>ji su osobni automobili koji čine</w:t>
      </w:r>
      <w:r w:rsidRPr="009D75CB">
        <w:rPr>
          <w:rFonts w:eastAsia="Calibri" w:cs="Times New Roman"/>
        </w:rPr>
        <w:t xml:space="preserve"> </w:t>
      </w:r>
      <w:r w:rsidR="005C643C" w:rsidRPr="009D75CB">
        <w:rPr>
          <w:rFonts w:eastAsia="Calibri" w:cs="Times New Roman"/>
        </w:rPr>
        <w:t xml:space="preserve">udio od </w:t>
      </w:r>
      <w:r w:rsidRPr="009D75CB">
        <w:rPr>
          <w:rFonts w:eastAsia="Calibri" w:cs="Times New Roman"/>
        </w:rPr>
        <w:t>83,87% od ukupnog broja vozila. Od ostalih vrsta vozila podsektora značajno su zastupljena teretna i radna vozila 9,34% dok preostali udio otpada na motocikle, mopede, komb</w:t>
      </w:r>
      <w:r w:rsidR="005C643C" w:rsidRPr="009D75CB">
        <w:rPr>
          <w:rFonts w:eastAsia="Calibri" w:cs="Times New Roman"/>
        </w:rPr>
        <w:t>inirane automobile,</w:t>
      </w:r>
      <w:r w:rsidRPr="009D75CB">
        <w:rPr>
          <w:rFonts w:eastAsia="Calibri" w:cs="Times New Roman"/>
        </w:rPr>
        <w:t xml:space="preserve"> autobuse</w:t>
      </w:r>
      <w:r w:rsidR="005C643C" w:rsidRPr="009D75CB">
        <w:rPr>
          <w:rFonts w:eastAsia="Calibri" w:cs="Times New Roman"/>
        </w:rPr>
        <w:t xml:space="preserve"> te ostala vozila</w:t>
      </w:r>
      <w:r w:rsidRPr="009D75CB">
        <w:rPr>
          <w:rFonts w:eastAsia="Calibri" w:cs="Times New Roman"/>
        </w:rPr>
        <w:t>.</w:t>
      </w:r>
    </w:p>
    <w:p w14:paraId="06E66590" w14:textId="4E75C426" w:rsidR="00604F40" w:rsidRPr="00BD6323" w:rsidRDefault="006762A7" w:rsidP="00E92750">
      <w:pPr>
        <w:spacing w:after="240" w:line="240" w:lineRule="auto"/>
        <w:jc w:val="both"/>
        <w:rPr>
          <w:rFonts w:eastAsia="Calibri" w:cs="Times New Roman"/>
          <w:bCs/>
        </w:rPr>
      </w:pPr>
      <w:r w:rsidRPr="00BD6323">
        <w:rPr>
          <w:rFonts w:eastAsia="Calibri" w:cs="Times New Roman"/>
        </w:rPr>
        <w:lastRenderedPageBreak/>
        <w:t xml:space="preserve">Prikaz strukture </w:t>
      </w:r>
      <w:r w:rsidR="00FC3D13" w:rsidRPr="00BD6323">
        <w:rPr>
          <w:rFonts w:eastAsia="Calibri" w:cs="Times New Roman"/>
        </w:rPr>
        <w:t xml:space="preserve">podsektora </w:t>
      </w:r>
      <w:r w:rsidRPr="00BD6323">
        <w:rPr>
          <w:rFonts w:eastAsia="Calibri" w:cs="Times New Roman"/>
        </w:rPr>
        <w:t xml:space="preserve">osobnih i komercijalnih vozila prema vrsti </w:t>
      </w:r>
      <w:r w:rsidR="00FC3D13" w:rsidRPr="00BD6323">
        <w:rPr>
          <w:rFonts w:eastAsia="Calibri" w:cs="Times New Roman"/>
        </w:rPr>
        <w:t>pogonskog goriva i vlasništva dan je u nastavku,</w:t>
      </w:r>
      <w:r w:rsidR="00FC3D13" w:rsidRPr="00BD6323">
        <w:rPr>
          <w:rFonts w:eastAsia="Calibri" w:cs="Times New Roman"/>
          <w:bCs/>
        </w:rPr>
        <w:t xml:space="preserve"> </w:t>
      </w:r>
      <w:r w:rsidR="00FC3D13" w:rsidRPr="00BD6323">
        <w:rPr>
          <w:rFonts w:eastAsia="Calibri" w:cs="Times New Roman"/>
          <w:bCs/>
        </w:rPr>
        <w:fldChar w:fldCharType="begin"/>
      </w:r>
      <w:r w:rsidR="00FC3D13" w:rsidRPr="00BD6323">
        <w:rPr>
          <w:rFonts w:eastAsia="Calibri" w:cs="Times New Roman"/>
          <w:bCs/>
        </w:rPr>
        <w:instrText xml:space="preserve"> REF _Ref464218797 \h  \* MERGEFORMAT </w:instrText>
      </w:r>
      <w:r w:rsidR="00FC3D13" w:rsidRPr="00BD6323">
        <w:rPr>
          <w:rFonts w:eastAsia="Calibri" w:cs="Times New Roman"/>
          <w:bCs/>
        </w:rPr>
      </w:r>
      <w:r w:rsidR="00FC3D13" w:rsidRPr="00BD6323">
        <w:rPr>
          <w:rFonts w:eastAsia="Calibri" w:cs="Times New Roman"/>
          <w:bCs/>
        </w:rPr>
        <w:fldChar w:fldCharType="separate"/>
      </w:r>
      <w:r w:rsidR="009C319B" w:rsidRPr="00BD6323">
        <w:rPr>
          <w:rFonts w:eastAsia="Calibri" w:cs="Times New Roman"/>
          <w:b/>
          <w:bCs/>
        </w:rPr>
        <w:t xml:space="preserve">Slika </w:t>
      </w:r>
      <w:r w:rsidR="009C319B">
        <w:rPr>
          <w:rFonts w:eastAsia="Calibri" w:cs="Times New Roman"/>
          <w:b/>
          <w:bCs/>
          <w:noProof/>
        </w:rPr>
        <w:t>5</w:t>
      </w:r>
      <w:r w:rsidR="009C319B" w:rsidRPr="00BD6323">
        <w:rPr>
          <w:rFonts w:eastAsia="Calibri" w:cs="Times New Roman"/>
          <w:b/>
          <w:bCs/>
          <w:noProof/>
        </w:rPr>
        <w:t>.</w:t>
      </w:r>
      <w:r w:rsidR="009C319B">
        <w:rPr>
          <w:rFonts w:eastAsia="Calibri" w:cs="Times New Roman"/>
          <w:b/>
          <w:bCs/>
          <w:noProof/>
        </w:rPr>
        <w:t>18</w:t>
      </w:r>
      <w:r w:rsidR="00FC3D13" w:rsidRPr="00BD6323">
        <w:rPr>
          <w:rFonts w:eastAsia="Calibri" w:cs="Times New Roman"/>
          <w:bCs/>
        </w:rPr>
        <w:fldChar w:fldCharType="end"/>
      </w:r>
      <w:r w:rsidR="00FC3D13" w:rsidRPr="00BD6323">
        <w:rPr>
          <w:rFonts w:eastAsia="Calibri" w:cs="Times New Roman"/>
          <w:bCs/>
        </w:rPr>
        <w:t xml:space="preserve"> i </w:t>
      </w:r>
      <w:r w:rsidR="00EA75E6" w:rsidRPr="00BD6323">
        <w:rPr>
          <w:rFonts w:eastAsia="Calibri" w:cs="Times New Roman"/>
        </w:rPr>
        <w:fldChar w:fldCharType="begin"/>
      </w:r>
      <w:r w:rsidR="00EA75E6" w:rsidRPr="00BD6323">
        <w:rPr>
          <w:rFonts w:eastAsia="Calibri" w:cs="Times New Roman"/>
        </w:rPr>
        <w:instrText xml:space="preserve"> REF _Ref464213840 \h  \* MERGEFORMAT </w:instrText>
      </w:r>
      <w:r w:rsidR="00EA75E6" w:rsidRPr="00BD6323">
        <w:rPr>
          <w:rFonts w:eastAsia="Calibri" w:cs="Times New Roman"/>
        </w:rPr>
      </w:r>
      <w:r w:rsidR="00EA75E6" w:rsidRPr="00BD6323">
        <w:rPr>
          <w:rFonts w:eastAsia="Calibri" w:cs="Times New Roman"/>
        </w:rPr>
        <w:fldChar w:fldCharType="separate"/>
      </w:r>
      <w:r w:rsidR="009C319B" w:rsidRPr="00BD6323">
        <w:rPr>
          <w:rFonts w:eastAsia="Calibri" w:cs="Times New Roman"/>
          <w:b/>
          <w:bCs/>
        </w:rPr>
        <w:t xml:space="preserve">Slika </w:t>
      </w:r>
      <w:r w:rsidR="009C319B">
        <w:rPr>
          <w:rFonts w:eastAsia="Calibri" w:cs="Times New Roman"/>
          <w:b/>
          <w:bCs/>
          <w:noProof/>
        </w:rPr>
        <w:t>5</w:t>
      </w:r>
      <w:r w:rsidR="009C319B" w:rsidRPr="00BD6323">
        <w:rPr>
          <w:rFonts w:eastAsia="Calibri" w:cs="Times New Roman"/>
          <w:b/>
          <w:bCs/>
          <w:noProof/>
        </w:rPr>
        <w:t>.</w:t>
      </w:r>
      <w:r w:rsidR="009C319B">
        <w:rPr>
          <w:rFonts w:eastAsia="Calibri" w:cs="Times New Roman"/>
          <w:b/>
          <w:bCs/>
          <w:noProof/>
        </w:rPr>
        <w:t>19</w:t>
      </w:r>
      <w:r w:rsidR="00EA75E6" w:rsidRPr="00BD6323">
        <w:rPr>
          <w:rFonts w:eastAsia="Calibri" w:cs="Times New Roman"/>
        </w:rPr>
        <w:fldChar w:fldCharType="end"/>
      </w:r>
      <w:r w:rsidR="00FC3D13" w:rsidRPr="00BD6323">
        <w:rPr>
          <w:rFonts w:eastAsia="Calibri" w:cs="Times New Roman"/>
        </w:rPr>
        <w:t>.</w:t>
      </w:r>
    </w:p>
    <w:p w14:paraId="5BD1FB58" w14:textId="77777777" w:rsidR="00FC3D13" w:rsidRPr="00BD6323" w:rsidRDefault="00FC3D13" w:rsidP="00E92750">
      <w:pPr>
        <w:spacing w:after="0" w:line="240" w:lineRule="auto"/>
        <w:jc w:val="center"/>
      </w:pPr>
      <w:r w:rsidRPr="00BD6323">
        <w:rPr>
          <w:noProof/>
          <w:lang w:eastAsia="hr-HR"/>
        </w:rPr>
        <w:drawing>
          <wp:inline distT="0" distB="0" distL="0" distR="0" wp14:anchorId="3BED1E7B" wp14:editId="08F4B089">
            <wp:extent cx="4011283" cy="2794958"/>
            <wp:effectExtent l="38100" t="0" r="8890"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1A43763" w14:textId="43DA80B3" w:rsidR="00FC3D13" w:rsidRPr="00BD6323" w:rsidRDefault="00FC3D13" w:rsidP="00E92750">
      <w:pPr>
        <w:spacing w:line="240" w:lineRule="auto"/>
        <w:jc w:val="center"/>
        <w:rPr>
          <w:rFonts w:eastAsia="Calibri" w:cs="Times New Roman"/>
          <w:bCs/>
        </w:rPr>
      </w:pPr>
      <w:bookmarkStart w:id="227" w:name="_Ref464218797"/>
      <w:bookmarkStart w:id="228" w:name="_Toc468277454"/>
      <w:r w:rsidRPr="00BD6323">
        <w:rPr>
          <w:rFonts w:eastAsia="Calibri" w:cs="Times New Roman"/>
          <w:b/>
          <w:bCs/>
        </w:rPr>
        <w:t xml:space="preserve">Slika </w:t>
      </w:r>
      <w:r w:rsidRPr="00BD6323">
        <w:rPr>
          <w:rFonts w:eastAsia="Calibri" w:cs="Times New Roman"/>
          <w:b/>
          <w:bCs/>
        </w:rPr>
        <w:fldChar w:fldCharType="begin"/>
      </w:r>
      <w:r w:rsidRPr="00BD6323">
        <w:rPr>
          <w:rFonts w:eastAsia="Calibri" w:cs="Times New Roman"/>
          <w:b/>
          <w:bCs/>
        </w:rPr>
        <w:instrText xml:space="preserve"> STYLEREF 1 \s </w:instrText>
      </w:r>
      <w:r w:rsidRPr="00BD6323">
        <w:rPr>
          <w:rFonts w:eastAsia="Calibri" w:cs="Times New Roman"/>
          <w:b/>
          <w:bCs/>
        </w:rPr>
        <w:fldChar w:fldCharType="separate"/>
      </w:r>
      <w:r w:rsidR="009C319B">
        <w:rPr>
          <w:rFonts w:eastAsia="Calibri" w:cs="Times New Roman"/>
          <w:b/>
          <w:bCs/>
          <w:noProof/>
        </w:rPr>
        <w:t>5</w:t>
      </w:r>
      <w:r w:rsidRPr="00BD6323">
        <w:rPr>
          <w:rFonts w:eastAsia="Calibri" w:cs="Times New Roman"/>
          <w:b/>
          <w:bCs/>
        </w:rPr>
        <w:fldChar w:fldCharType="end"/>
      </w:r>
      <w:r w:rsidRPr="00BD6323">
        <w:rPr>
          <w:rFonts w:eastAsia="Calibri" w:cs="Times New Roman"/>
          <w:b/>
          <w:bCs/>
        </w:rPr>
        <w:t>.</w:t>
      </w:r>
      <w:r w:rsidRPr="00BD6323">
        <w:rPr>
          <w:rFonts w:eastAsia="Calibri" w:cs="Times New Roman"/>
          <w:b/>
          <w:bCs/>
        </w:rPr>
        <w:fldChar w:fldCharType="begin"/>
      </w:r>
      <w:r w:rsidRPr="00BD6323">
        <w:rPr>
          <w:rFonts w:eastAsia="Calibri" w:cs="Times New Roman"/>
          <w:b/>
          <w:bCs/>
        </w:rPr>
        <w:instrText xml:space="preserve"> SEQ Slika \* ARABIC \s 1 </w:instrText>
      </w:r>
      <w:r w:rsidRPr="00BD6323">
        <w:rPr>
          <w:rFonts w:eastAsia="Calibri" w:cs="Times New Roman"/>
          <w:b/>
          <w:bCs/>
        </w:rPr>
        <w:fldChar w:fldCharType="separate"/>
      </w:r>
      <w:r w:rsidR="009C319B">
        <w:rPr>
          <w:rFonts w:eastAsia="Calibri" w:cs="Times New Roman"/>
          <w:b/>
          <w:bCs/>
          <w:noProof/>
        </w:rPr>
        <w:t>18</w:t>
      </w:r>
      <w:r w:rsidRPr="00BD6323">
        <w:rPr>
          <w:rFonts w:eastAsia="Calibri" w:cs="Times New Roman"/>
          <w:b/>
          <w:bCs/>
        </w:rPr>
        <w:fldChar w:fldCharType="end"/>
      </w:r>
      <w:bookmarkEnd w:id="227"/>
      <w:r w:rsidRPr="00BD6323">
        <w:rPr>
          <w:rFonts w:eastAsia="Calibri" w:cs="Times New Roman"/>
          <w:b/>
          <w:bCs/>
        </w:rPr>
        <w:t xml:space="preserve"> </w:t>
      </w:r>
      <w:r w:rsidRPr="00BD6323">
        <w:rPr>
          <w:rFonts w:eastAsia="Calibri" w:cs="Times New Roman"/>
          <w:bCs/>
        </w:rPr>
        <w:t xml:space="preserve">Struktura registriranih osobnih i komercijalnih vozila </w:t>
      </w:r>
      <w:r w:rsidR="004D1C98" w:rsidRPr="00BD6323">
        <w:rPr>
          <w:rFonts w:eastAsia="Calibri" w:cs="Times New Roman"/>
          <w:bCs/>
        </w:rPr>
        <w:t>prema vrsti pogonskog goriva u G</w:t>
      </w:r>
      <w:r w:rsidRPr="00BD6323">
        <w:rPr>
          <w:rFonts w:eastAsia="Calibri" w:cs="Times New Roman"/>
          <w:bCs/>
        </w:rPr>
        <w:t>radu Zagrebu u 2015. godini</w:t>
      </w:r>
      <w:bookmarkEnd w:id="228"/>
    </w:p>
    <w:p w14:paraId="33ED9154" w14:textId="44352A0D" w:rsidR="00FC3D13" w:rsidRPr="00BD6323" w:rsidRDefault="00FC3D13" w:rsidP="00E92750">
      <w:pPr>
        <w:spacing w:line="240" w:lineRule="auto"/>
        <w:jc w:val="both"/>
      </w:pPr>
      <w:r w:rsidRPr="00BD6323">
        <w:t>U ukupnoj strukturi registriranih osobnih i komercijalnih vozila prema vrsti goriva, najzastupljenija su vozila na dizel pogon 48,56% i benzin 48,07%.</w:t>
      </w:r>
    </w:p>
    <w:p w14:paraId="02CA43FA" w14:textId="77777777" w:rsidR="00EA75E6" w:rsidRPr="00BD6323" w:rsidRDefault="00EA75E6" w:rsidP="00E92750">
      <w:pPr>
        <w:spacing w:after="0" w:line="240" w:lineRule="auto"/>
        <w:jc w:val="center"/>
        <w:rPr>
          <w:noProof/>
          <w:lang w:eastAsia="hr-HR"/>
        </w:rPr>
      </w:pPr>
      <w:r w:rsidRPr="00BD6323">
        <w:rPr>
          <w:noProof/>
          <w:lang w:eastAsia="hr-HR"/>
        </w:rPr>
        <w:drawing>
          <wp:inline distT="0" distB="0" distL="0" distR="0" wp14:anchorId="6B21B0C7" wp14:editId="7D435950">
            <wp:extent cx="3985404" cy="2734573"/>
            <wp:effectExtent l="0" t="0" r="0"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49E6CD8" w14:textId="50A09211" w:rsidR="00EA75E6" w:rsidRPr="00BD6323" w:rsidRDefault="00EA75E6" w:rsidP="00E92750">
      <w:pPr>
        <w:spacing w:line="240" w:lineRule="auto"/>
        <w:jc w:val="center"/>
        <w:rPr>
          <w:rFonts w:eastAsia="Calibri" w:cs="Times New Roman"/>
          <w:bCs/>
        </w:rPr>
      </w:pPr>
      <w:bookmarkStart w:id="229" w:name="_Ref464213840"/>
      <w:bookmarkStart w:id="230" w:name="_Toc447802992"/>
      <w:bookmarkStart w:id="231" w:name="_Toc468277455"/>
      <w:r w:rsidRPr="00BD6323">
        <w:rPr>
          <w:rFonts w:eastAsia="Calibri" w:cs="Times New Roman"/>
          <w:b/>
          <w:bCs/>
        </w:rPr>
        <w:t xml:space="preserve">Slika </w:t>
      </w:r>
      <w:r w:rsidRPr="00BD6323">
        <w:rPr>
          <w:rFonts w:eastAsia="Calibri" w:cs="Times New Roman"/>
          <w:b/>
          <w:bCs/>
        </w:rPr>
        <w:fldChar w:fldCharType="begin"/>
      </w:r>
      <w:r w:rsidRPr="00BD6323">
        <w:rPr>
          <w:rFonts w:eastAsia="Calibri" w:cs="Times New Roman"/>
          <w:b/>
          <w:bCs/>
        </w:rPr>
        <w:instrText xml:space="preserve"> STYLEREF 1 \s </w:instrText>
      </w:r>
      <w:r w:rsidRPr="00BD6323">
        <w:rPr>
          <w:rFonts w:eastAsia="Calibri" w:cs="Times New Roman"/>
          <w:b/>
          <w:bCs/>
        </w:rPr>
        <w:fldChar w:fldCharType="separate"/>
      </w:r>
      <w:r w:rsidR="009C319B">
        <w:rPr>
          <w:rFonts w:eastAsia="Calibri" w:cs="Times New Roman"/>
          <w:b/>
          <w:bCs/>
          <w:noProof/>
        </w:rPr>
        <w:t>5</w:t>
      </w:r>
      <w:r w:rsidRPr="00BD6323">
        <w:rPr>
          <w:rFonts w:eastAsia="Calibri" w:cs="Times New Roman"/>
          <w:b/>
          <w:bCs/>
        </w:rPr>
        <w:fldChar w:fldCharType="end"/>
      </w:r>
      <w:r w:rsidRPr="00BD6323">
        <w:rPr>
          <w:rFonts w:eastAsia="Calibri" w:cs="Times New Roman"/>
          <w:b/>
          <w:bCs/>
        </w:rPr>
        <w:t>.</w:t>
      </w:r>
      <w:r w:rsidRPr="00BD6323">
        <w:rPr>
          <w:rFonts w:eastAsia="Calibri" w:cs="Times New Roman"/>
          <w:b/>
          <w:bCs/>
        </w:rPr>
        <w:fldChar w:fldCharType="begin"/>
      </w:r>
      <w:r w:rsidRPr="00BD6323">
        <w:rPr>
          <w:rFonts w:eastAsia="Calibri" w:cs="Times New Roman"/>
          <w:b/>
          <w:bCs/>
        </w:rPr>
        <w:instrText xml:space="preserve"> SEQ Slika \* ARABIC \s 1 </w:instrText>
      </w:r>
      <w:r w:rsidRPr="00BD6323">
        <w:rPr>
          <w:rFonts w:eastAsia="Calibri" w:cs="Times New Roman"/>
          <w:b/>
          <w:bCs/>
        </w:rPr>
        <w:fldChar w:fldCharType="separate"/>
      </w:r>
      <w:r w:rsidR="009C319B">
        <w:rPr>
          <w:rFonts w:eastAsia="Calibri" w:cs="Times New Roman"/>
          <w:b/>
          <w:bCs/>
          <w:noProof/>
        </w:rPr>
        <w:t>19</w:t>
      </w:r>
      <w:r w:rsidRPr="00BD6323">
        <w:rPr>
          <w:rFonts w:eastAsia="Calibri" w:cs="Times New Roman"/>
          <w:b/>
          <w:bCs/>
        </w:rPr>
        <w:fldChar w:fldCharType="end"/>
      </w:r>
      <w:bookmarkEnd w:id="229"/>
      <w:r w:rsidRPr="00BD6323">
        <w:rPr>
          <w:rFonts w:eastAsia="Calibri" w:cs="Times New Roman"/>
          <w:b/>
          <w:bCs/>
        </w:rPr>
        <w:t xml:space="preserve"> </w:t>
      </w:r>
      <w:r w:rsidRPr="00BD6323">
        <w:rPr>
          <w:rFonts w:eastAsia="Calibri" w:cs="Times New Roman"/>
          <w:bCs/>
        </w:rPr>
        <w:t xml:space="preserve">Struktura registriranih </w:t>
      </w:r>
      <w:r w:rsidR="00FC3D13" w:rsidRPr="00BD6323">
        <w:rPr>
          <w:rFonts w:eastAsia="Calibri" w:cs="Times New Roman"/>
          <w:bCs/>
        </w:rPr>
        <w:t>osobnih i komercija</w:t>
      </w:r>
      <w:r w:rsidR="004D1C98" w:rsidRPr="00BD6323">
        <w:rPr>
          <w:rFonts w:eastAsia="Calibri" w:cs="Times New Roman"/>
          <w:bCs/>
        </w:rPr>
        <w:t>lnih vozila prema vlasništvu u G</w:t>
      </w:r>
      <w:r w:rsidRPr="00BD6323">
        <w:rPr>
          <w:rFonts w:eastAsia="Calibri" w:cs="Times New Roman"/>
          <w:bCs/>
        </w:rPr>
        <w:t>radu Zagrebu u 2015. godini</w:t>
      </w:r>
      <w:bookmarkEnd w:id="230"/>
      <w:bookmarkEnd w:id="231"/>
    </w:p>
    <w:p w14:paraId="6CC25596" w14:textId="631C7D04" w:rsidR="00EA75E6" w:rsidRPr="00BD6323" w:rsidRDefault="00EA75E6" w:rsidP="00E92750">
      <w:pPr>
        <w:spacing w:line="240" w:lineRule="auto"/>
        <w:jc w:val="both"/>
      </w:pPr>
      <w:r w:rsidRPr="00BD6323">
        <w:t xml:space="preserve">Vezano uz strukturu vlasništva vidljivo je da je 75,34% </w:t>
      </w:r>
      <w:r w:rsidR="00FC3D13" w:rsidRPr="00BD6323">
        <w:t xml:space="preserve">osobnih i komercijalni </w:t>
      </w:r>
      <w:r w:rsidRPr="00BD6323">
        <w:t>vozila u vlasništvu fizičkih osoba, dok je u vlasništvu pravnih osoba 24,66</w:t>
      </w:r>
      <w:r w:rsidR="00FC3D13" w:rsidRPr="00BD6323">
        <w:t>%</w:t>
      </w:r>
      <w:r w:rsidRPr="00BD6323">
        <w:t>.</w:t>
      </w:r>
    </w:p>
    <w:p w14:paraId="75BA48CB" w14:textId="03C6AE66" w:rsidR="000E6023" w:rsidRPr="00BD6323" w:rsidRDefault="00BD6323" w:rsidP="00E92750">
      <w:pPr>
        <w:pStyle w:val="Heading3"/>
        <w:spacing w:after="240" w:line="240" w:lineRule="auto"/>
        <w:jc w:val="both"/>
      </w:pPr>
      <w:bookmarkStart w:id="232" w:name="_Toc468345375"/>
      <w:r w:rsidRPr="00BD6323">
        <w:lastRenderedPageBreak/>
        <w:t>Prikaz trendova osobnih i komercijalnih</w:t>
      </w:r>
      <w:r w:rsidR="009A24DB" w:rsidRPr="00BD6323">
        <w:t xml:space="preserve"> vozila</w:t>
      </w:r>
      <w:bookmarkEnd w:id="232"/>
      <w:r w:rsidR="009A24DB" w:rsidRPr="00BD6323">
        <w:t xml:space="preserve"> </w:t>
      </w:r>
    </w:p>
    <w:p w14:paraId="25DC1BC6" w14:textId="0357BDFD" w:rsidR="004912C8" w:rsidRPr="00BD6323" w:rsidRDefault="004912C8" w:rsidP="00E92750">
      <w:pPr>
        <w:spacing w:after="240" w:line="240" w:lineRule="auto"/>
        <w:jc w:val="both"/>
      </w:pPr>
      <w:r w:rsidRPr="00BD6323">
        <w:t>Trend kretanja ukupnog broja registriranih</w:t>
      </w:r>
      <w:r w:rsidR="00B03800" w:rsidRPr="00BD6323">
        <w:t xml:space="preserve"> </w:t>
      </w:r>
      <w:r w:rsidR="00AE3FB5" w:rsidRPr="00BD6323">
        <w:t xml:space="preserve">osobnih i komercijalnih </w:t>
      </w:r>
      <w:r w:rsidR="006E0A2E" w:rsidRPr="00BD6323">
        <w:t>vozila prikazan na</w:t>
      </w:r>
      <w:r w:rsidR="00AE3FB5" w:rsidRPr="00BD6323">
        <w:t xml:space="preserve"> </w:t>
      </w:r>
      <w:r w:rsidR="00CA5F9A" w:rsidRPr="00BD6323">
        <w:fldChar w:fldCharType="begin"/>
      </w:r>
      <w:r w:rsidR="00CA5F9A" w:rsidRPr="00BD6323">
        <w:instrText xml:space="preserve"> REF _Ref464136771 \h </w:instrText>
      </w:r>
      <w:r w:rsidR="00B03800" w:rsidRPr="00BD6323">
        <w:instrText xml:space="preserve"> \* MERGEFORMAT </w:instrText>
      </w:r>
      <w:r w:rsidR="00CA5F9A" w:rsidRPr="00BD6323">
        <w:fldChar w:fldCharType="separate"/>
      </w:r>
      <w:r w:rsidR="009C319B" w:rsidRPr="00BD6323">
        <w:rPr>
          <w:rFonts w:eastAsia="Calibri" w:cs="Times New Roman"/>
          <w:b/>
          <w:bCs/>
        </w:rPr>
        <w:t>Sli</w:t>
      </w:r>
      <w:r w:rsidR="007A3B71">
        <w:rPr>
          <w:rFonts w:eastAsia="Calibri" w:cs="Times New Roman"/>
          <w:b/>
          <w:bCs/>
        </w:rPr>
        <w:t>ci</w:t>
      </w:r>
      <w:r w:rsidR="009C319B" w:rsidRPr="00BD6323">
        <w:rPr>
          <w:rFonts w:eastAsia="Calibri" w:cs="Times New Roman"/>
          <w:b/>
          <w:bCs/>
        </w:rPr>
        <w:t xml:space="preserve"> </w:t>
      </w:r>
      <w:r w:rsidR="009C319B">
        <w:rPr>
          <w:rFonts w:eastAsia="Calibri" w:cs="Times New Roman"/>
          <w:b/>
          <w:bCs/>
          <w:noProof/>
        </w:rPr>
        <w:t>5</w:t>
      </w:r>
      <w:r w:rsidR="009C319B" w:rsidRPr="00BD6323">
        <w:rPr>
          <w:rFonts w:eastAsia="Calibri" w:cs="Times New Roman"/>
          <w:b/>
          <w:bCs/>
          <w:noProof/>
        </w:rPr>
        <w:t>.</w:t>
      </w:r>
      <w:r w:rsidR="009C319B">
        <w:rPr>
          <w:rFonts w:eastAsia="Calibri" w:cs="Times New Roman"/>
          <w:b/>
          <w:bCs/>
          <w:noProof/>
        </w:rPr>
        <w:t>20</w:t>
      </w:r>
      <w:r w:rsidR="00CA5F9A" w:rsidRPr="00BD6323">
        <w:fldChar w:fldCharType="end"/>
      </w:r>
      <w:r w:rsidR="006E0A2E" w:rsidRPr="00BD6323">
        <w:t>., dok je</w:t>
      </w:r>
      <w:r w:rsidRPr="00BD6323">
        <w:t xml:space="preserve"> trend kretanja broja osob</w:t>
      </w:r>
      <w:r w:rsidR="006E0A2E" w:rsidRPr="00BD6323">
        <w:t xml:space="preserve">nih vozila dan na </w:t>
      </w:r>
      <w:r w:rsidR="00CA5F9A" w:rsidRPr="00BD6323">
        <w:fldChar w:fldCharType="begin"/>
      </w:r>
      <w:r w:rsidR="00CA5F9A" w:rsidRPr="00BD6323">
        <w:instrText xml:space="preserve"> REF _Ref464136804 \h </w:instrText>
      </w:r>
      <w:r w:rsidR="00B03800" w:rsidRPr="00BD6323">
        <w:instrText xml:space="preserve"> \* MERGEFORMAT </w:instrText>
      </w:r>
      <w:r w:rsidR="00CA5F9A" w:rsidRPr="00BD6323">
        <w:fldChar w:fldCharType="separate"/>
      </w:r>
      <w:r w:rsidR="007A3B71">
        <w:rPr>
          <w:rFonts w:eastAsia="Calibri" w:cs="Times New Roman"/>
          <w:b/>
          <w:bCs/>
        </w:rPr>
        <w:t>Slici</w:t>
      </w:r>
      <w:r w:rsidR="009C319B" w:rsidRPr="00BD6323">
        <w:rPr>
          <w:rFonts w:eastAsia="Calibri" w:cs="Times New Roman"/>
          <w:b/>
          <w:bCs/>
        </w:rPr>
        <w:t xml:space="preserve"> </w:t>
      </w:r>
      <w:r w:rsidR="009C319B">
        <w:rPr>
          <w:rFonts w:eastAsia="Calibri" w:cs="Times New Roman"/>
          <w:b/>
          <w:bCs/>
          <w:noProof/>
        </w:rPr>
        <w:t>5</w:t>
      </w:r>
      <w:r w:rsidR="009C319B" w:rsidRPr="00BD6323">
        <w:rPr>
          <w:rFonts w:eastAsia="Calibri" w:cs="Times New Roman"/>
          <w:b/>
          <w:bCs/>
          <w:noProof/>
        </w:rPr>
        <w:t>.</w:t>
      </w:r>
      <w:r w:rsidR="009C319B">
        <w:rPr>
          <w:rFonts w:eastAsia="Calibri" w:cs="Times New Roman"/>
          <w:b/>
          <w:bCs/>
          <w:noProof/>
        </w:rPr>
        <w:t>21</w:t>
      </w:r>
      <w:r w:rsidR="00CA5F9A" w:rsidRPr="00BD6323">
        <w:fldChar w:fldCharType="end"/>
      </w:r>
      <w:r w:rsidRPr="00BD6323">
        <w:t>.</w:t>
      </w:r>
    </w:p>
    <w:p w14:paraId="3C274597" w14:textId="7DC3C1A3" w:rsidR="00CA5F9A" w:rsidRPr="00BD6323" w:rsidRDefault="00CA5F9A" w:rsidP="00E92750">
      <w:pPr>
        <w:spacing w:after="0" w:line="240" w:lineRule="auto"/>
        <w:jc w:val="center"/>
        <w:rPr>
          <w:noProof/>
          <w:lang w:eastAsia="hr-HR"/>
        </w:rPr>
      </w:pPr>
      <w:r w:rsidRPr="00BD6323">
        <w:rPr>
          <w:noProof/>
          <w:lang w:eastAsia="hr-HR"/>
        </w:rPr>
        <w:drawing>
          <wp:inline distT="0" distB="0" distL="0" distR="0" wp14:anchorId="59E897C1" wp14:editId="66258993">
            <wp:extent cx="5372100" cy="300037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6E18956" w14:textId="1611A66D" w:rsidR="004912C8" w:rsidRPr="00BD6323" w:rsidRDefault="004912C8" w:rsidP="00E92750">
      <w:pPr>
        <w:spacing w:after="240" w:line="240" w:lineRule="auto"/>
        <w:jc w:val="center"/>
        <w:rPr>
          <w:rFonts w:eastAsia="Calibri" w:cs="Times New Roman"/>
          <w:b/>
          <w:bCs/>
        </w:rPr>
      </w:pPr>
      <w:bookmarkStart w:id="233" w:name="_Ref464136771"/>
      <w:bookmarkStart w:id="234" w:name="_Toc447802989"/>
      <w:bookmarkStart w:id="235" w:name="_Toc468277456"/>
      <w:r w:rsidRPr="00BD6323">
        <w:rPr>
          <w:rFonts w:eastAsia="Calibri" w:cs="Times New Roman"/>
          <w:b/>
          <w:bCs/>
        </w:rPr>
        <w:t xml:space="preserve">Slika </w:t>
      </w:r>
      <w:r w:rsidRPr="00BD6323">
        <w:rPr>
          <w:rFonts w:eastAsia="Calibri" w:cs="Times New Roman"/>
          <w:b/>
          <w:bCs/>
        </w:rPr>
        <w:fldChar w:fldCharType="begin"/>
      </w:r>
      <w:r w:rsidRPr="00BD6323">
        <w:rPr>
          <w:rFonts w:eastAsia="Calibri" w:cs="Times New Roman"/>
          <w:b/>
          <w:bCs/>
        </w:rPr>
        <w:instrText xml:space="preserve"> STYLEREF 1 \s </w:instrText>
      </w:r>
      <w:r w:rsidRPr="00BD6323">
        <w:rPr>
          <w:rFonts w:eastAsia="Calibri" w:cs="Times New Roman"/>
          <w:b/>
          <w:bCs/>
        </w:rPr>
        <w:fldChar w:fldCharType="separate"/>
      </w:r>
      <w:r w:rsidR="009C319B">
        <w:rPr>
          <w:rFonts w:eastAsia="Calibri" w:cs="Times New Roman"/>
          <w:b/>
          <w:bCs/>
          <w:noProof/>
        </w:rPr>
        <w:t>5</w:t>
      </w:r>
      <w:r w:rsidRPr="00BD6323">
        <w:rPr>
          <w:rFonts w:eastAsia="Calibri" w:cs="Times New Roman"/>
          <w:b/>
          <w:bCs/>
        </w:rPr>
        <w:fldChar w:fldCharType="end"/>
      </w:r>
      <w:r w:rsidRPr="00BD6323">
        <w:rPr>
          <w:rFonts w:eastAsia="Calibri" w:cs="Times New Roman"/>
          <w:b/>
          <w:bCs/>
        </w:rPr>
        <w:t>.</w:t>
      </w:r>
      <w:r w:rsidRPr="00BD6323">
        <w:rPr>
          <w:rFonts w:eastAsia="Calibri" w:cs="Times New Roman"/>
          <w:b/>
          <w:bCs/>
        </w:rPr>
        <w:fldChar w:fldCharType="begin"/>
      </w:r>
      <w:r w:rsidRPr="00BD6323">
        <w:rPr>
          <w:rFonts w:eastAsia="Calibri" w:cs="Times New Roman"/>
          <w:b/>
          <w:bCs/>
        </w:rPr>
        <w:instrText xml:space="preserve"> SEQ Slika \* ARABIC \s 1 </w:instrText>
      </w:r>
      <w:r w:rsidRPr="00BD6323">
        <w:rPr>
          <w:rFonts w:eastAsia="Calibri" w:cs="Times New Roman"/>
          <w:b/>
          <w:bCs/>
        </w:rPr>
        <w:fldChar w:fldCharType="separate"/>
      </w:r>
      <w:r w:rsidR="009C319B">
        <w:rPr>
          <w:rFonts w:eastAsia="Calibri" w:cs="Times New Roman"/>
          <w:b/>
          <w:bCs/>
          <w:noProof/>
        </w:rPr>
        <w:t>20</w:t>
      </w:r>
      <w:r w:rsidRPr="00BD6323">
        <w:rPr>
          <w:rFonts w:eastAsia="Calibri" w:cs="Times New Roman"/>
          <w:b/>
          <w:bCs/>
        </w:rPr>
        <w:fldChar w:fldCharType="end"/>
      </w:r>
      <w:bookmarkEnd w:id="233"/>
      <w:r w:rsidRPr="00BD6323">
        <w:rPr>
          <w:rFonts w:eastAsia="Calibri" w:cs="Times New Roman"/>
          <w:b/>
          <w:bCs/>
        </w:rPr>
        <w:t xml:space="preserve"> </w:t>
      </w:r>
      <w:r w:rsidRPr="00BD6323">
        <w:rPr>
          <w:rFonts w:eastAsia="Calibri" w:cs="Times New Roman"/>
          <w:bCs/>
        </w:rPr>
        <w:t xml:space="preserve">Broj registriranih </w:t>
      </w:r>
      <w:r w:rsidR="00AE3FB5" w:rsidRPr="00BD6323">
        <w:rPr>
          <w:rFonts w:eastAsia="Calibri" w:cs="Times New Roman"/>
          <w:bCs/>
        </w:rPr>
        <w:t>os</w:t>
      </w:r>
      <w:r w:rsidR="004D1C98" w:rsidRPr="00BD6323">
        <w:rPr>
          <w:rFonts w:eastAsia="Calibri" w:cs="Times New Roman"/>
          <w:bCs/>
        </w:rPr>
        <w:t>obnih i komercijalnih vozila u G</w:t>
      </w:r>
      <w:r w:rsidRPr="00BD6323">
        <w:rPr>
          <w:rFonts w:eastAsia="Calibri" w:cs="Times New Roman"/>
          <w:bCs/>
        </w:rPr>
        <w:t xml:space="preserve">radu </w:t>
      </w:r>
      <w:r w:rsidR="00241E6A" w:rsidRPr="00BD6323">
        <w:rPr>
          <w:rFonts w:eastAsia="Calibri" w:cs="Times New Roman"/>
          <w:bCs/>
        </w:rPr>
        <w:t>Zagrebu</w:t>
      </w:r>
      <w:r w:rsidR="00AE3FB5" w:rsidRPr="00BD6323">
        <w:rPr>
          <w:rFonts w:eastAsia="Calibri" w:cs="Times New Roman"/>
          <w:bCs/>
        </w:rPr>
        <w:t xml:space="preserve"> u vremenskom periodu</w:t>
      </w:r>
      <w:r w:rsidR="002606C4" w:rsidRPr="00BD6323">
        <w:rPr>
          <w:rFonts w:eastAsia="Calibri" w:cs="Times New Roman"/>
          <w:bCs/>
        </w:rPr>
        <w:t xml:space="preserve"> od 2008</w:t>
      </w:r>
      <w:r w:rsidRPr="00BD6323">
        <w:rPr>
          <w:rFonts w:eastAsia="Calibri" w:cs="Times New Roman"/>
          <w:bCs/>
        </w:rPr>
        <w:t xml:space="preserve">. do </w:t>
      </w:r>
      <w:r w:rsidR="000F64C5" w:rsidRPr="00BD6323">
        <w:rPr>
          <w:rFonts w:eastAsia="Calibri" w:cs="Times New Roman"/>
          <w:bCs/>
        </w:rPr>
        <w:t>2015</w:t>
      </w:r>
      <w:r w:rsidRPr="00BD6323">
        <w:rPr>
          <w:rFonts w:eastAsia="Calibri" w:cs="Times New Roman"/>
          <w:bCs/>
        </w:rPr>
        <w:t>. godine</w:t>
      </w:r>
      <w:bookmarkEnd w:id="234"/>
      <w:bookmarkEnd w:id="235"/>
    </w:p>
    <w:p w14:paraId="03F3A55A" w14:textId="0C7FEB36" w:rsidR="004912C8" w:rsidRPr="00BD6323" w:rsidRDefault="00CA5F9A" w:rsidP="00E92750">
      <w:pPr>
        <w:spacing w:after="0" w:line="240" w:lineRule="auto"/>
        <w:jc w:val="center"/>
        <w:rPr>
          <w:noProof/>
          <w:lang w:eastAsia="hr-HR"/>
        </w:rPr>
      </w:pPr>
      <w:r w:rsidRPr="00BD6323">
        <w:rPr>
          <w:noProof/>
          <w:lang w:eastAsia="hr-HR"/>
        </w:rPr>
        <w:drawing>
          <wp:inline distT="0" distB="0" distL="0" distR="0" wp14:anchorId="226F1F01" wp14:editId="491BBDB2">
            <wp:extent cx="5676900" cy="26384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51B134F" w14:textId="0C8383DB" w:rsidR="004912C8" w:rsidRPr="00BD6323" w:rsidRDefault="004912C8" w:rsidP="00E92750">
      <w:pPr>
        <w:spacing w:line="240" w:lineRule="auto"/>
        <w:jc w:val="center"/>
        <w:rPr>
          <w:rFonts w:eastAsia="Calibri" w:cs="Times New Roman"/>
          <w:b/>
          <w:bCs/>
        </w:rPr>
      </w:pPr>
      <w:bookmarkStart w:id="236" w:name="_Ref464136804"/>
      <w:bookmarkStart w:id="237" w:name="_Toc447802990"/>
      <w:bookmarkStart w:id="238" w:name="_Toc468277457"/>
      <w:r w:rsidRPr="00BD6323">
        <w:rPr>
          <w:rFonts w:eastAsia="Calibri" w:cs="Times New Roman"/>
          <w:b/>
          <w:bCs/>
        </w:rPr>
        <w:t xml:space="preserve">Slika </w:t>
      </w:r>
      <w:r w:rsidRPr="00BD6323">
        <w:rPr>
          <w:rFonts w:eastAsia="Calibri" w:cs="Times New Roman"/>
          <w:b/>
          <w:bCs/>
        </w:rPr>
        <w:fldChar w:fldCharType="begin"/>
      </w:r>
      <w:r w:rsidRPr="00BD6323">
        <w:rPr>
          <w:rFonts w:eastAsia="Calibri" w:cs="Times New Roman"/>
          <w:b/>
          <w:bCs/>
        </w:rPr>
        <w:instrText xml:space="preserve"> STYLEREF 1 \s </w:instrText>
      </w:r>
      <w:r w:rsidRPr="00BD6323">
        <w:rPr>
          <w:rFonts w:eastAsia="Calibri" w:cs="Times New Roman"/>
          <w:b/>
          <w:bCs/>
        </w:rPr>
        <w:fldChar w:fldCharType="separate"/>
      </w:r>
      <w:r w:rsidR="009C319B">
        <w:rPr>
          <w:rFonts w:eastAsia="Calibri" w:cs="Times New Roman"/>
          <w:b/>
          <w:bCs/>
          <w:noProof/>
        </w:rPr>
        <w:t>5</w:t>
      </w:r>
      <w:r w:rsidRPr="00BD6323">
        <w:rPr>
          <w:rFonts w:eastAsia="Calibri" w:cs="Times New Roman"/>
          <w:b/>
          <w:bCs/>
        </w:rPr>
        <w:fldChar w:fldCharType="end"/>
      </w:r>
      <w:r w:rsidRPr="00BD6323">
        <w:rPr>
          <w:rFonts w:eastAsia="Calibri" w:cs="Times New Roman"/>
          <w:b/>
          <w:bCs/>
        </w:rPr>
        <w:t>.</w:t>
      </w:r>
      <w:r w:rsidRPr="00BD6323">
        <w:rPr>
          <w:rFonts w:eastAsia="Calibri" w:cs="Times New Roman"/>
          <w:b/>
          <w:bCs/>
        </w:rPr>
        <w:fldChar w:fldCharType="begin"/>
      </w:r>
      <w:r w:rsidRPr="00BD6323">
        <w:rPr>
          <w:rFonts w:eastAsia="Calibri" w:cs="Times New Roman"/>
          <w:b/>
          <w:bCs/>
        </w:rPr>
        <w:instrText xml:space="preserve"> SEQ Slika \* ARABIC \s 1 </w:instrText>
      </w:r>
      <w:r w:rsidRPr="00BD6323">
        <w:rPr>
          <w:rFonts w:eastAsia="Calibri" w:cs="Times New Roman"/>
          <w:b/>
          <w:bCs/>
        </w:rPr>
        <w:fldChar w:fldCharType="separate"/>
      </w:r>
      <w:r w:rsidR="009C319B">
        <w:rPr>
          <w:rFonts w:eastAsia="Calibri" w:cs="Times New Roman"/>
          <w:b/>
          <w:bCs/>
          <w:noProof/>
        </w:rPr>
        <w:t>21</w:t>
      </w:r>
      <w:r w:rsidRPr="00BD6323">
        <w:rPr>
          <w:rFonts w:eastAsia="Calibri" w:cs="Times New Roman"/>
          <w:b/>
          <w:bCs/>
        </w:rPr>
        <w:fldChar w:fldCharType="end"/>
      </w:r>
      <w:bookmarkEnd w:id="236"/>
      <w:r w:rsidRPr="00BD6323">
        <w:rPr>
          <w:rFonts w:eastAsia="Calibri" w:cs="Times New Roman"/>
          <w:b/>
          <w:bCs/>
        </w:rPr>
        <w:t xml:space="preserve"> </w:t>
      </w:r>
      <w:r w:rsidRPr="00BD6323">
        <w:rPr>
          <w:rFonts w:eastAsia="Calibri" w:cs="Times New Roman"/>
          <w:bCs/>
        </w:rPr>
        <w:t xml:space="preserve">Broj </w:t>
      </w:r>
      <w:r w:rsidR="006E0A2E" w:rsidRPr="00BD6323">
        <w:rPr>
          <w:rFonts w:eastAsia="Calibri" w:cs="Times New Roman"/>
          <w:bCs/>
        </w:rPr>
        <w:t>registriranih osob</w:t>
      </w:r>
      <w:r w:rsidR="005A31FB" w:rsidRPr="00BD6323">
        <w:rPr>
          <w:rFonts w:eastAsia="Calibri" w:cs="Times New Roman"/>
          <w:bCs/>
        </w:rPr>
        <w:t>nih vozila u G</w:t>
      </w:r>
      <w:r w:rsidRPr="00BD6323">
        <w:rPr>
          <w:rFonts w:eastAsia="Calibri" w:cs="Times New Roman"/>
          <w:bCs/>
        </w:rPr>
        <w:t xml:space="preserve">radu </w:t>
      </w:r>
      <w:r w:rsidR="00241E6A" w:rsidRPr="00BD6323">
        <w:rPr>
          <w:rFonts w:eastAsia="Calibri" w:cs="Times New Roman"/>
          <w:bCs/>
        </w:rPr>
        <w:t>Zagrebu</w:t>
      </w:r>
      <w:r w:rsidR="006E0A2E" w:rsidRPr="00BD6323">
        <w:rPr>
          <w:rFonts w:eastAsia="Calibri" w:cs="Times New Roman"/>
          <w:bCs/>
        </w:rPr>
        <w:t xml:space="preserve"> u vremenskom periodu</w:t>
      </w:r>
      <w:r w:rsidR="002606C4" w:rsidRPr="00BD6323">
        <w:rPr>
          <w:rFonts w:eastAsia="Calibri" w:cs="Times New Roman"/>
          <w:bCs/>
        </w:rPr>
        <w:t xml:space="preserve"> od 2008</w:t>
      </w:r>
      <w:r w:rsidRPr="00BD6323">
        <w:rPr>
          <w:rFonts w:eastAsia="Calibri" w:cs="Times New Roman"/>
          <w:bCs/>
        </w:rPr>
        <w:t xml:space="preserve">. do </w:t>
      </w:r>
      <w:r w:rsidR="000F64C5" w:rsidRPr="00BD6323">
        <w:rPr>
          <w:rFonts w:eastAsia="Calibri" w:cs="Times New Roman"/>
          <w:bCs/>
        </w:rPr>
        <w:t>2015</w:t>
      </w:r>
      <w:r w:rsidRPr="00BD6323">
        <w:rPr>
          <w:rFonts w:eastAsia="Calibri" w:cs="Times New Roman"/>
          <w:bCs/>
        </w:rPr>
        <w:t>. godine</w:t>
      </w:r>
      <w:bookmarkEnd w:id="237"/>
      <w:bookmarkEnd w:id="238"/>
    </w:p>
    <w:p w14:paraId="6432EE9E" w14:textId="6A83F71A" w:rsidR="00BC086E" w:rsidRPr="00BD6323" w:rsidRDefault="004912C8" w:rsidP="00E92750">
      <w:pPr>
        <w:spacing w:line="240" w:lineRule="auto"/>
        <w:jc w:val="both"/>
        <w:rPr>
          <w:rFonts w:eastAsia="Calibri" w:cs="Times New Roman"/>
        </w:rPr>
      </w:pPr>
      <w:r w:rsidRPr="00BD6323">
        <w:rPr>
          <w:rFonts w:eastAsia="Calibri" w:cs="Times New Roman"/>
        </w:rPr>
        <w:t xml:space="preserve">Kao što je i vidljivo </w:t>
      </w:r>
      <w:r w:rsidR="00F540C1" w:rsidRPr="00BD6323">
        <w:rPr>
          <w:rFonts w:eastAsia="Calibri" w:cs="Times New Roman"/>
        </w:rPr>
        <w:t>iz prethodnih</w:t>
      </w:r>
      <w:r w:rsidR="00751425" w:rsidRPr="00BD6323">
        <w:rPr>
          <w:rFonts w:eastAsia="Calibri" w:cs="Times New Roman"/>
        </w:rPr>
        <w:t xml:space="preserve"> </w:t>
      </w:r>
      <w:r w:rsidR="00F540C1" w:rsidRPr="00BD6323">
        <w:rPr>
          <w:rFonts w:eastAsia="Calibri" w:cs="Times New Roman"/>
        </w:rPr>
        <w:t>Slika</w:t>
      </w:r>
      <w:r w:rsidR="00751425" w:rsidRPr="00BD6323">
        <w:rPr>
          <w:rFonts w:eastAsia="Calibri" w:cs="Times New Roman"/>
        </w:rPr>
        <w:t xml:space="preserve"> </w:t>
      </w:r>
      <w:r w:rsidRPr="00BD6323">
        <w:rPr>
          <w:rFonts w:eastAsia="Calibri" w:cs="Times New Roman"/>
        </w:rPr>
        <w:t xml:space="preserve">trend kretanja ukupnog broja </w:t>
      </w:r>
      <w:r w:rsidR="005E5F99" w:rsidRPr="00BD6323">
        <w:rPr>
          <w:rFonts w:eastAsia="Calibri" w:cs="Times New Roman"/>
        </w:rPr>
        <w:t>osobnih i komercijalnih vozila</w:t>
      </w:r>
      <w:r w:rsidRPr="00BD6323">
        <w:rPr>
          <w:rFonts w:eastAsia="Calibri" w:cs="Times New Roman"/>
        </w:rPr>
        <w:t xml:space="preserve"> i trend kretanja broja osobnih vozila se poklapaju</w:t>
      </w:r>
      <w:r w:rsidR="00751425" w:rsidRPr="00BD6323">
        <w:rPr>
          <w:rFonts w:eastAsia="Calibri" w:cs="Times New Roman"/>
        </w:rPr>
        <w:t>. Značajniji pad broja registriranih motornih vozila zabiljež</w:t>
      </w:r>
      <w:r w:rsidR="00576377" w:rsidRPr="00BD6323">
        <w:rPr>
          <w:rFonts w:eastAsia="Calibri" w:cs="Times New Roman"/>
        </w:rPr>
        <w:t>e</w:t>
      </w:r>
      <w:r w:rsidR="00751425" w:rsidRPr="00BD6323">
        <w:rPr>
          <w:rFonts w:eastAsia="Calibri" w:cs="Times New Roman"/>
        </w:rPr>
        <w:t>n je u 2009. i 2012. godini.</w:t>
      </w:r>
      <w:r w:rsidR="006A7F1D" w:rsidRPr="00BD6323">
        <w:rPr>
          <w:rFonts w:eastAsia="Calibri" w:cs="Times New Roman"/>
        </w:rPr>
        <w:t xml:space="preserve"> Trend smanjenja broja registriranih osobnih i komercijalni</w:t>
      </w:r>
      <w:r w:rsidR="006C56F0" w:rsidRPr="00BD6323">
        <w:rPr>
          <w:rFonts w:eastAsia="Calibri" w:cs="Times New Roman"/>
        </w:rPr>
        <w:t>h</w:t>
      </w:r>
      <w:r w:rsidR="006A7F1D" w:rsidRPr="00BD6323">
        <w:rPr>
          <w:rFonts w:eastAsia="Calibri" w:cs="Times New Roman"/>
        </w:rPr>
        <w:t xml:space="preserve"> vozila posljedica je</w:t>
      </w:r>
      <w:r w:rsidR="00AF2320" w:rsidRPr="00BD6323">
        <w:rPr>
          <w:rFonts w:eastAsia="Calibri" w:cs="Times New Roman"/>
        </w:rPr>
        <w:t xml:space="preserve"> globalne ekonomsko-financijske</w:t>
      </w:r>
      <w:r w:rsidR="006C56F0" w:rsidRPr="00BD6323">
        <w:rPr>
          <w:rFonts w:eastAsia="Calibri" w:cs="Times New Roman"/>
        </w:rPr>
        <w:t xml:space="preserve"> krize</w:t>
      </w:r>
      <w:r w:rsidR="00AF2320" w:rsidRPr="00BD6323">
        <w:rPr>
          <w:rFonts w:eastAsia="Calibri" w:cs="Times New Roman"/>
        </w:rPr>
        <w:t xml:space="preserve"> u koju je Republika Hrvatska ušla u drugoj polovici 2008. godine, što je rezultiralo manjom potrebom za mobilnošću</w:t>
      </w:r>
      <w:r w:rsidR="006C56F0" w:rsidRPr="00BD6323">
        <w:rPr>
          <w:rFonts w:eastAsia="Calibri" w:cs="Times New Roman"/>
        </w:rPr>
        <w:t xml:space="preserve">, </w:t>
      </w:r>
      <w:r w:rsidR="00217DBF">
        <w:rPr>
          <w:rFonts w:eastAsia="Calibri" w:cs="Times New Roman"/>
        </w:rPr>
        <w:t xml:space="preserve">povećanja korištenja javnog </w:t>
      </w:r>
      <w:r w:rsidR="00217DBF">
        <w:rPr>
          <w:rFonts w:eastAsia="Calibri" w:cs="Times New Roman"/>
        </w:rPr>
        <w:lastRenderedPageBreak/>
        <w:t xml:space="preserve">prijevoza, </w:t>
      </w:r>
      <w:r w:rsidR="006C56F0" w:rsidRPr="00BD6323">
        <w:rPr>
          <w:rFonts w:eastAsia="Calibri" w:cs="Times New Roman"/>
        </w:rPr>
        <w:t>ali i prisutnog trenda</w:t>
      </w:r>
      <w:r w:rsidR="006A7F1D" w:rsidRPr="00BD6323">
        <w:rPr>
          <w:rFonts w:eastAsia="Calibri" w:cs="Times New Roman"/>
        </w:rPr>
        <w:t xml:space="preserve"> registriranja sve većeg broja vozila u gradovima s nižim cijenama </w:t>
      </w:r>
      <w:r w:rsidR="006C56F0" w:rsidRPr="00BD6323">
        <w:rPr>
          <w:rFonts w:eastAsia="Calibri" w:cs="Times New Roman"/>
        </w:rPr>
        <w:t xml:space="preserve">obveznog automobilskog </w:t>
      </w:r>
      <w:r w:rsidR="006A7F1D" w:rsidRPr="00BD6323">
        <w:rPr>
          <w:rFonts w:eastAsia="Calibri" w:cs="Times New Roman"/>
        </w:rPr>
        <w:t>osiguranja.</w:t>
      </w:r>
      <w:r w:rsidR="006C56F0" w:rsidRPr="00BD6323">
        <w:rPr>
          <w:rFonts w:eastAsia="Calibri" w:cs="Times New Roman"/>
        </w:rPr>
        <w:t xml:space="preserve"> </w:t>
      </w:r>
      <w:r w:rsidR="00102062" w:rsidRPr="00BD6323">
        <w:t>Nadalje, s</w:t>
      </w:r>
      <w:r w:rsidR="005A5188" w:rsidRPr="00BD6323">
        <w:t xml:space="preserve"> obzirom da su u </w:t>
      </w:r>
      <w:r w:rsidR="005A5188" w:rsidRPr="00BD6323">
        <w:rPr>
          <w:rFonts w:eastAsia="Calibri" w:cs="Times New Roman"/>
        </w:rPr>
        <w:t>podsektoru os</w:t>
      </w:r>
      <w:r w:rsidR="005A31FB" w:rsidRPr="00BD6323">
        <w:rPr>
          <w:rFonts w:eastAsia="Calibri" w:cs="Times New Roman"/>
        </w:rPr>
        <w:t xml:space="preserve">obnih i komercijalnih vozila </w:t>
      </w:r>
      <w:r w:rsidR="006A7F1D" w:rsidRPr="00BD6323">
        <w:rPr>
          <w:rFonts w:eastAsia="Calibri" w:cs="Times New Roman"/>
        </w:rPr>
        <w:t>najzastupljeniji</w:t>
      </w:r>
      <w:r w:rsidR="005A5188" w:rsidRPr="00BD6323">
        <w:rPr>
          <w:rFonts w:eastAsia="Calibri" w:cs="Times New Roman"/>
        </w:rPr>
        <w:t xml:space="preserve"> </w:t>
      </w:r>
      <w:r w:rsidR="005E5F99" w:rsidRPr="00BD6323">
        <w:rPr>
          <w:rFonts w:eastAsia="Calibri" w:cs="Times New Roman"/>
        </w:rPr>
        <w:t>upravo osobni automobili</w:t>
      </w:r>
      <w:r w:rsidR="005A5188" w:rsidRPr="00BD6323">
        <w:rPr>
          <w:rFonts w:eastAsia="Calibri" w:cs="Times New Roman"/>
        </w:rPr>
        <w:t>, u nastavku je dan pregled određenih ključnih parametara u vremenskom razdoblju 2008. do 2015. godine</w:t>
      </w:r>
      <w:r w:rsidR="005705D1" w:rsidRPr="00BD6323">
        <w:rPr>
          <w:rFonts w:eastAsia="Calibri" w:cs="Times New Roman"/>
        </w:rPr>
        <w:t>, i to prikaz broja osobnih automobila na 1 000 stanovnika i struktura osobnih automobila prema vrsti pogonskog goriva.</w:t>
      </w:r>
      <w:r w:rsidR="006C56F0" w:rsidRPr="00BD6323">
        <w:rPr>
          <w:rFonts w:eastAsia="Calibri" w:cs="Times New Roman"/>
        </w:rPr>
        <w:t xml:space="preserve"> </w:t>
      </w:r>
      <w:r w:rsidR="00BC086E" w:rsidRPr="00BD6323">
        <w:t>U 201</w:t>
      </w:r>
      <w:r w:rsidR="005705D1" w:rsidRPr="00BD6323">
        <w:t>5. godini</w:t>
      </w:r>
      <w:r w:rsidR="00BC086E" w:rsidRPr="00BD6323">
        <w:t xml:space="preserve"> zabilježeno </w:t>
      </w:r>
      <w:r w:rsidR="006F678D">
        <w:t xml:space="preserve">je </w:t>
      </w:r>
      <w:r w:rsidR="00BC086E" w:rsidRPr="00BD6323">
        <w:t>približno 378 osobnih automobila na 1 0</w:t>
      </w:r>
      <w:r w:rsidR="003E4941">
        <w:t>00 stanovnika, odnosno</w:t>
      </w:r>
      <w:r w:rsidR="00BC086E" w:rsidRPr="00BD6323">
        <w:t xml:space="preserve"> svaki treći stanovnik</w:t>
      </w:r>
      <w:r w:rsidR="005A31FB" w:rsidRPr="00BD6323">
        <w:t xml:space="preserve"> G</w:t>
      </w:r>
      <w:r w:rsidR="00BC086E" w:rsidRPr="00BD6323">
        <w:t>rada</w:t>
      </w:r>
      <w:r w:rsidR="006A7F1D" w:rsidRPr="00BD6323">
        <w:t xml:space="preserve"> Zagreba</w:t>
      </w:r>
      <w:r w:rsidR="00BC086E" w:rsidRPr="00BD6323">
        <w:t xml:space="preserve"> je posjedovao osobni automobil</w:t>
      </w:r>
      <w:r w:rsidR="006C56F0" w:rsidRPr="00BD6323">
        <w:t xml:space="preserve">, </w:t>
      </w:r>
      <w:r w:rsidR="00BC086E" w:rsidRPr="00BD6323">
        <w:rPr>
          <w:rFonts w:eastAsia="Calibri" w:cs="Times New Roman"/>
        </w:rPr>
        <w:fldChar w:fldCharType="begin"/>
      </w:r>
      <w:r w:rsidR="00BC086E" w:rsidRPr="00BD6323">
        <w:rPr>
          <w:rFonts w:eastAsia="Calibri" w:cs="Times New Roman"/>
        </w:rPr>
        <w:instrText xml:space="preserve"> REF _Ref464214207 \h  \* MERGEFORMAT </w:instrText>
      </w:r>
      <w:r w:rsidR="00BC086E" w:rsidRPr="00BD6323">
        <w:rPr>
          <w:rFonts w:eastAsia="Calibri" w:cs="Times New Roman"/>
        </w:rPr>
      </w:r>
      <w:r w:rsidR="00BC086E" w:rsidRPr="00BD6323">
        <w:rPr>
          <w:rFonts w:eastAsia="Calibri" w:cs="Times New Roman"/>
        </w:rPr>
        <w:fldChar w:fldCharType="separate"/>
      </w:r>
      <w:r w:rsidR="009C319B" w:rsidRPr="00BD6323">
        <w:rPr>
          <w:rFonts w:eastAsia="Calibri" w:cs="Times New Roman"/>
          <w:b/>
          <w:bCs/>
        </w:rPr>
        <w:t xml:space="preserve">Slika </w:t>
      </w:r>
      <w:r w:rsidR="009C319B">
        <w:rPr>
          <w:rFonts w:eastAsia="Calibri" w:cs="Times New Roman"/>
          <w:b/>
          <w:bCs/>
          <w:noProof/>
        </w:rPr>
        <w:t>5</w:t>
      </w:r>
      <w:r w:rsidR="009C319B" w:rsidRPr="00BD6323">
        <w:rPr>
          <w:rFonts w:eastAsia="Calibri" w:cs="Times New Roman"/>
          <w:b/>
          <w:bCs/>
          <w:noProof/>
        </w:rPr>
        <w:t>.</w:t>
      </w:r>
      <w:r w:rsidR="009C319B">
        <w:rPr>
          <w:rFonts w:eastAsia="Calibri" w:cs="Times New Roman"/>
          <w:b/>
          <w:bCs/>
          <w:noProof/>
        </w:rPr>
        <w:t>22</w:t>
      </w:r>
      <w:r w:rsidR="00BC086E" w:rsidRPr="00BD6323">
        <w:rPr>
          <w:rFonts w:eastAsia="Calibri" w:cs="Times New Roman"/>
        </w:rPr>
        <w:fldChar w:fldCharType="end"/>
      </w:r>
      <w:r w:rsidR="00BC086E" w:rsidRPr="00BD6323">
        <w:rPr>
          <w:rFonts w:eastAsia="Calibri" w:cs="Times New Roman"/>
        </w:rPr>
        <w:t>.</w:t>
      </w:r>
    </w:p>
    <w:p w14:paraId="4396E5F2" w14:textId="77777777" w:rsidR="00576377" w:rsidRPr="00BD6323" w:rsidRDefault="00576377" w:rsidP="00E92750">
      <w:pPr>
        <w:spacing w:after="0" w:line="240" w:lineRule="auto"/>
        <w:jc w:val="center"/>
        <w:rPr>
          <w:noProof/>
          <w:lang w:eastAsia="hr-HR"/>
        </w:rPr>
      </w:pPr>
      <w:r w:rsidRPr="00BD6323">
        <w:rPr>
          <w:noProof/>
          <w:lang w:eastAsia="hr-HR"/>
        </w:rPr>
        <w:drawing>
          <wp:inline distT="0" distB="0" distL="0" distR="0" wp14:anchorId="18B2011C" wp14:editId="5018B62B">
            <wp:extent cx="5219700" cy="26384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F00470A" w14:textId="48CDBFB5" w:rsidR="00576377" w:rsidRPr="00BD6323" w:rsidRDefault="00576377" w:rsidP="00E92750">
      <w:pPr>
        <w:spacing w:after="240" w:line="240" w:lineRule="auto"/>
        <w:jc w:val="center"/>
        <w:rPr>
          <w:rFonts w:eastAsia="Calibri" w:cs="Times New Roman"/>
          <w:bCs/>
        </w:rPr>
      </w:pPr>
      <w:bookmarkStart w:id="239" w:name="_Ref464214207"/>
      <w:bookmarkStart w:id="240" w:name="_Toc468277458"/>
      <w:r w:rsidRPr="00BD6323">
        <w:rPr>
          <w:rFonts w:eastAsia="Calibri" w:cs="Times New Roman"/>
          <w:b/>
          <w:bCs/>
        </w:rPr>
        <w:t xml:space="preserve">Slika </w:t>
      </w:r>
      <w:r w:rsidRPr="00BD6323">
        <w:rPr>
          <w:rFonts w:eastAsia="Calibri" w:cs="Times New Roman"/>
          <w:b/>
          <w:bCs/>
        </w:rPr>
        <w:fldChar w:fldCharType="begin"/>
      </w:r>
      <w:r w:rsidRPr="00BD6323">
        <w:rPr>
          <w:rFonts w:eastAsia="Calibri" w:cs="Times New Roman"/>
          <w:b/>
          <w:bCs/>
        </w:rPr>
        <w:instrText xml:space="preserve"> STYLEREF 1 \s </w:instrText>
      </w:r>
      <w:r w:rsidRPr="00BD6323">
        <w:rPr>
          <w:rFonts w:eastAsia="Calibri" w:cs="Times New Roman"/>
          <w:b/>
          <w:bCs/>
        </w:rPr>
        <w:fldChar w:fldCharType="separate"/>
      </w:r>
      <w:r w:rsidR="009C319B">
        <w:rPr>
          <w:rFonts w:eastAsia="Calibri" w:cs="Times New Roman"/>
          <w:b/>
          <w:bCs/>
          <w:noProof/>
        </w:rPr>
        <w:t>5</w:t>
      </w:r>
      <w:r w:rsidRPr="00BD6323">
        <w:rPr>
          <w:rFonts w:eastAsia="Calibri" w:cs="Times New Roman"/>
          <w:b/>
          <w:bCs/>
        </w:rPr>
        <w:fldChar w:fldCharType="end"/>
      </w:r>
      <w:r w:rsidRPr="00BD6323">
        <w:rPr>
          <w:rFonts w:eastAsia="Calibri" w:cs="Times New Roman"/>
          <w:b/>
          <w:bCs/>
        </w:rPr>
        <w:t>.</w:t>
      </w:r>
      <w:r w:rsidRPr="00BD6323">
        <w:rPr>
          <w:rFonts w:eastAsia="Calibri" w:cs="Times New Roman"/>
          <w:b/>
          <w:bCs/>
        </w:rPr>
        <w:fldChar w:fldCharType="begin"/>
      </w:r>
      <w:r w:rsidRPr="00BD6323">
        <w:rPr>
          <w:rFonts w:eastAsia="Calibri" w:cs="Times New Roman"/>
          <w:b/>
          <w:bCs/>
        </w:rPr>
        <w:instrText xml:space="preserve"> SEQ Slika \* ARABIC \s 1 </w:instrText>
      </w:r>
      <w:r w:rsidRPr="00BD6323">
        <w:rPr>
          <w:rFonts w:eastAsia="Calibri" w:cs="Times New Roman"/>
          <w:b/>
          <w:bCs/>
        </w:rPr>
        <w:fldChar w:fldCharType="separate"/>
      </w:r>
      <w:r w:rsidR="009C319B">
        <w:rPr>
          <w:rFonts w:eastAsia="Calibri" w:cs="Times New Roman"/>
          <w:b/>
          <w:bCs/>
          <w:noProof/>
        </w:rPr>
        <w:t>22</w:t>
      </w:r>
      <w:r w:rsidRPr="00BD6323">
        <w:rPr>
          <w:rFonts w:eastAsia="Calibri" w:cs="Times New Roman"/>
          <w:b/>
          <w:bCs/>
        </w:rPr>
        <w:fldChar w:fldCharType="end"/>
      </w:r>
      <w:bookmarkEnd w:id="239"/>
      <w:r w:rsidRPr="00BD6323">
        <w:rPr>
          <w:rFonts w:eastAsia="Calibri" w:cs="Times New Roman"/>
          <w:b/>
          <w:bCs/>
        </w:rPr>
        <w:t xml:space="preserve"> </w:t>
      </w:r>
      <w:r w:rsidRPr="00BD6323">
        <w:rPr>
          <w:rFonts w:eastAsia="Calibri" w:cs="Times New Roman"/>
          <w:bCs/>
        </w:rPr>
        <w:t xml:space="preserve">Broj registriranih osobnih </w:t>
      </w:r>
      <w:r w:rsidR="000367F7" w:rsidRPr="00BD6323">
        <w:rPr>
          <w:rFonts w:eastAsia="Calibri" w:cs="Times New Roman"/>
          <w:bCs/>
        </w:rPr>
        <w:t>automobila</w:t>
      </w:r>
      <w:r w:rsidR="006A7F1D" w:rsidRPr="00BD6323">
        <w:rPr>
          <w:rFonts w:eastAsia="Calibri" w:cs="Times New Roman"/>
          <w:bCs/>
        </w:rPr>
        <w:t xml:space="preserve"> na 1 000 stanovnika u </w:t>
      </w:r>
      <w:r w:rsidR="00A94C1B">
        <w:rPr>
          <w:rFonts w:eastAsia="Calibri" w:cs="Times New Roman"/>
          <w:bCs/>
        </w:rPr>
        <w:t>G</w:t>
      </w:r>
      <w:r w:rsidRPr="00BD6323">
        <w:rPr>
          <w:rFonts w:eastAsia="Calibri" w:cs="Times New Roman"/>
          <w:bCs/>
        </w:rPr>
        <w:t xml:space="preserve">radu Zagrebu u </w:t>
      </w:r>
      <w:r w:rsidR="006A7F1D" w:rsidRPr="00BD6323">
        <w:rPr>
          <w:rFonts w:eastAsia="Calibri" w:cs="Times New Roman"/>
          <w:bCs/>
        </w:rPr>
        <w:t>vremenskom periodu</w:t>
      </w:r>
      <w:r w:rsidRPr="00BD6323">
        <w:rPr>
          <w:rFonts w:eastAsia="Calibri" w:cs="Times New Roman"/>
          <w:bCs/>
        </w:rPr>
        <w:t xml:space="preserve"> od 2008. do 2015. godine</w:t>
      </w:r>
      <w:bookmarkEnd w:id="240"/>
    </w:p>
    <w:p w14:paraId="06809B7E" w14:textId="3E1F21EC" w:rsidR="005A5188" w:rsidRPr="00BD6323" w:rsidRDefault="000367F7" w:rsidP="00E92750">
      <w:pPr>
        <w:spacing w:after="0" w:line="240" w:lineRule="auto"/>
        <w:jc w:val="center"/>
      </w:pPr>
      <w:r w:rsidRPr="00BD6323">
        <w:rPr>
          <w:noProof/>
          <w:lang w:eastAsia="hr-HR"/>
        </w:rPr>
        <w:drawing>
          <wp:inline distT="0" distB="0" distL="0" distR="0" wp14:anchorId="59441252" wp14:editId="39D16D95">
            <wp:extent cx="4550735" cy="2870791"/>
            <wp:effectExtent l="0" t="0" r="2540"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E6ED6A2" w14:textId="4F6EEDE1" w:rsidR="000367F7" w:rsidRPr="00BD6323" w:rsidRDefault="000367F7" w:rsidP="00E92750">
      <w:pPr>
        <w:spacing w:line="240" w:lineRule="auto"/>
        <w:jc w:val="center"/>
        <w:rPr>
          <w:rFonts w:eastAsia="Calibri" w:cs="Times New Roman"/>
          <w:bCs/>
        </w:rPr>
      </w:pPr>
      <w:bookmarkStart w:id="241" w:name="_Ref464214269"/>
      <w:bookmarkStart w:id="242" w:name="_Toc468277459"/>
      <w:r w:rsidRPr="00BD6323">
        <w:rPr>
          <w:rFonts w:eastAsia="Calibri" w:cs="Times New Roman"/>
          <w:b/>
          <w:bCs/>
        </w:rPr>
        <w:t xml:space="preserve">Slika </w:t>
      </w:r>
      <w:r w:rsidRPr="00BD6323">
        <w:rPr>
          <w:rFonts w:eastAsia="Calibri" w:cs="Times New Roman"/>
          <w:b/>
          <w:bCs/>
        </w:rPr>
        <w:fldChar w:fldCharType="begin"/>
      </w:r>
      <w:r w:rsidRPr="00BD6323">
        <w:rPr>
          <w:rFonts w:eastAsia="Calibri" w:cs="Times New Roman"/>
          <w:b/>
          <w:bCs/>
        </w:rPr>
        <w:instrText xml:space="preserve"> STYLEREF 1 \s </w:instrText>
      </w:r>
      <w:r w:rsidRPr="00BD6323">
        <w:rPr>
          <w:rFonts w:eastAsia="Calibri" w:cs="Times New Roman"/>
          <w:b/>
          <w:bCs/>
        </w:rPr>
        <w:fldChar w:fldCharType="separate"/>
      </w:r>
      <w:r w:rsidR="009C319B">
        <w:rPr>
          <w:rFonts w:eastAsia="Calibri" w:cs="Times New Roman"/>
          <w:b/>
          <w:bCs/>
          <w:noProof/>
        </w:rPr>
        <w:t>5</w:t>
      </w:r>
      <w:r w:rsidRPr="00BD6323">
        <w:rPr>
          <w:rFonts w:eastAsia="Calibri" w:cs="Times New Roman"/>
          <w:b/>
          <w:bCs/>
        </w:rPr>
        <w:fldChar w:fldCharType="end"/>
      </w:r>
      <w:r w:rsidRPr="00BD6323">
        <w:rPr>
          <w:rFonts w:eastAsia="Calibri" w:cs="Times New Roman"/>
          <w:b/>
          <w:bCs/>
        </w:rPr>
        <w:t>.</w:t>
      </w:r>
      <w:r w:rsidRPr="00BD6323">
        <w:rPr>
          <w:rFonts w:eastAsia="Calibri" w:cs="Times New Roman"/>
          <w:b/>
          <w:bCs/>
        </w:rPr>
        <w:fldChar w:fldCharType="begin"/>
      </w:r>
      <w:r w:rsidRPr="00BD6323">
        <w:rPr>
          <w:rFonts w:eastAsia="Calibri" w:cs="Times New Roman"/>
          <w:b/>
          <w:bCs/>
        </w:rPr>
        <w:instrText xml:space="preserve"> SEQ Slika \* ARABIC \s 1 </w:instrText>
      </w:r>
      <w:r w:rsidRPr="00BD6323">
        <w:rPr>
          <w:rFonts w:eastAsia="Calibri" w:cs="Times New Roman"/>
          <w:b/>
          <w:bCs/>
        </w:rPr>
        <w:fldChar w:fldCharType="separate"/>
      </w:r>
      <w:r w:rsidR="009C319B">
        <w:rPr>
          <w:rFonts w:eastAsia="Calibri" w:cs="Times New Roman"/>
          <w:b/>
          <w:bCs/>
          <w:noProof/>
        </w:rPr>
        <w:t>23</w:t>
      </w:r>
      <w:r w:rsidRPr="00BD6323">
        <w:rPr>
          <w:rFonts w:eastAsia="Calibri" w:cs="Times New Roman"/>
          <w:b/>
          <w:bCs/>
        </w:rPr>
        <w:fldChar w:fldCharType="end"/>
      </w:r>
      <w:bookmarkEnd w:id="241"/>
      <w:r w:rsidRPr="00BD6323">
        <w:rPr>
          <w:rFonts w:eastAsia="Calibri" w:cs="Times New Roman"/>
          <w:b/>
          <w:bCs/>
        </w:rPr>
        <w:t xml:space="preserve"> </w:t>
      </w:r>
      <w:r w:rsidR="00BC086E" w:rsidRPr="00BD6323">
        <w:rPr>
          <w:rFonts w:eastAsia="Calibri" w:cs="Times New Roman"/>
          <w:bCs/>
        </w:rPr>
        <w:t xml:space="preserve">Struktura </w:t>
      </w:r>
      <w:r w:rsidR="0082134A" w:rsidRPr="00BD6323">
        <w:rPr>
          <w:rFonts w:eastAsia="Calibri" w:cs="Times New Roman"/>
          <w:bCs/>
        </w:rPr>
        <w:t xml:space="preserve">registriranih </w:t>
      </w:r>
      <w:r w:rsidR="00BC086E" w:rsidRPr="00BD6323">
        <w:rPr>
          <w:rFonts w:eastAsia="Calibri" w:cs="Times New Roman"/>
          <w:bCs/>
        </w:rPr>
        <w:t>osobnih automobila</w:t>
      </w:r>
      <w:r w:rsidRPr="00BD6323">
        <w:rPr>
          <w:rFonts w:eastAsia="Calibri" w:cs="Times New Roman"/>
          <w:bCs/>
        </w:rPr>
        <w:t xml:space="preserve"> prema </w:t>
      </w:r>
      <w:r w:rsidR="0082134A" w:rsidRPr="00BD6323">
        <w:rPr>
          <w:rFonts w:eastAsia="Calibri" w:cs="Times New Roman"/>
          <w:bCs/>
        </w:rPr>
        <w:t>vrsti pogonskog goriva</w:t>
      </w:r>
      <w:r w:rsidRPr="00BD6323">
        <w:rPr>
          <w:rFonts w:eastAsia="Calibri" w:cs="Times New Roman"/>
          <w:bCs/>
        </w:rPr>
        <w:t xml:space="preserve"> u </w:t>
      </w:r>
      <w:r w:rsidR="006A7F1D" w:rsidRPr="00BD6323">
        <w:rPr>
          <w:rFonts w:eastAsia="Calibri" w:cs="Times New Roman"/>
          <w:bCs/>
        </w:rPr>
        <w:t>vremenskom periodu</w:t>
      </w:r>
      <w:r w:rsidRPr="00BD6323">
        <w:rPr>
          <w:rFonts w:eastAsia="Calibri" w:cs="Times New Roman"/>
          <w:bCs/>
        </w:rPr>
        <w:t xml:space="preserve"> od 2008. do 2015. godine</w:t>
      </w:r>
      <w:bookmarkEnd w:id="242"/>
    </w:p>
    <w:p w14:paraId="4D5A9777" w14:textId="63AB9ABA" w:rsidR="006A7F1D" w:rsidRPr="00BD6323" w:rsidRDefault="006A7F1D" w:rsidP="00E92750">
      <w:pPr>
        <w:spacing w:line="240" w:lineRule="auto"/>
        <w:jc w:val="both"/>
      </w:pPr>
      <w:r w:rsidRPr="00BD6323">
        <w:rPr>
          <w:rFonts w:eastAsia="Calibri" w:cs="Times New Roman"/>
        </w:rPr>
        <w:t xml:space="preserve">Na </w:t>
      </w:r>
      <w:r w:rsidRPr="00BD6323">
        <w:rPr>
          <w:rFonts w:eastAsia="Calibri" w:cs="Times New Roman"/>
        </w:rPr>
        <w:fldChar w:fldCharType="begin"/>
      </w:r>
      <w:r w:rsidRPr="00BD6323">
        <w:rPr>
          <w:rFonts w:eastAsia="Calibri" w:cs="Times New Roman"/>
        </w:rPr>
        <w:instrText xml:space="preserve"> REF _Ref464214269 \h  \* MERGEFORMAT </w:instrText>
      </w:r>
      <w:r w:rsidRPr="00BD6323">
        <w:rPr>
          <w:rFonts w:eastAsia="Calibri" w:cs="Times New Roman"/>
        </w:rPr>
      </w:r>
      <w:r w:rsidRPr="00BD6323">
        <w:rPr>
          <w:rFonts w:eastAsia="Calibri" w:cs="Times New Roman"/>
        </w:rPr>
        <w:fldChar w:fldCharType="separate"/>
      </w:r>
      <w:r w:rsidR="00DA3F00">
        <w:rPr>
          <w:rFonts w:eastAsia="Calibri" w:cs="Times New Roman"/>
          <w:b/>
          <w:bCs/>
        </w:rPr>
        <w:t>Slici</w:t>
      </w:r>
      <w:r w:rsidR="009C319B" w:rsidRPr="00BD6323">
        <w:rPr>
          <w:rFonts w:eastAsia="Calibri" w:cs="Times New Roman"/>
          <w:b/>
          <w:bCs/>
        </w:rPr>
        <w:t xml:space="preserve"> </w:t>
      </w:r>
      <w:r w:rsidR="009C319B">
        <w:rPr>
          <w:rFonts w:eastAsia="Calibri" w:cs="Times New Roman"/>
          <w:b/>
          <w:bCs/>
          <w:noProof/>
        </w:rPr>
        <w:t>5</w:t>
      </w:r>
      <w:r w:rsidR="009C319B" w:rsidRPr="00BD6323">
        <w:rPr>
          <w:rFonts w:eastAsia="Calibri" w:cs="Times New Roman"/>
          <w:b/>
          <w:bCs/>
          <w:noProof/>
        </w:rPr>
        <w:t>.</w:t>
      </w:r>
      <w:r w:rsidR="009C319B">
        <w:rPr>
          <w:rFonts w:eastAsia="Calibri" w:cs="Times New Roman"/>
          <w:b/>
          <w:bCs/>
          <w:noProof/>
        </w:rPr>
        <w:t>23</w:t>
      </w:r>
      <w:r w:rsidRPr="00BD6323">
        <w:rPr>
          <w:rFonts w:eastAsia="Calibri" w:cs="Times New Roman"/>
        </w:rPr>
        <w:fldChar w:fldCharType="end"/>
      </w:r>
      <w:r w:rsidRPr="00BD6323">
        <w:rPr>
          <w:rFonts w:eastAsia="Calibri" w:cs="Times New Roman"/>
        </w:rPr>
        <w:t xml:space="preserve"> vidljivo je da je </w:t>
      </w:r>
      <w:r w:rsidRPr="00BD6323">
        <w:t>u ukupnom broju osobnih automobila prisutan trend povećanja udjela osobnih automobila na pogonsko gorivo dizel, dok se udio benzinskih automobila smanjuje. Također prisutan je trend povećanja udjela e</w:t>
      </w:r>
      <w:r w:rsidR="00566290">
        <w:t>nergetski učinkovitijih vozila.</w:t>
      </w:r>
    </w:p>
    <w:p w14:paraId="34396A6E" w14:textId="77777777" w:rsidR="004912C8" w:rsidRPr="00BD6323" w:rsidRDefault="004912C8" w:rsidP="00E92750">
      <w:pPr>
        <w:pStyle w:val="Heading3"/>
        <w:spacing w:after="240" w:line="240" w:lineRule="auto"/>
        <w:jc w:val="both"/>
        <w:rPr>
          <w:noProof/>
        </w:rPr>
      </w:pPr>
      <w:bookmarkStart w:id="243" w:name="_Toc447803202"/>
      <w:bookmarkStart w:id="244" w:name="_Toc468345376"/>
      <w:r w:rsidRPr="00BD6323">
        <w:rPr>
          <w:noProof/>
        </w:rPr>
        <w:lastRenderedPageBreak/>
        <w:t>Potrošnja goriva podsektora osobna i komercijalna vozila</w:t>
      </w:r>
      <w:bookmarkEnd w:id="243"/>
      <w:bookmarkEnd w:id="244"/>
    </w:p>
    <w:p w14:paraId="0759FB5D" w14:textId="6DF02A5B" w:rsidR="00B62AFF" w:rsidRPr="00BD6323" w:rsidRDefault="00B62AFF" w:rsidP="00E92750">
      <w:pPr>
        <w:spacing w:line="240" w:lineRule="auto"/>
        <w:jc w:val="both"/>
      </w:pPr>
      <w:r w:rsidRPr="00BD6323">
        <w:t>Podaci o strukturi i ukupnoj potrošnji goriva podsektora osobna i komercijalna vozila nisu bili dostupni te je za potrebe ove analize izvršena procjena potrošnje goriva za navedene kategorije vozila, primjenom modela COPERT IV, razvijenog od strane Europske agencije za okoliš (engl. European Environment Agency).</w:t>
      </w:r>
    </w:p>
    <w:p w14:paraId="40B5FB47" w14:textId="77777777" w:rsidR="004E5E6B" w:rsidRPr="00BD6323" w:rsidRDefault="00B62AFF" w:rsidP="00E92750">
      <w:pPr>
        <w:spacing w:line="240" w:lineRule="auto"/>
        <w:jc w:val="both"/>
      </w:pPr>
      <w:r w:rsidRPr="00BD6323">
        <w:t xml:space="preserve">Dobiveni </w:t>
      </w:r>
      <w:r w:rsidR="004E5E6B" w:rsidRPr="00BD6323">
        <w:t xml:space="preserve">statistički </w:t>
      </w:r>
      <w:r w:rsidR="00B8295C" w:rsidRPr="00BD6323">
        <w:t xml:space="preserve">podaci o broju, </w:t>
      </w:r>
      <w:r w:rsidRPr="00BD6323">
        <w:t>vrsti</w:t>
      </w:r>
      <w:r w:rsidR="00B8295C" w:rsidRPr="00BD6323">
        <w:t xml:space="preserve"> goriva i vrsti</w:t>
      </w:r>
      <w:r w:rsidRPr="00BD6323">
        <w:t xml:space="preserve"> registriranih vozila prilagođeni su i usklađeni s klasifikacijom računalnog programa COPERT IV.</w:t>
      </w:r>
      <w:r w:rsidR="001B6DCE" w:rsidRPr="00BD6323">
        <w:t xml:space="preserve"> </w:t>
      </w:r>
    </w:p>
    <w:p w14:paraId="6EB2A3BC" w14:textId="419880CD" w:rsidR="00761263" w:rsidRPr="00BD6323" w:rsidRDefault="00B62AFF" w:rsidP="00E92750">
      <w:pPr>
        <w:spacing w:line="240" w:lineRule="auto"/>
        <w:jc w:val="both"/>
      </w:pPr>
      <w:r w:rsidRPr="00BD6323">
        <w:t>Procjena potrošnje goriva podsektora</w:t>
      </w:r>
      <w:r w:rsidR="00761263" w:rsidRPr="00BD6323">
        <w:t xml:space="preserve"> osobna i k</w:t>
      </w:r>
      <w:r w:rsidR="005A31FB" w:rsidRPr="00BD6323">
        <w:t>omercijalna vozila na području G</w:t>
      </w:r>
      <w:r w:rsidR="00761263" w:rsidRPr="00BD6323">
        <w:t>rada</w:t>
      </w:r>
      <w:r w:rsidR="00CB14DB" w:rsidRPr="00BD6323">
        <w:t xml:space="preserve"> </w:t>
      </w:r>
      <w:r w:rsidR="000F64C5" w:rsidRPr="00BD6323">
        <w:t>Zagreba</w:t>
      </w:r>
      <w:r w:rsidR="00761263" w:rsidRPr="00BD6323">
        <w:t xml:space="preserve"> dana j</w:t>
      </w:r>
      <w:bookmarkStart w:id="245" w:name="_Toc259096027"/>
      <w:bookmarkStart w:id="246" w:name="_Toc272758238"/>
      <w:bookmarkStart w:id="247" w:name="_Toc294180963"/>
      <w:bookmarkStart w:id="248" w:name="_Toc294180687"/>
      <w:r w:rsidR="005A31FB" w:rsidRPr="00BD6323">
        <w:t xml:space="preserve">e u nastavku, </w:t>
      </w:r>
      <w:r w:rsidR="0012698C" w:rsidRPr="00BD6323">
        <w:fldChar w:fldCharType="begin"/>
      </w:r>
      <w:r w:rsidR="0012698C" w:rsidRPr="00BD6323">
        <w:instrText xml:space="preserve"> REF _Ref464219870 \h </w:instrText>
      </w:r>
      <w:r w:rsidRPr="00BD6323">
        <w:instrText xml:space="preserve"> \* MERGEFORMAT </w:instrText>
      </w:r>
      <w:r w:rsidR="0012698C" w:rsidRPr="00BD6323">
        <w:fldChar w:fldCharType="separate"/>
      </w:r>
      <w:r w:rsidR="009C319B" w:rsidRPr="00BD6323">
        <w:rPr>
          <w:b/>
        </w:rPr>
        <w:t xml:space="preserve">Tablica </w:t>
      </w:r>
      <w:r w:rsidR="009C319B">
        <w:rPr>
          <w:b/>
          <w:noProof/>
        </w:rPr>
        <w:t>5</w:t>
      </w:r>
      <w:r w:rsidR="009C319B" w:rsidRPr="00BD6323">
        <w:rPr>
          <w:b/>
          <w:noProof/>
        </w:rPr>
        <w:t>.</w:t>
      </w:r>
      <w:r w:rsidR="009C319B">
        <w:rPr>
          <w:b/>
          <w:noProof/>
        </w:rPr>
        <w:t>6</w:t>
      </w:r>
      <w:r w:rsidR="0012698C" w:rsidRPr="00BD6323">
        <w:fldChar w:fldCharType="end"/>
      </w:r>
      <w:r w:rsidR="005A31FB" w:rsidRPr="00BD6323">
        <w:t xml:space="preserve"> i </w:t>
      </w:r>
      <w:r w:rsidR="0012698C" w:rsidRPr="00BD6323">
        <w:fldChar w:fldCharType="begin"/>
      </w:r>
      <w:r w:rsidR="0012698C" w:rsidRPr="00BD6323">
        <w:instrText xml:space="preserve"> REF _Ref464219900 \h </w:instrText>
      </w:r>
      <w:r w:rsidRPr="00BD6323">
        <w:instrText xml:space="preserve"> \* MERGEFORMAT </w:instrText>
      </w:r>
      <w:r w:rsidR="0012698C" w:rsidRPr="00BD6323">
        <w:fldChar w:fldCharType="separate"/>
      </w:r>
      <w:r w:rsidR="009C319B" w:rsidRPr="00BD6323">
        <w:rPr>
          <w:b/>
        </w:rPr>
        <w:t xml:space="preserve">Slika </w:t>
      </w:r>
      <w:r w:rsidR="009C319B">
        <w:rPr>
          <w:b/>
          <w:noProof/>
        </w:rPr>
        <w:t>5</w:t>
      </w:r>
      <w:r w:rsidR="009C319B" w:rsidRPr="00BD6323">
        <w:rPr>
          <w:b/>
          <w:noProof/>
        </w:rPr>
        <w:t>.</w:t>
      </w:r>
      <w:r w:rsidR="009C319B">
        <w:rPr>
          <w:b/>
          <w:noProof/>
        </w:rPr>
        <w:t>24</w:t>
      </w:r>
      <w:r w:rsidR="0012698C" w:rsidRPr="00BD6323">
        <w:fldChar w:fldCharType="end"/>
      </w:r>
      <w:r w:rsidR="0012698C" w:rsidRPr="00BD6323">
        <w:t>.</w:t>
      </w:r>
    </w:p>
    <w:p w14:paraId="56405F87" w14:textId="0116A4F0" w:rsidR="00761263" w:rsidRPr="00BD6323" w:rsidRDefault="00761263" w:rsidP="00E92750">
      <w:pPr>
        <w:spacing w:after="0" w:line="240" w:lineRule="auto"/>
        <w:jc w:val="both"/>
      </w:pPr>
      <w:bookmarkStart w:id="249" w:name="_Ref464219870"/>
      <w:bookmarkStart w:id="250" w:name="_Toc323121194"/>
      <w:bookmarkStart w:id="251" w:name="_Toc448137124"/>
      <w:bookmarkStart w:id="252" w:name="_Toc468277512"/>
      <w:r w:rsidRPr="00BD6323">
        <w:rPr>
          <w:b/>
        </w:rPr>
        <w:t xml:space="preserve">Tablica </w:t>
      </w:r>
      <w:r w:rsidR="000B3499" w:rsidRPr="00BD6323">
        <w:rPr>
          <w:b/>
        </w:rPr>
        <w:fldChar w:fldCharType="begin"/>
      </w:r>
      <w:r w:rsidR="000B3499" w:rsidRPr="00BD6323">
        <w:rPr>
          <w:b/>
        </w:rPr>
        <w:instrText xml:space="preserve"> STYLEREF 1 \s </w:instrText>
      </w:r>
      <w:r w:rsidR="000B3499" w:rsidRPr="00BD6323">
        <w:rPr>
          <w:b/>
        </w:rPr>
        <w:fldChar w:fldCharType="separate"/>
      </w:r>
      <w:r w:rsidR="009C319B">
        <w:rPr>
          <w:b/>
          <w:noProof/>
        </w:rPr>
        <w:t>5</w:t>
      </w:r>
      <w:r w:rsidR="000B3499" w:rsidRPr="00BD6323">
        <w:rPr>
          <w:b/>
        </w:rPr>
        <w:fldChar w:fldCharType="end"/>
      </w:r>
      <w:r w:rsidR="000B3499" w:rsidRPr="00BD6323">
        <w:rPr>
          <w:b/>
        </w:rPr>
        <w:t>.</w:t>
      </w:r>
      <w:r w:rsidR="000B3499" w:rsidRPr="00BD6323">
        <w:rPr>
          <w:b/>
        </w:rPr>
        <w:fldChar w:fldCharType="begin"/>
      </w:r>
      <w:r w:rsidR="000B3499" w:rsidRPr="00BD6323">
        <w:rPr>
          <w:b/>
        </w:rPr>
        <w:instrText xml:space="preserve"> SEQ Tablica \* ARABIC \s 1 </w:instrText>
      </w:r>
      <w:r w:rsidR="000B3499" w:rsidRPr="00BD6323">
        <w:rPr>
          <w:b/>
        </w:rPr>
        <w:fldChar w:fldCharType="separate"/>
      </w:r>
      <w:r w:rsidR="009C319B">
        <w:rPr>
          <w:b/>
          <w:noProof/>
        </w:rPr>
        <w:t>6</w:t>
      </w:r>
      <w:r w:rsidR="000B3499" w:rsidRPr="00BD6323">
        <w:rPr>
          <w:b/>
        </w:rPr>
        <w:fldChar w:fldCharType="end"/>
      </w:r>
      <w:bookmarkEnd w:id="249"/>
      <w:r w:rsidRPr="00BD6323">
        <w:t xml:space="preserve"> Potrošnja goriva podsektora osobna i komercijalna vozila </w:t>
      </w:r>
      <w:bookmarkEnd w:id="245"/>
      <w:bookmarkEnd w:id="246"/>
      <w:bookmarkEnd w:id="247"/>
      <w:bookmarkEnd w:id="248"/>
      <w:bookmarkEnd w:id="250"/>
      <w:bookmarkEnd w:id="251"/>
      <w:r w:rsidR="005A31FB" w:rsidRPr="00BD6323">
        <w:t>na području G</w:t>
      </w:r>
      <w:r w:rsidR="00F8007B" w:rsidRPr="00BD6323">
        <w:t>rada Zagreba</w:t>
      </w:r>
      <w:r w:rsidR="00D40527" w:rsidRPr="00BD6323">
        <w:rPr>
          <w:rStyle w:val="FootnoteReference"/>
        </w:rPr>
        <w:footnoteReference w:id="27"/>
      </w:r>
      <w:bookmarkEnd w:id="252"/>
    </w:p>
    <w:tbl>
      <w:tblPr>
        <w:tblW w:w="4942" w:type="pct"/>
        <w:tblInd w:w="108" w:type="dxa"/>
        <w:tblLayout w:type="fixed"/>
        <w:tblLook w:val="04A0" w:firstRow="1" w:lastRow="0" w:firstColumn="1" w:lastColumn="0" w:noHBand="0" w:noVBand="1"/>
      </w:tblPr>
      <w:tblGrid>
        <w:gridCol w:w="967"/>
        <w:gridCol w:w="1244"/>
        <w:gridCol w:w="1656"/>
        <w:gridCol w:w="967"/>
        <w:gridCol w:w="1795"/>
        <w:gridCol w:w="1243"/>
        <w:gridCol w:w="1067"/>
      </w:tblGrid>
      <w:tr w:rsidR="009E3917" w:rsidRPr="00BD6323" w14:paraId="1741A88A" w14:textId="77777777" w:rsidTr="009E3917">
        <w:trPr>
          <w:trHeight w:val="360"/>
        </w:trPr>
        <w:tc>
          <w:tcPr>
            <w:tcW w:w="54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18D430" w14:textId="77777777" w:rsidR="009E3917" w:rsidRPr="00BD6323" w:rsidRDefault="009E3917" w:rsidP="00E92750">
            <w:pPr>
              <w:spacing w:after="0" w:line="240" w:lineRule="auto"/>
              <w:rPr>
                <w:rFonts w:ascii="Calibri" w:eastAsia="Times New Roman" w:hAnsi="Calibri" w:cs="Calibri"/>
                <w:b/>
                <w:bCs/>
                <w:color w:val="000000"/>
                <w:sz w:val="18"/>
                <w:szCs w:val="18"/>
                <w:lang w:eastAsia="hr-HR"/>
              </w:rPr>
            </w:pPr>
            <w:bookmarkStart w:id="253" w:name="_Toc323121165"/>
            <w:bookmarkStart w:id="254" w:name="_Toc294180852"/>
            <w:r w:rsidRPr="00BD6323">
              <w:rPr>
                <w:rFonts w:ascii="Calibri" w:eastAsia="Times New Roman" w:hAnsi="Calibri" w:cs="Calibri"/>
                <w:b/>
                <w:bCs/>
                <w:color w:val="000000"/>
                <w:sz w:val="18"/>
                <w:szCs w:val="18"/>
                <w:lang w:eastAsia="hr-HR"/>
              </w:rPr>
              <w:t>Vrsta goriva</w:t>
            </w:r>
          </w:p>
        </w:tc>
        <w:tc>
          <w:tcPr>
            <w:tcW w:w="69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99111FA"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Potrošnja (t)</w:t>
            </w:r>
            <w:r w:rsidRPr="00BD6323">
              <w:rPr>
                <w:rFonts w:ascii="Calibri" w:eastAsia="Times New Roman" w:hAnsi="Calibri" w:cs="Calibri"/>
                <w:b/>
                <w:bCs/>
                <w:color w:val="000000"/>
                <w:sz w:val="18"/>
                <w:szCs w:val="18"/>
                <w:lang w:eastAsia="hr-HR"/>
              </w:rPr>
              <w:br/>
              <w:t>Osobna vozila</w:t>
            </w:r>
          </w:p>
        </w:tc>
        <w:tc>
          <w:tcPr>
            <w:tcW w:w="92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D6B63CF"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Potrošnja (t)</w:t>
            </w:r>
            <w:r w:rsidRPr="00BD6323">
              <w:rPr>
                <w:rFonts w:ascii="Calibri" w:eastAsia="Times New Roman" w:hAnsi="Calibri" w:cs="Calibri"/>
                <w:b/>
                <w:bCs/>
                <w:color w:val="000000"/>
                <w:sz w:val="18"/>
                <w:szCs w:val="18"/>
                <w:lang w:eastAsia="hr-HR"/>
              </w:rPr>
              <w:br/>
              <w:t>Teretna i radna vozila</w:t>
            </w:r>
          </w:p>
        </w:tc>
        <w:tc>
          <w:tcPr>
            <w:tcW w:w="54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E0DAAF"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Potrošnja (t)</w:t>
            </w:r>
            <w:r w:rsidRPr="00BD6323">
              <w:rPr>
                <w:rFonts w:ascii="Calibri" w:eastAsia="Times New Roman" w:hAnsi="Calibri" w:cs="Calibri"/>
                <w:b/>
                <w:bCs/>
                <w:color w:val="000000"/>
                <w:sz w:val="18"/>
                <w:szCs w:val="18"/>
                <w:lang w:eastAsia="hr-HR"/>
              </w:rPr>
              <w:br/>
              <w:t>Autobusi</w:t>
            </w:r>
          </w:p>
        </w:tc>
        <w:tc>
          <w:tcPr>
            <w:tcW w:w="10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324749"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Potrošnja (t)</w:t>
            </w:r>
            <w:r w:rsidRPr="00BD6323">
              <w:rPr>
                <w:rFonts w:ascii="Calibri" w:eastAsia="Times New Roman" w:hAnsi="Calibri" w:cs="Calibri"/>
                <w:b/>
                <w:bCs/>
                <w:color w:val="000000"/>
                <w:sz w:val="18"/>
                <w:szCs w:val="18"/>
                <w:lang w:eastAsia="hr-HR"/>
              </w:rPr>
              <w:br/>
              <w:t>Kombinirani automobili i traktori</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82A65D"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Potrošnja (t)</w:t>
            </w:r>
            <w:r w:rsidRPr="00BD6323">
              <w:rPr>
                <w:rFonts w:ascii="Calibri" w:eastAsia="Times New Roman" w:hAnsi="Calibri" w:cs="Calibri"/>
                <w:b/>
                <w:bCs/>
                <w:color w:val="000000"/>
                <w:sz w:val="18"/>
                <w:szCs w:val="18"/>
                <w:lang w:eastAsia="hr-HR"/>
              </w:rPr>
              <w:br/>
              <w:t>Mopedi i motocikli</w:t>
            </w:r>
          </w:p>
        </w:tc>
        <w:tc>
          <w:tcPr>
            <w:tcW w:w="598" w:type="pct"/>
            <w:vMerge w:val="restart"/>
            <w:tcBorders>
              <w:top w:val="single" w:sz="4" w:space="0" w:color="auto"/>
              <w:left w:val="single" w:sz="4" w:space="0" w:color="auto"/>
              <w:bottom w:val="single" w:sz="4" w:space="0" w:color="auto"/>
              <w:right w:val="double" w:sz="6" w:space="0" w:color="auto"/>
            </w:tcBorders>
            <w:shd w:val="clear" w:color="000000" w:fill="D9D9D9"/>
            <w:vAlign w:val="center"/>
            <w:hideMark/>
          </w:tcPr>
          <w:p w14:paraId="6A353BBD"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Potrošnja (t)</w:t>
            </w:r>
            <w:r w:rsidRPr="00BD6323">
              <w:rPr>
                <w:rFonts w:ascii="Calibri" w:eastAsia="Times New Roman" w:hAnsi="Calibri" w:cs="Calibri"/>
                <w:b/>
                <w:bCs/>
                <w:color w:val="000000"/>
                <w:sz w:val="18"/>
                <w:szCs w:val="18"/>
                <w:lang w:eastAsia="hr-HR"/>
              </w:rPr>
              <w:br/>
              <w:t>UKUPNO</w:t>
            </w:r>
          </w:p>
        </w:tc>
      </w:tr>
      <w:tr w:rsidR="009E3917" w:rsidRPr="00BD6323" w14:paraId="2180F45B" w14:textId="77777777" w:rsidTr="009E3917">
        <w:trPr>
          <w:trHeight w:val="360"/>
        </w:trPr>
        <w:tc>
          <w:tcPr>
            <w:tcW w:w="541" w:type="pct"/>
            <w:vMerge/>
            <w:tcBorders>
              <w:top w:val="single" w:sz="4" w:space="0" w:color="auto"/>
              <w:left w:val="single" w:sz="4" w:space="0" w:color="auto"/>
              <w:bottom w:val="single" w:sz="4" w:space="0" w:color="auto"/>
              <w:right w:val="single" w:sz="4" w:space="0" w:color="auto"/>
            </w:tcBorders>
            <w:vAlign w:val="center"/>
            <w:hideMark/>
          </w:tcPr>
          <w:p w14:paraId="4CEB78AB" w14:textId="77777777" w:rsidR="009E3917" w:rsidRPr="00BD6323" w:rsidRDefault="009E3917" w:rsidP="00E92750">
            <w:pPr>
              <w:spacing w:after="0" w:line="240" w:lineRule="auto"/>
              <w:rPr>
                <w:rFonts w:ascii="Calibri" w:eastAsia="Times New Roman" w:hAnsi="Calibri" w:cs="Calibri"/>
                <w:b/>
                <w:bCs/>
                <w:color w:val="000000"/>
                <w:sz w:val="18"/>
                <w:szCs w:val="18"/>
                <w:lang w:eastAsia="hr-HR"/>
              </w:rPr>
            </w:pPr>
          </w:p>
        </w:tc>
        <w:tc>
          <w:tcPr>
            <w:tcW w:w="696" w:type="pct"/>
            <w:vMerge/>
            <w:tcBorders>
              <w:top w:val="single" w:sz="4" w:space="0" w:color="auto"/>
              <w:left w:val="single" w:sz="4" w:space="0" w:color="auto"/>
              <w:bottom w:val="single" w:sz="4" w:space="0" w:color="auto"/>
              <w:right w:val="single" w:sz="4" w:space="0" w:color="auto"/>
            </w:tcBorders>
            <w:vAlign w:val="center"/>
            <w:hideMark/>
          </w:tcPr>
          <w:p w14:paraId="00811D5A"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744FC861"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14:paraId="33C72468"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c>
          <w:tcPr>
            <w:tcW w:w="1004" w:type="pct"/>
            <w:vMerge/>
            <w:tcBorders>
              <w:top w:val="single" w:sz="4" w:space="0" w:color="auto"/>
              <w:left w:val="single" w:sz="4" w:space="0" w:color="auto"/>
              <w:bottom w:val="single" w:sz="4" w:space="0" w:color="auto"/>
              <w:right w:val="single" w:sz="4" w:space="0" w:color="auto"/>
            </w:tcBorders>
            <w:vAlign w:val="center"/>
            <w:hideMark/>
          </w:tcPr>
          <w:p w14:paraId="79CC6FB0"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2E0B40CC"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c>
          <w:tcPr>
            <w:tcW w:w="598" w:type="pct"/>
            <w:vMerge/>
            <w:tcBorders>
              <w:top w:val="single" w:sz="4" w:space="0" w:color="auto"/>
              <w:left w:val="single" w:sz="4" w:space="0" w:color="auto"/>
              <w:bottom w:val="single" w:sz="4" w:space="0" w:color="auto"/>
              <w:right w:val="double" w:sz="6" w:space="0" w:color="auto"/>
            </w:tcBorders>
            <w:vAlign w:val="center"/>
            <w:hideMark/>
          </w:tcPr>
          <w:p w14:paraId="00C1AFC6"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r>
      <w:tr w:rsidR="009E3917" w:rsidRPr="00BD6323" w14:paraId="6B8F4857" w14:textId="77777777" w:rsidTr="009E3917">
        <w:trPr>
          <w:trHeight w:val="220"/>
        </w:trPr>
        <w:tc>
          <w:tcPr>
            <w:tcW w:w="541" w:type="pct"/>
            <w:vMerge/>
            <w:tcBorders>
              <w:top w:val="single" w:sz="4" w:space="0" w:color="auto"/>
              <w:left w:val="single" w:sz="4" w:space="0" w:color="auto"/>
              <w:bottom w:val="single" w:sz="4" w:space="0" w:color="auto"/>
              <w:right w:val="single" w:sz="4" w:space="0" w:color="auto"/>
            </w:tcBorders>
            <w:vAlign w:val="center"/>
            <w:hideMark/>
          </w:tcPr>
          <w:p w14:paraId="6B2B0E17" w14:textId="77777777" w:rsidR="009E3917" w:rsidRPr="00BD6323" w:rsidRDefault="009E3917" w:rsidP="00E92750">
            <w:pPr>
              <w:spacing w:after="0" w:line="240" w:lineRule="auto"/>
              <w:rPr>
                <w:rFonts w:ascii="Calibri" w:eastAsia="Times New Roman" w:hAnsi="Calibri" w:cs="Calibri"/>
                <w:b/>
                <w:bCs/>
                <w:color w:val="000000"/>
                <w:sz w:val="18"/>
                <w:szCs w:val="18"/>
                <w:lang w:eastAsia="hr-HR"/>
              </w:rPr>
            </w:pPr>
          </w:p>
        </w:tc>
        <w:tc>
          <w:tcPr>
            <w:tcW w:w="696" w:type="pct"/>
            <w:vMerge/>
            <w:tcBorders>
              <w:top w:val="single" w:sz="4" w:space="0" w:color="auto"/>
              <w:left w:val="single" w:sz="4" w:space="0" w:color="auto"/>
              <w:bottom w:val="single" w:sz="4" w:space="0" w:color="auto"/>
              <w:right w:val="single" w:sz="4" w:space="0" w:color="auto"/>
            </w:tcBorders>
            <w:vAlign w:val="center"/>
            <w:hideMark/>
          </w:tcPr>
          <w:p w14:paraId="6DC87530"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3E449904"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14:paraId="68AEFB8D"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c>
          <w:tcPr>
            <w:tcW w:w="1004" w:type="pct"/>
            <w:vMerge/>
            <w:tcBorders>
              <w:top w:val="single" w:sz="4" w:space="0" w:color="auto"/>
              <w:left w:val="single" w:sz="4" w:space="0" w:color="auto"/>
              <w:bottom w:val="single" w:sz="4" w:space="0" w:color="auto"/>
              <w:right w:val="single" w:sz="4" w:space="0" w:color="auto"/>
            </w:tcBorders>
            <w:vAlign w:val="center"/>
            <w:hideMark/>
          </w:tcPr>
          <w:p w14:paraId="1BF54CE8"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4936BA98"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c>
          <w:tcPr>
            <w:tcW w:w="598" w:type="pct"/>
            <w:vMerge/>
            <w:tcBorders>
              <w:top w:val="single" w:sz="4" w:space="0" w:color="auto"/>
              <w:left w:val="single" w:sz="4" w:space="0" w:color="auto"/>
              <w:bottom w:val="single" w:sz="4" w:space="0" w:color="auto"/>
              <w:right w:val="double" w:sz="6" w:space="0" w:color="auto"/>
            </w:tcBorders>
            <w:vAlign w:val="center"/>
            <w:hideMark/>
          </w:tcPr>
          <w:p w14:paraId="53A13C33" w14:textId="77777777"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p>
        </w:tc>
      </w:tr>
      <w:tr w:rsidR="009E3917" w:rsidRPr="00BD6323" w14:paraId="2BBD50D1" w14:textId="77777777" w:rsidTr="009E3917">
        <w:trPr>
          <w:trHeight w:val="56"/>
        </w:trPr>
        <w:tc>
          <w:tcPr>
            <w:tcW w:w="541" w:type="pct"/>
            <w:tcBorders>
              <w:top w:val="nil"/>
              <w:left w:val="single" w:sz="4" w:space="0" w:color="auto"/>
              <w:bottom w:val="single" w:sz="4" w:space="0" w:color="auto"/>
              <w:right w:val="single" w:sz="4" w:space="0" w:color="auto"/>
            </w:tcBorders>
            <w:shd w:val="clear" w:color="000000" w:fill="D9D9D9"/>
            <w:noWrap/>
            <w:vAlign w:val="center"/>
            <w:hideMark/>
          </w:tcPr>
          <w:p w14:paraId="72D72D4F" w14:textId="77777777" w:rsidR="009E3917" w:rsidRPr="00BD6323" w:rsidRDefault="009E3917" w:rsidP="00E92750">
            <w:pPr>
              <w:spacing w:after="0" w:line="240" w:lineRule="auto"/>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Dizel</w:t>
            </w:r>
          </w:p>
        </w:tc>
        <w:tc>
          <w:tcPr>
            <w:tcW w:w="696" w:type="pct"/>
            <w:tcBorders>
              <w:top w:val="nil"/>
              <w:left w:val="nil"/>
              <w:bottom w:val="single" w:sz="4" w:space="0" w:color="auto"/>
              <w:right w:val="single" w:sz="4" w:space="0" w:color="auto"/>
            </w:tcBorders>
            <w:shd w:val="clear" w:color="auto" w:fill="auto"/>
            <w:noWrap/>
            <w:vAlign w:val="center"/>
            <w:hideMark/>
          </w:tcPr>
          <w:p w14:paraId="43F22BB5" w14:textId="23826067"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108.156</w:t>
            </w:r>
          </w:p>
        </w:tc>
        <w:tc>
          <w:tcPr>
            <w:tcW w:w="926" w:type="pct"/>
            <w:tcBorders>
              <w:top w:val="nil"/>
              <w:left w:val="nil"/>
              <w:bottom w:val="single" w:sz="4" w:space="0" w:color="auto"/>
              <w:right w:val="single" w:sz="4" w:space="0" w:color="auto"/>
            </w:tcBorders>
            <w:shd w:val="clear" w:color="auto" w:fill="auto"/>
            <w:noWrap/>
            <w:vAlign w:val="center"/>
            <w:hideMark/>
          </w:tcPr>
          <w:p w14:paraId="3C8389E8" w14:textId="64C4D072"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74.238</w:t>
            </w:r>
          </w:p>
        </w:tc>
        <w:tc>
          <w:tcPr>
            <w:tcW w:w="541" w:type="pct"/>
            <w:tcBorders>
              <w:top w:val="nil"/>
              <w:left w:val="nil"/>
              <w:bottom w:val="single" w:sz="4" w:space="0" w:color="auto"/>
              <w:right w:val="single" w:sz="4" w:space="0" w:color="auto"/>
            </w:tcBorders>
            <w:shd w:val="clear" w:color="auto" w:fill="auto"/>
            <w:noWrap/>
            <w:vAlign w:val="center"/>
            <w:hideMark/>
          </w:tcPr>
          <w:p w14:paraId="1D4E6A3E" w14:textId="066A458B" w:rsidR="009E3917" w:rsidRPr="00BD6323" w:rsidRDefault="009E3917" w:rsidP="00E92750">
            <w:pPr>
              <w:spacing w:after="0" w:line="240" w:lineRule="auto"/>
              <w:jc w:val="center"/>
              <w:rPr>
                <w:rFonts w:ascii="Calibri" w:eastAsia="Times New Roman" w:hAnsi="Calibri" w:cs="Calibri"/>
                <w:sz w:val="18"/>
                <w:szCs w:val="18"/>
                <w:lang w:eastAsia="hr-HR"/>
              </w:rPr>
            </w:pPr>
            <w:r w:rsidRPr="00BD6323">
              <w:rPr>
                <w:rFonts w:ascii="Calibri" w:eastAsia="Times New Roman" w:hAnsi="Calibri" w:cs="Calibri"/>
                <w:sz w:val="18"/>
                <w:szCs w:val="18"/>
                <w:lang w:eastAsia="hr-HR"/>
              </w:rPr>
              <w:t>6.093</w:t>
            </w:r>
          </w:p>
        </w:tc>
        <w:tc>
          <w:tcPr>
            <w:tcW w:w="1004" w:type="pct"/>
            <w:tcBorders>
              <w:top w:val="nil"/>
              <w:left w:val="nil"/>
              <w:bottom w:val="single" w:sz="4" w:space="0" w:color="auto"/>
              <w:right w:val="single" w:sz="4" w:space="0" w:color="auto"/>
            </w:tcBorders>
            <w:shd w:val="clear" w:color="auto" w:fill="auto"/>
            <w:noWrap/>
            <w:vAlign w:val="center"/>
            <w:hideMark/>
          </w:tcPr>
          <w:p w14:paraId="644E81A5" w14:textId="68C2E606" w:rsidR="009E3917" w:rsidRPr="00BD6323" w:rsidRDefault="009E3917" w:rsidP="00E92750">
            <w:pPr>
              <w:spacing w:after="0" w:line="240" w:lineRule="auto"/>
              <w:jc w:val="center"/>
              <w:rPr>
                <w:rFonts w:ascii="Calibri" w:eastAsia="Times New Roman" w:hAnsi="Calibri" w:cs="Calibri"/>
                <w:sz w:val="18"/>
                <w:szCs w:val="18"/>
                <w:lang w:eastAsia="hr-HR"/>
              </w:rPr>
            </w:pPr>
            <w:r w:rsidRPr="00BD6323">
              <w:rPr>
                <w:rFonts w:ascii="Calibri" w:eastAsia="Times New Roman" w:hAnsi="Calibri" w:cs="Calibri"/>
                <w:sz w:val="18"/>
                <w:szCs w:val="18"/>
                <w:lang w:eastAsia="hr-HR"/>
              </w:rPr>
              <w:t>12.958</w:t>
            </w:r>
          </w:p>
        </w:tc>
        <w:tc>
          <w:tcPr>
            <w:tcW w:w="695" w:type="pct"/>
            <w:tcBorders>
              <w:top w:val="nil"/>
              <w:left w:val="nil"/>
              <w:bottom w:val="single" w:sz="4" w:space="0" w:color="auto"/>
              <w:right w:val="single" w:sz="4" w:space="0" w:color="auto"/>
            </w:tcBorders>
            <w:shd w:val="clear" w:color="auto" w:fill="auto"/>
            <w:noWrap/>
            <w:vAlign w:val="center"/>
            <w:hideMark/>
          </w:tcPr>
          <w:p w14:paraId="06042679" w14:textId="0C306423"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0,64</w:t>
            </w:r>
          </w:p>
        </w:tc>
        <w:tc>
          <w:tcPr>
            <w:tcW w:w="598" w:type="pct"/>
            <w:tcBorders>
              <w:top w:val="nil"/>
              <w:left w:val="nil"/>
              <w:bottom w:val="single" w:sz="4" w:space="0" w:color="auto"/>
              <w:right w:val="double" w:sz="6" w:space="0" w:color="auto"/>
            </w:tcBorders>
            <w:shd w:val="clear" w:color="auto" w:fill="auto"/>
            <w:noWrap/>
            <w:vAlign w:val="center"/>
            <w:hideMark/>
          </w:tcPr>
          <w:p w14:paraId="6844A00F" w14:textId="00916BE9"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201.445</w:t>
            </w:r>
          </w:p>
        </w:tc>
      </w:tr>
      <w:tr w:rsidR="009E3917" w:rsidRPr="00BD6323" w14:paraId="46CE0B16" w14:textId="77777777" w:rsidTr="009E3917">
        <w:trPr>
          <w:trHeight w:val="56"/>
        </w:trPr>
        <w:tc>
          <w:tcPr>
            <w:tcW w:w="541" w:type="pct"/>
            <w:tcBorders>
              <w:top w:val="nil"/>
              <w:left w:val="single" w:sz="4" w:space="0" w:color="auto"/>
              <w:bottom w:val="single" w:sz="4" w:space="0" w:color="auto"/>
              <w:right w:val="single" w:sz="4" w:space="0" w:color="auto"/>
            </w:tcBorders>
            <w:shd w:val="clear" w:color="000000" w:fill="D9D9D9"/>
            <w:noWrap/>
            <w:vAlign w:val="center"/>
            <w:hideMark/>
          </w:tcPr>
          <w:p w14:paraId="18D234F3" w14:textId="77777777" w:rsidR="009E3917" w:rsidRPr="00BD6323" w:rsidRDefault="009E3917" w:rsidP="00E92750">
            <w:pPr>
              <w:spacing w:after="0" w:line="240" w:lineRule="auto"/>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Benzin</w:t>
            </w:r>
          </w:p>
        </w:tc>
        <w:tc>
          <w:tcPr>
            <w:tcW w:w="696" w:type="pct"/>
            <w:tcBorders>
              <w:top w:val="nil"/>
              <w:left w:val="nil"/>
              <w:bottom w:val="single" w:sz="4" w:space="0" w:color="auto"/>
              <w:right w:val="single" w:sz="4" w:space="0" w:color="auto"/>
            </w:tcBorders>
            <w:shd w:val="clear" w:color="auto" w:fill="auto"/>
            <w:noWrap/>
            <w:vAlign w:val="center"/>
            <w:hideMark/>
          </w:tcPr>
          <w:p w14:paraId="53460BA5" w14:textId="2FC46286"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115.041</w:t>
            </w:r>
          </w:p>
        </w:tc>
        <w:tc>
          <w:tcPr>
            <w:tcW w:w="926" w:type="pct"/>
            <w:tcBorders>
              <w:top w:val="nil"/>
              <w:left w:val="nil"/>
              <w:bottom w:val="single" w:sz="4" w:space="0" w:color="auto"/>
              <w:right w:val="single" w:sz="4" w:space="0" w:color="auto"/>
            </w:tcBorders>
            <w:shd w:val="clear" w:color="auto" w:fill="auto"/>
            <w:noWrap/>
            <w:vAlign w:val="center"/>
            <w:hideMark/>
          </w:tcPr>
          <w:p w14:paraId="413989B7" w14:textId="71B76D5C"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2.627</w:t>
            </w:r>
          </w:p>
        </w:tc>
        <w:tc>
          <w:tcPr>
            <w:tcW w:w="541" w:type="pct"/>
            <w:tcBorders>
              <w:top w:val="nil"/>
              <w:left w:val="nil"/>
              <w:bottom w:val="single" w:sz="4" w:space="0" w:color="auto"/>
              <w:right w:val="single" w:sz="4" w:space="0" w:color="auto"/>
            </w:tcBorders>
            <w:shd w:val="clear" w:color="auto" w:fill="auto"/>
            <w:noWrap/>
            <w:vAlign w:val="center"/>
            <w:hideMark/>
          </w:tcPr>
          <w:p w14:paraId="576503FA" w14:textId="75644398" w:rsidR="009E3917" w:rsidRPr="00BD6323" w:rsidRDefault="009E3917" w:rsidP="00E92750">
            <w:pPr>
              <w:spacing w:after="0" w:line="240" w:lineRule="auto"/>
              <w:jc w:val="center"/>
              <w:rPr>
                <w:rFonts w:ascii="Calibri" w:eastAsia="Times New Roman" w:hAnsi="Calibri" w:cs="Calibri"/>
                <w:sz w:val="18"/>
                <w:szCs w:val="18"/>
                <w:lang w:eastAsia="hr-HR"/>
              </w:rPr>
            </w:pPr>
            <w:r w:rsidRPr="00BD6323">
              <w:rPr>
                <w:rFonts w:ascii="Calibri" w:eastAsia="Times New Roman" w:hAnsi="Calibri" w:cs="Calibri"/>
                <w:sz w:val="18"/>
                <w:szCs w:val="18"/>
                <w:lang w:eastAsia="hr-HR"/>
              </w:rPr>
              <w:t>-</w:t>
            </w:r>
          </w:p>
        </w:tc>
        <w:tc>
          <w:tcPr>
            <w:tcW w:w="1004" w:type="pct"/>
            <w:tcBorders>
              <w:top w:val="nil"/>
              <w:left w:val="nil"/>
              <w:bottom w:val="single" w:sz="4" w:space="0" w:color="auto"/>
              <w:right w:val="single" w:sz="4" w:space="0" w:color="auto"/>
            </w:tcBorders>
            <w:shd w:val="clear" w:color="auto" w:fill="auto"/>
            <w:noWrap/>
            <w:vAlign w:val="center"/>
            <w:hideMark/>
          </w:tcPr>
          <w:p w14:paraId="59566722" w14:textId="75C47C2B" w:rsidR="009E3917" w:rsidRPr="00BD6323" w:rsidRDefault="009E3917" w:rsidP="00E92750">
            <w:pPr>
              <w:spacing w:after="0" w:line="240" w:lineRule="auto"/>
              <w:jc w:val="center"/>
              <w:rPr>
                <w:rFonts w:ascii="Calibri" w:eastAsia="Times New Roman" w:hAnsi="Calibri" w:cs="Calibri"/>
                <w:sz w:val="18"/>
                <w:szCs w:val="18"/>
                <w:lang w:eastAsia="hr-HR"/>
              </w:rPr>
            </w:pPr>
            <w:r w:rsidRPr="00BD6323">
              <w:rPr>
                <w:rFonts w:ascii="Calibri" w:eastAsia="Times New Roman" w:hAnsi="Calibri" w:cs="Calibri"/>
                <w:sz w:val="18"/>
                <w:szCs w:val="18"/>
                <w:lang w:eastAsia="hr-HR"/>
              </w:rPr>
              <w:t>351</w:t>
            </w:r>
          </w:p>
        </w:tc>
        <w:tc>
          <w:tcPr>
            <w:tcW w:w="695" w:type="pct"/>
            <w:tcBorders>
              <w:top w:val="nil"/>
              <w:left w:val="nil"/>
              <w:bottom w:val="single" w:sz="4" w:space="0" w:color="auto"/>
              <w:right w:val="single" w:sz="4" w:space="0" w:color="auto"/>
            </w:tcBorders>
            <w:shd w:val="clear" w:color="auto" w:fill="auto"/>
            <w:noWrap/>
            <w:vAlign w:val="center"/>
            <w:hideMark/>
          </w:tcPr>
          <w:p w14:paraId="655DD054" w14:textId="70B92039"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982,8</w:t>
            </w:r>
          </w:p>
        </w:tc>
        <w:tc>
          <w:tcPr>
            <w:tcW w:w="598" w:type="pct"/>
            <w:tcBorders>
              <w:top w:val="nil"/>
              <w:left w:val="nil"/>
              <w:bottom w:val="single" w:sz="4" w:space="0" w:color="auto"/>
              <w:right w:val="double" w:sz="6" w:space="0" w:color="auto"/>
            </w:tcBorders>
            <w:shd w:val="clear" w:color="auto" w:fill="auto"/>
            <w:noWrap/>
            <w:vAlign w:val="center"/>
            <w:hideMark/>
          </w:tcPr>
          <w:p w14:paraId="5B0E187B" w14:textId="2E17F0D4"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119.002</w:t>
            </w:r>
          </w:p>
        </w:tc>
      </w:tr>
      <w:tr w:rsidR="009E3917" w:rsidRPr="00BD6323" w14:paraId="1155C524" w14:textId="77777777" w:rsidTr="009E3917">
        <w:trPr>
          <w:trHeight w:val="56"/>
        </w:trPr>
        <w:tc>
          <w:tcPr>
            <w:tcW w:w="541" w:type="pct"/>
            <w:tcBorders>
              <w:top w:val="nil"/>
              <w:left w:val="single" w:sz="4" w:space="0" w:color="auto"/>
              <w:bottom w:val="single" w:sz="4" w:space="0" w:color="auto"/>
              <w:right w:val="single" w:sz="4" w:space="0" w:color="auto"/>
            </w:tcBorders>
            <w:shd w:val="clear" w:color="000000" w:fill="D9D9D9"/>
            <w:noWrap/>
            <w:vAlign w:val="center"/>
            <w:hideMark/>
          </w:tcPr>
          <w:p w14:paraId="698C341D" w14:textId="77777777" w:rsidR="009E3917" w:rsidRPr="00BD6323" w:rsidRDefault="009E3917" w:rsidP="00E92750">
            <w:pPr>
              <w:spacing w:after="0" w:line="240" w:lineRule="auto"/>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Plin*</w:t>
            </w:r>
          </w:p>
        </w:tc>
        <w:tc>
          <w:tcPr>
            <w:tcW w:w="696" w:type="pct"/>
            <w:tcBorders>
              <w:top w:val="nil"/>
              <w:left w:val="nil"/>
              <w:bottom w:val="single" w:sz="4" w:space="0" w:color="auto"/>
              <w:right w:val="single" w:sz="4" w:space="0" w:color="auto"/>
            </w:tcBorders>
            <w:shd w:val="clear" w:color="auto" w:fill="auto"/>
            <w:noWrap/>
            <w:vAlign w:val="center"/>
            <w:hideMark/>
          </w:tcPr>
          <w:p w14:paraId="42B836AB" w14:textId="073154F7"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7.922</w:t>
            </w:r>
          </w:p>
        </w:tc>
        <w:tc>
          <w:tcPr>
            <w:tcW w:w="926" w:type="pct"/>
            <w:tcBorders>
              <w:top w:val="nil"/>
              <w:left w:val="nil"/>
              <w:bottom w:val="single" w:sz="4" w:space="0" w:color="auto"/>
              <w:right w:val="single" w:sz="4" w:space="0" w:color="auto"/>
            </w:tcBorders>
            <w:shd w:val="clear" w:color="auto" w:fill="auto"/>
            <w:noWrap/>
            <w:vAlign w:val="center"/>
            <w:hideMark/>
          </w:tcPr>
          <w:p w14:paraId="30161ACF" w14:textId="1C99B492"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664</w:t>
            </w:r>
          </w:p>
        </w:tc>
        <w:tc>
          <w:tcPr>
            <w:tcW w:w="541" w:type="pct"/>
            <w:tcBorders>
              <w:top w:val="nil"/>
              <w:left w:val="nil"/>
              <w:bottom w:val="single" w:sz="4" w:space="0" w:color="auto"/>
              <w:right w:val="single" w:sz="4" w:space="0" w:color="auto"/>
            </w:tcBorders>
            <w:shd w:val="clear" w:color="auto" w:fill="auto"/>
            <w:noWrap/>
            <w:vAlign w:val="center"/>
            <w:hideMark/>
          </w:tcPr>
          <w:p w14:paraId="5B0F4520" w14:textId="56B2E9AA" w:rsidR="009E3917" w:rsidRPr="00BD6323" w:rsidRDefault="009E3917" w:rsidP="00E92750">
            <w:pPr>
              <w:spacing w:after="0" w:line="240" w:lineRule="auto"/>
              <w:jc w:val="center"/>
              <w:rPr>
                <w:rFonts w:ascii="Calibri" w:eastAsia="Times New Roman" w:hAnsi="Calibri" w:cs="Calibri"/>
                <w:sz w:val="18"/>
                <w:szCs w:val="18"/>
                <w:lang w:eastAsia="hr-HR"/>
              </w:rPr>
            </w:pPr>
            <w:r w:rsidRPr="00BD6323">
              <w:rPr>
                <w:rFonts w:ascii="Calibri" w:eastAsia="Times New Roman" w:hAnsi="Calibri" w:cs="Calibri"/>
                <w:sz w:val="18"/>
                <w:szCs w:val="18"/>
                <w:lang w:eastAsia="hr-HR"/>
              </w:rPr>
              <w:t>887</w:t>
            </w:r>
          </w:p>
        </w:tc>
        <w:tc>
          <w:tcPr>
            <w:tcW w:w="1004" w:type="pct"/>
            <w:tcBorders>
              <w:top w:val="nil"/>
              <w:left w:val="nil"/>
              <w:bottom w:val="single" w:sz="4" w:space="0" w:color="auto"/>
              <w:right w:val="single" w:sz="4" w:space="0" w:color="auto"/>
            </w:tcBorders>
            <w:shd w:val="clear" w:color="auto" w:fill="auto"/>
            <w:noWrap/>
            <w:vAlign w:val="center"/>
            <w:hideMark/>
          </w:tcPr>
          <w:p w14:paraId="73DBB2DD" w14:textId="26B204D6" w:rsidR="009E3917" w:rsidRPr="00BD6323" w:rsidRDefault="009E3917" w:rsidP="00E92750">
            <w:pPr>
              <w:spacing w:after="0" w:line="240" w:lineRule="auto"/>
              <w:jc w:val="center"/>
              <w:rPr>
                <w:rFonts w:ascii="Calibri" w:eastAsia="Times New Roman" w:hAnsi="Calibri" w:cs="Calibri"/>
                <w:sz w:val="18"/>
                <w:szCs w:val="18"/>
                <w:lang w:eastAsia="hr-HR"/>
              </w:rPr>
            </w:pPr>
            <w:r w:rsidRPr="00BD6323">
              <w:rPr>
                <w:rFonts w:ascii="Calibri" w:eastAsia="Times New Roman" w:hAnsi="Calibri" w:cs="Calibri"/>
                <w:sz w:val="18"/>
                <w:szCs w:val="18"/>
                <w:lang w:eastAsia="hr-HR"/>
              </w:rPr>
              <w:t>12,15</w:t>
            </w:r>
          </w:p>
        </w:tc>
        <w:tc>
          <w:tcPr>
            <w:tcW w:w="695" w:type="pct"/>
            <w:tcBorders>
              <w:top w:val="nil"/>
              <w:left w:val="nil"/>
              <w:bottom w:val="single" w:sz="4" w:space="0" w:color="auto"/>
              <w:right w:val="single" w:sz="4" w:space="0" w:color="auto"/>
            </w:tcBorders>
            <w:shd w:val="clear" w:color="auto" w:fill="auto"/>
            <w:noWrap/>
            <w:vAlign w:val="center"/>
            <w:hideMark/>
          </w:tcPr>
          <w:p w14:paraId="4BA1D08E" w14:textId="0011057A"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0,13</w:t>
            </w:r>
          </w:p>
        </w:tc>
        <w:tc>
          <w:tcPr>
            <w:tcW w:w="598" w:type="pct"/>
            <w:tcBorders>
              <w:top w:val="nil"/>
              <w:left w:val="nil"/>
              <w:bottom w:val="single" w:sz="4" w:space="0" w:color="auto"/>
              <w:right w:val="double" w:sz="6" w:space="0" w:color="auto"/>
            </w:tcBorders>
            <w:shd w:val="clear" w:color="auto" w:fill="auto"/>
            <w:noWrap/>
            <w:vAlign w:val="center"/>
            <w:hideMark/>
          </w:tcPr>
          <w:p w14:paraId="19CABA32" w14:textId="680FDC08"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9.485</w:t>
            </w:r>
          </w:p>
        </w:tc>
      </w:tr>
      <w:tr w:rsidR="009E3917" w:rsidRPr="00BD6323" w14:paraId="05603544" w14:textId="77777777" w:rsidTr="009E3917">
        <w:trPr>
          <w:trHeight w:val="56"/>
        </w:trPr>
        <w:tc>
          <w:tcPr>
            <w:tcW w:w="541" w:type="pct"/>
            <w:tcBorders>
              <w:top w:val="nil"/>
              <w:left w:val="single" w:sz="4" w:space="0" w:color="auto"/>
              <w:bottom w:val="single" w:sz="4" w:space="0" w:color="auto"/>
              <w:right w:val="single" w:sz="4" w:space="0" w:color="auto"/>
            </w:tcBorders>
            <w:shd w:val="clear" w:color="000000" w:fill="D9D9D9"/>
            <w:noWrap/>
            <w:vAlign w:val="center"/>
            <w:hideMark/>
          </w:tcPr>
          <w:p w14:paraId="2278B9AA" w14:textId="77777777" w:rsidR="009E3917" w:rsidRPr="00BD6323" w:rsidRDefault="009E3917" w:rsidP="00E92750">
            <w:pPr>
              <w:spacing w:after="0" w:line="240" w:lineRule="auto"/>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Biogorivo</w:t>
            </w:r>
          </w:p>
        </w:tc>
        <w:tc>
          <w:tcPr>
            <w:tcW w:w="696" w:type="pct"/>
            <w:tcBorders>
              <w:top w:val="nil"/>
              <w:left w:val="nil"/>
              <w:bottom w:val="single" w:sz="4" w:space="0" w:color="auto"/>
              <w:right w:val="single" w:sz="4" w:space="0" w:color="auto"/>
            </w:tcBorders>
            <w:shd w:val="clear" w:color="auto" w:fill="auto"/>
            <w:noWrap/>
            <w:vAlign w:val="center"/>
            <w:hideMark/>
          </w:tcPr>
          <w:p w14:paraId="0C778275" w14:textId="143BD9EE"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1</w:t>
            </w:r>
          </w:p>
        </w:tc>
        <w:tc>
          <w:tcPr>
            <w:tcW w:w="926" w:type="pct"/>
            <w:tcBorders>
              <w:top w:val="nil"/>
              <w:left w:val="nil"/>
              <w:bottom w:val="single" w:sz="4" w:space="0" w:color="auto"/>
              <w:right w:val="single" w:sz="4" w:space="0" w:color="auto"/>
            </w:tcBorders>
            <w:shd w:val="clear" w:color="auto" w:fill="auto"/>
            <w:noWrap/>
            <w:vAlign w:val="center"/>
            <w:hideMark/>
          </w:tcPr>
          <w:p w14:paraId="5FD471DB" w14:textId="252CF70E"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w:t>
            </w:r>
          </w:p>
        </w:tc>
        <w:tc>
          <w:tcPr>
            <w:tcW w:w="541" w:type="pct"/>
            <w:tcBorders>
              <w:top w:val="nil"/>
              <w:left w:val="nil"/>
              <w:bottom w:val="single" w:sz="4" w:space="0" w:color="auto"/>
              <w:right w:val="single" w:sz="4" w:space="0" w:color="auto"/>
            </w:tcBorders>
            <w:shd w:val="clear" w:color="auto" w:fill="auto"/>
            <w:noWrap/>
            <w:vAlign w:val="center"/>
            <w:hideMark/>
          </w:tcPr>
          <w:p w14:paraId="7420D6F7" w14:textId="529515E2" w:rsidR="009E3917" w:rsidRPr="00BD6323" w:rsidRDefault="009E3917" w:rsidP="00E92750">
            <w:pPr>
              <w:spacing w:after="0" w:line="240" w:lineRule="auto"/>
              <w:jc w:val="center"/>
              <w:rPr>
                <w:rFonts w:ascii="Calibri" w:eastAsia="Times New Roman" w:hAnsi="Calibri" w:cs="Calibri"/>
                <w:sz w:val="18"/>
                <w:szCs w:val="18"/>
                <w:lang w:eastAsia="hr-HR"/>
              </w:rPr>
            </w:pPr>
            <w:r w:rsidRPr="00BD6323">
              <w:rPr>
                <w:rFonts w:ascii="Calibri" w:eastAsia="Times New Roman" w:hAnsi="Calibri" w:cs="Calibri"/>
                <w:sz w:val="18"/>
                <w:szCs w:val="18"/>
                <w:lang w:eastAsia="hr-HR"/>
              </w:rPr>
              <w:t>-</w:t>
            </w:r>
          </w:p>
        </w:tc>
        <w:tc>
          <w:tcPr>
            <w:tcW w:w="1004" w:type="pct"/>
            <w:tcBorders>
              <w:top w:val="nil"/>
              <w:left w:val="nil"/>
              <w:bottom w:val="single" w:sz="4" w:space="0" w:color="auto"/>
              <w:right w:val="single" w:sz="4" w:space="0" w:color="auto"/>
            </w:tcBorders>
            <w:shd w:val="clear" w:color="auto" w:fill="auto"/>
            <w:noWrap/>
            <w:vAlign w:val="center"/>
            <w:hideMark/>
          </w:tcPr>
          <w:p w14:paraId="2AE3BDF7" w14:textId="77777777" w:rsidR="009E3917" w:rsidRPr="00BD6323" w:rsidRDefault="009E3917" w:rsidP="00E92750">
            <w:pPr>
              <w:spacing w:after="0" w:line="240" w:lineRule="auto"/>
              <w:jc w:val="center"/>
              <w:rPr>
                <w:rFonts w:ascii="Calibri" w:eastAsia="Times New Roman" w:hAnsi="Calibri" w:cs="Calibri"/>
                <w:sz w:val="18"/>
                <w:szCs w:val="18"/>
                <w:lang w:eastAsia="hr-HR"/>
              </w:rPr>
            </w:pPr>
            <w:r w:rsidRPr="00BD6323">
              <w:rPr>
                <w:rFonts w:ascii="Calibri" w:eastAsia="Times New Roman" w:hAnsi="Calibri" w:cs="Calibri"/>
                <w:sz w:val="18"/>
                <w:szCs w:val="18"/>
                <w:lang w:eastAsia="hr-HR"/>
              </w:rPr>
              <w:t>0</w:t>
            </w:r>
          </w:p>
        </w:tc>
        <w:tc>
          <w:tcPr>
            <w:tcW w:w="695" w:type="pct"/>
            <w:tcBorders>
              <w:top w:val="nil"/>
              <w:left w:val="nil"/>
              <w:bottom w:val="single" w:sz="4" w:space="0" w:color="auto"/>
              <w:right w:val="single" w:sz="4" w:space="0" w:color="auto"/>
            </w:tcBorders>
            <w:shd w:val="clear" w:color="auto" w:fill="auto"/>
            <w:noWrap/>
            <w:vAlign w:val="center"/>
            <w:hideMark/>
          </w:tcPr>
          <w:p w14:paraId="30925853" w14:textId="1DCAA590" w:rsidR="009E3917" w:rsidRPr="00BD6323" w:rsidRDefault="009E3917" w:rsidP="00E92750">
            <w:pPr>
              <w:spacing w:after="0" w:line="240" w:lineRule="auto"/>
              <w:jc w:val="center"/>
              <w:rPr>
                <w:rFonts w:ascii="Calibri" w:eastAsia="Times New Roman" w:hAnsi="Calibri" w:cs="Calibri"/>
                <w:b/>
                <w:bCs/>
                <w:color w:val="000000"/>
                <w:sz w:val="18"/>
                <w:szCs w:val="18"/>
                <w:lang w:eastAsia="hr-HR"/>
              </w:rPr>
            </w:pPr>
            <w:r w:rsidRPr="00BD6323">
              <w:rPr>
                <w:rFonts w:ascii="Calibri" w:eastAsia="Times New Roman" w:hAnsi="Calibri" w:cs="Calibri"/>
                <w:b/>
                <w:bCs/>
                <w:color w:val="000000"/>
                <w:sz w:val="18"/>
                <w:szCs w:val="18"/>
                <w:lang w:eastAsia="hr-HR"/>
              </w:rPr>
              <w:t>-</w:t>
            </w:r>
          </w:p>
        </w:tc>
        <w:tc>
          <w:tcPr>
            <w:tcW w:w="598" w:type="pct"/>
            <w:tcBorders>
              <w:top w:val="nil"/>
              <w:left w:val="nil"/>
              <w:bottom w:val="single" w:sz="4" w:space="0" w:color="auto"/>
              <w:right w:val="double" w:sz="6" w:space="0" w:color="auto"/>
            </w:tcBorders>
            <w:shd w:val="clear" w:color="auto" w:fill="auto"/>
            <w:noWrap/>
            <w:vAlign w:val="center"/>
            <w:hideMark/>
          </w:tcPr>
          <w:p w14:paraId="79532285" w14:textId="2AF26E14" w:rsidR="009E3917" w:rsidRPr="00BD6323" w:rsidRDefault="009E3917" w:rsidP="00E92750">
            <w:pPr>
              <w:spacing w:after="0" w:line="240" w:lineRule="auto"/>
              <w:jc w:val="center"/>
              <w:rPr>
                <w:rFonts w:ascii="Calibri" w:eastAsia="Times New Roman" w:hAnsi="Calibri" w:cs="Calibri"/>
                <w:color w:val="000000"/>
                <w:sz w:val="18"/>
                <w:szCs w:val="18"/>
                <w:lang w:eastAsia="hr-HR"/>
              </w:rPr>
            </w:pPr>
            <w:r w:rsidRPr="00BD6323">
              <w:rPr>
                <w:rFonts w:ascii="Calibri" w:eastAsia="Times New Roman" w:hAnsi="Calibri" w:cs="Calibri"/>
                <w:color w:val="000000"/>
                <w:sz w:val="18"/>
                <w:szCs w:val="18"/>
                <w:lang w:eastAsia="hr-HR"/>
              </w:rPr>
              <w:t>1</w:t>
            </w:r>
          </w:p>
        </w:tc>
      </w:tr>
    </w:tbl>
    <w:p w14:paraId="65BCBD86" w14:textId="1AB3A266" w:rsidR="001B6DCE" w:rsidRPr="00BD6323" w:rsidRDefault="001B6DCE" w:rsidP="00E92750">
      <w:pPr>
        <w:spacing w:after="0" w:line="240" w:lineRule="auto"/>
        <w:jc w:val="center"/>
        <w:rPr>
          <w:noProof/>
          <w:lang w:eastAsia="hr-HR"/>
        </w:rPr>
      </w:pPr>
    </w:p>
    <w:p w14:paraId="7869EE5B" w14:textId="2A6688EB" w:rsidR="005A31FB" w:rsidRDefault="00954A1F" w:rsidP="00E92750">
      <w:pPr>
        <w:spacing w:after="0" w:line="240" w:lineRule="auto"/>
        <w:jc w:val="center"/>
        <w:rPr>
          <w:noProof/>
          <w:lang w:eastAsia="hr-HR"/>
        </w:rPr>
      </w:pPr>
      <w:r>
        <w:rPr>
          <w:noProof/>
          <w:lang w:eastAsia="hr-HR"/>
        </w:rPr>
        <w:drawing>
          <wp:inline distT="0" distB="0" distL="0" distR="0" wp14:anchorId="3A9F6C2C" wp14:editId="5F4F8FD9">
            <wp:extent cx="4103606" cy="3009014"/>
            <wp:effectExtent l="0" t="0" r="0" b="1270"/>
            <wp:docPr id="56" name="Chart 5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E618EFB" w14:textId="3870F272" w:rsidR="00761263" w:rsidRPr="00BD6323" w:rsidRDefault="00761263" w:rsidP="00E92750">
      <w:pPr>
        <w:spacing w:line="240" w:lineRule="auto"/>
        <w:jc w:val="center"/>
        <w:rPr>
          <w:noProof/>
        </w:rPr>
      </w:pPr>
      <w:bookmarkStart w:id="255" w:name="_Ref464219900"/>
      <w:bookmarkStart w:id="256" w:name="_Toc448137086"/>
      <w:bookmarkStart w:id="257" w:name="_Toc468277460"/>
      <w:r w:rsidRPr="00BD6323">
        <w:rPr>
          <w:b/>
        </w:rPr>
        <w:t xml:space="preserve">Slika </w:t>
      </w:r>
      <w:r w:rsidRPr="00BD6323">
        <w:rPr>
          <w:b/>
        </w:rPr>
        <w:fldChar w:fldCharType="begin"/>
      </w:r>
      <w:r w:rsidRPr="00BD6323">
        <w:rPr>
          <w:b/>
        </w:rPr>
        <w:instrText xml:space="preserve"> STYLEREF 1 \s </w:instrText>
      </w:r>
      <w:r w:rsidRPr="00BD6323">
        <w:rPr>
          <w:b/>
        </w:rPr>
        <w:fldChar w:fldCharType="separate"/>
      </w:r>
      <w:r w:rsidR="009C319B">
        <w:rPr>
          <w:b/>
          <w:noProof/>
        </w:rPr>
        <w:t>5</w:t>
      </w:r>
      <w:r w:rsidRPr="00BD6323">
        <w:rPr>
          <w:b/>
        </w:rPr>
        <w:fldChar w:fldCharType="end"/>
      </w:r>
      <w:r w:rsidRPr="00BD6323">
        <w:rPr>
          <w:b/>
        </w:rPr>
        <w:t>.</w:t>
      </w:r>
      <w:r w:rsidRPr="00BD6323">
        <w:rPr>
          <w:b/>
        </w:rPr>
        <w:fldChar w:fldCharType="begin"/>
      </w:r>
      <w:r w:rsidRPr="00BD6323">
        <w:rPr>
          <w:b/>
        </w:rPr>
        <w:instrText xml:space="preserve"> SEQ Slika \* ARABIC \s 1 </w:instrText>
      </w:r>
      <w:r w:rsidRPr="00BD6323">
        <w:rPr>
          <w:b/>
        </w:rPr>
        <w:fldChar w:fldCharType="separate"/>
      </w:r>
      <w:r w:rsidR="009C319B">
        <w:rPr>
          <w:b/>
          <w:noProof/>
        </w:rPr>
        <w:t>24</w:t>
      </w:r>
      <w:r w:rsidRPr="00BD6323">
        <w:rPr>
          <w:b/>
        </w:rPr>
        <w:fldChar w:fldCharType="end"/>
      </w:r>
      <w:bookmarkEnd w:id="255"/>
      <w:r w:rsidRPr="00BD6323">
        <w:t xml:space="preserve"> </w:t>
      </w:r>
      <w:r w:rsidRPr="00BD6323">
        <w:rPr>
          <w:noProof/>
        </w:rPr>
        <w:t xml:space="preserve">Potrošnja goriva podsektora osobna i komercijalna vozila prema vrsti </w:t>
      </w:r>
      <w:bookmarkEnd w:id="253"/>
      <w:bookmarkEnd w:id="254"/>
      <w:bookmarkEnd w:id="256"/>
      <w:r w:rsidR="001E65A7" w:rsidRPr="00BD6323">
        <w:rPr>
          <w:noProof/>
        </w:rPr>
        <w:t>pogonskog goriva</w:t>
      </w:r>
      <w:bookmarkEnd w:id="257"/>
    </w:p>
    <w:p w14:paraId="22235937" w14:textId="1EEF8417" w:rsidR="001B6DCE" w:rsidRPr="00BD6323" w:rsidRDefault="001B6DCE" w:rsidP="00E92750">
      <w:pPr>
        <w:spacing w:line="240" w:lineRule="auto"/>
        <w:jc w:val="both"/>
      </w:pPr>
      <w:r w:rsidRPr="00BD6323">
        <w:t>U podsektoru osobn</w:t>
      </w:r>
      <w:r w:rsidR="003E4941">
        <w:t>ih i komercijalnih vozila dizel i benzin</w:t>
      </w:r>
      <w:r w:rsidRPr="00BD6323">
        <w:t xml:space="preserve"> su najzastupljenija goriva čiji udjeli u ukupnoj potrošnji gor</w:t>
      </w:r>
      <w:r w:rsidR="009E3917" w:rsidRPr="00BD6323">
        <w:t>iva ovog podsektora iznose 59,94 % i 36,97</w:t>
      </w:r>
      <w:r w:rsidRPr="00BD6323">
        <w:t xml:space="preserve"> %. Udi</w:t>
      </w:r>
      <w:r w:rsidR="00F8075A" w:rsidRPr="00BD6323">
        <w:t>o potrošnje plina</w:t>
      </w:r>
      <w:r w:rsidRPr="00BD6323">
        <w:t xml:space="preserve"> iznosi svega 3,10 % ukupne potrošnje, dok je udio biogoriva </w:t>
      </w:r>
      <w:r w:rsidR="001E65A7" w:rsidRPr="00BD6323">
        <w:t xml:space="preserve">u ukupnoj potrošnji </w:t>
      </w:r>
      <w:r w:rsidRPr="00BD6323">
        <w:t>zanemariv.</w:t>
      </w:r>
    </w:p>
    <w:p w14:paraId="745BD6E3" w14:textId="3A53E50E" w:rsidR="001B6DCE" w:rsidRPr="00BD6323" w:rsidRDefault="004A6D55" w:rsidP="00E92750">
      <w:pPr>
        <w:spacing w:line="240" w:lineRule="auto"/>
        <w:jc w:val="both"/>
      </w:pPr>
      <w:r w:rsidRPr="00BD6323">
        <w:lastRenderedPageBreak/>
        <w:t xml:space="preserve">Na </w:t>
      </w:r>
      <w:r w:rsidR="006F74BA" w:rsidRPr="00BD6323">
        <w:fldChar w:fldCharType="begin"/>
      </w:r>
      <w:r w:rsidR="006F74BA" w:rsidRPr="00BD6323">
        <w:instrText xml:space="preserve"> REF _Ref464562459 \h  \* MERGEFORMAT </w:instrText>
      </w:r>
      <w:r w:rsidR="006F74BA" w:rsidRPr="00BD6323">
        <w:fldChar w:fldCharType="separate"/>
      </w:r>
      <w:r w:rsidR="007833E2">
        <w:rPr>
          <w:b/>
        </w:rPr>
        <w:t>Slici</w:t>
      </w:r>
      <w:r w:rsidR="009C319B" w:rsidRPr="00BD6323">
        <w:rPr>
          <w:b/>
        </w:rPr>
        <w:t xml:space="preserve"> </w:t>
      </w:r>
      <w:r w:rsidR="009C319B">
        <w:rPr>
          <w:b/>
          <w:noProof/>
        </w:rPr>
        <w:t>5</w:t>
      </w:r>
      <w:r w:rsidR="009C319B" w:rsidRPr="00BD6323">
        <w:rPr>
          <w:b/>
          <w:noProof/>
        </w:rPr>
        <w:t>.</w:t>
      </w:r>
      <w:r w:rsidR="009C319B">
        <w:rPr>
          <w:b/>
          <w:noProof/>
        </w:rPr>
        <w:t>25</w:t>
      </w:r>
      <w:r w:rsidR="006F74BA" w:rsidRPr="00BD6323">
        <w:fldChar w:fldCharType="end"/>
      </w:r>
      <w:r w:rsidRPr="00BD6323">
        <w:t xml:space="preserve"> prikazana</w:t>
      </w:r>
      <w:r w:rsidR="001B6DCE" w:rsidRPr="00BD6323">
        <w:t xml:space="preserve"> je </w:t>
      </w:r>
      <w:r w:rsidR="001B6DCE" w:rsidRPr="00BD6323">
        <w:rPr>
          <w:bCs/>
          <w:noProof/>
        </w:rPr>
        <w:t>potrošnja goriva podsektora osobnih i komercijalnih voz</w:t>
      </w:r>
      <w:r w:rsidRPr="00BD6323">
        <w:rPr>
          <w:bCs/>
          <w:noProof/>
        </w:rPr>
        <w:t>ila po kategoriji vozila, a na</w:t>
      </w:r>
      <w:r w:rsidR="006F74BA" w:rsidRPr="00BD6323">
        <w:rPr>
          <w:bCs/>
          <w:noProof/>
        </w:rPr>
        <w:t xml:space="preserve"> </w:t>
      </w:r>
      <w:r w:rsidR="006F74BA" w:rsidRPr="00BD6323">
        <w:rPr>
          <w:bCs/>
          <w:noProof/>
        </w:rPr>
        <w:fldChar w:fldCharType="begin"/>
      </w:r>
      <w:r w:rsidR="006F74BA" w:rsidRPr="00BD6323">
        <w:rPr>
          <w:bCs/>
          <w:noProof/>
        </w:rPr>
        <w:instrText xml:space="preserve"> REF _Ref464562498 \h  \* MERGEFORMAT </w:instrText>
      </w:r>
      <w:r w:rsidR="006F74BA" w:rsidRPr="00BD6323">
        <w:rPr>
          <w:bCs/>
          <w:noProof/>
        </w:rPr>
      </w:r>
      <w:r w:rsidR="006F74BA" w:rsidRPr="00BD6323">
        <w:rPr>
          <w:bCs/>
          <w:noProof/>
        </w:rPr>
        <w:fldChar w:fldCharType="separate"/>
      </w:r>
      <w:r w:rsidR="007833E2">
        <w:rPr>
          <w:b/>
        </w:rPr>
        <w:t>Slici</w:t>
      </w:r>
      <w:r w:rsidR="009C319B" w:rsidRPr="00BD6323">
        <w:rPr>
          <w:b/>
        </w:rPr>
        <w:t xml:space="preserve"> </w:t>
      </w:r>
      <w:r w:rsidR="009C319B">
        <w:rPr>
          <w:b/>
          <w:noProof/>
        </w:rPr>
        <w:t>5</w:t>
      </w:r>
      <w:r w:rsidR="009C319B" w:rsidRPr="00BD6323">
        <w:rPr>
          <w:b/>
          <w:noProof/>
        </w:rPr>
        <w:t>.</w:t>
      </w:r>
      <w:r w:rsidR="009C319B">
        <w:rPr>
          <w:b/>
          <w:noProof/>
        </w:rPr>
        <w:t>26</w:t>
      </w:r>
      <w:r w:rsidR="006F74BA" w:rsidRPr="00BD6323">
        <w:rPr>
          <w:bCs/>
          <w:noProof/>
        </w:rPr>
        <w:fldChar w:fldCharType="end"/>
      </w:r>
      <w:r w:rsidR="001B6DCE" w:rsidRPr="00BD6323">
        <w:rPr>
          <w:bCs/>
          <w:noProof/>
        </w:rPr>
        <w:t xml:space="preserve">. </w:t>
      </w:r>
      <w:r w:rsidRPr="00BD6323">
        <w:t>struktura</w:t>
      </w:r>
      <w:r w:rsidR="001B6DCE" w:rsidRPr="00BD6323">
        <w:t xml:space="preserve"> potrošnje goriva podsektora osobnih i komercijalnih vozila prema kategorijama vozila i vrsti energenta.</w:t>
      </w:r>
    </w:p>
    <w:p w14:paraId="3B3D1680" w14:textId="6C30DDBB" w:rsidR="004A6D55" w:rsidRPr="00BD6323" w:rsidRDefault="00262CC5" w:rsidP="00E92750">
      <w:pPr>
        <w:spacing w:after="0" w:line="240" w:lineRule="auto"/>
        <w:jc w:val="center"/>
        <w:rPr>
          <w:noProof/>
          <w:lang w:eastAsia="hr-HR"/>
        </w:rPr>
      </w:pPr>
      <w:r w:rsidRPr="00BD6323">
        <w:rPr>
          <w:noProof/>
          <w:lang w:eastAsia="hr-HR"/>
        </w:rPr>
        <w:drawing>
          <wp:inline distT="0" distB="0" distL="0" distR="0" wp14:anchorId="29B748EB" wp14:editId="0279E321">
            <wp:extent cx="4314825" cy="2581275"/>
            <wp:effectExtent l="0" t="0" r="0" b="0"/>
            <wp:docPr id="20" name="Chart 2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75F3DB7" w14:textId="77777777" w:rsidR="001B6DCE" w:rsidRPr="00BD6323" w:rsidRDefault="001B6DCE" w:rsidP="00E92750">
      <w:pPr>
        <w:spacing w:line="240" w:lineRule="auto"/>
        <w:jc w:val="center"/>
        <w:rPr>
          <w:noProof/>
        </w:rPr>
      </w:pPr>
      <w:bookmarkStart w:id="258" w:name="_Ref464562459"/>
      <w:bookmarkStart w:id="259" w:name="_Toc451502844"/>
      <w:bookmarkStart w:id="260" w:name="_Toc468277461"/>
      <w:r w:rsidRPr="00BD6323">
        <w:rPr>
          <w:b/>
        </w:rPr>
        <w:t xml:space="preserve">Slika </w:t>
      </w:r>
      <w:r w:rsidRPr="00BD6323">
        <w:rPr>
          <w:b/>
        </w:rPr>
        <w:fldChar w:fldCharType="begin"/>
      </w:r>
      <w:r w:rsidRPr="00BD6323">
        <w:rPr>
          <w:b/>
        </w:rPr>
        <w:instrText xml:space="preserve"> STYLEREF 1 \s </w:instrText>
      </w:r>
      <w:r w:rsidRPr="00BD6323">
        <w:rPr>
          <w:b/>
        </w:rPr>
        <w:fldChar w:fldCharType="separate"/>
      </w:r>
      <w:r w:rsidR="009C319B">
        <w:rPr>
          <w:b/>
          <w:noProof/>
        </w:rPr>
        <w:t>5</w:t>
      </w:r>
      <w:r w:rsidRPr="00BD6323">
        <w:rPr>
          <w:b/>
        </w:rPr>
        <w:fldChar w:fldCharType="end"/>
      </w:r>
      <w:r w:rsidRPr="00BD6323">
        <w:rPr>
          <w:b/>
        </w:rPr>
        <w:t>.</w:t>
      </w:r>
      <w:r w:rsidRPr="00BD6323">
        <w:rPr>
          <w:b/>
        </w:rPr>
        <w:fldChar w:fldCharType="begin"/>
      </w:r>
      <w:r w:rsidRPr="00BD6323">
        <w:rPr>
          <w:b/>
        </w:rPr>
        <w:instrText xml:space="preserve"> SEQ Slika \* ARABIC \s 1 </w:instrText>
      </w:r>
      <w:r w:rsidRPr="00BD6323">
        <w:rPr>
          <w:b/>
        </w:rPr>
        <w:fldChar w:fldCharType="separate"/>
      </w:r>
      <w:r w:rsidR="009C319B">
        <w:rPr>
          <w:b/>
          <w:noProof/>
        </w:rPr>
        <w:t>25</w:t>
      </w:r>
      <w:r w:rsidRPr="00BD6323">
        <w:rPr>
          <w:b/>
        </w:rPr>
        <w:fldChar w:fldCharType="end"/>
      </w:r>
      <w:bookmarkEnd w:id="258"/>
      <w:r w:rsidRPr="00BD6323">
        <w:t xml:space="preserve"> </w:t>
      </w:r>
      <w:r w:rsidRPr="00BD6323">
        <w:rPr>
          <w:noProof/>
        </w:rPr>
        <w:t>Potrošnja goriva podsektora osobnih i komercijalnih vozila prema kategoriji vozila</w:t>
      </w:r>
      <w:bookmarkEnd w:id="259"/>
      <w:bookmarkEnd w:id="260"/>
    </w:p>
    <w:p w14:paraId="0FABDE83" w14:textId="19F2766B" w:rsidR="006F74BA" w:rsidRPr="00BD6323" w:rsidRDefault="00262CC5" w:rsidP="00E92750">
      <w:pPr>
        <w:spacing w:after="0" w:line="240" w:lineRule="auto"/>
        <w:jc w:val="center"/>
        <w:rPr>
          <w:noProof/>
          <w:lang w:eastAsia="hr-HR"/>
        </w:rPr>
      </w:pPr>
      <w:r w:rsidRPr="00BD6323">
        <w:rPr>
          <w:noProof/>
          <w:sz w:val="18"/>
          <w:szCs w:val="18"/>
          <w:lang w:eastAsia="hr-HR"/>
        </w:rPr>
        <w:drawing>
          <wp:inline distT="0" distB="0" distL="0" distR="0" wp14:anchorId="05B5969B" wp14:editId="7F0002D1">
            <wp:extent cx="5566867" cy="3182112"/>
            <wp:effectExtent l="0" t="0" r="0" b="0"/>
            <wp:docPr id="26" name="Chart 26">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FE5E5DA" w14:textId="77777777" w:rsidR="001B6DCE" w:rsidRPr="00BD6323" w:rsidRDefault="001B6DCE" w:rsidP="00E92750">
      <w:pPr>
        <w:spacing w:line="240" w:lineRule="auto"/>
        <w:jc w:val="center"/>
      </w:pPr>
      <w:bookmarkStart w:id="261" w:name="_Ref464562498"/>
      <w:bookmarkStart w:id="262" w:name="_Toc451502845"/>
      <w:bookmarkStart w:id="263" w:name="_Toc468277462"/>
      <w:r w:rsidRPr="00BD6323">
        <w:rPr>
          <w:b/>
        </w:rPr>
        <w:t xml:space="preserve">Slika </w:t>
      </w:r>
      <w:r w:rsidRPr="00BD6323">
        <w:rPr>
          <w:b/>
        </w:rPr>
        <w:fldChar w:fldCharType="begin"/>
      </w:r>
      <w:r w:rsidRPr="00BD6323">
        <w:rPr>
          <w:b/>
        </w:rPr>
        <w:instrText xml:space="preserve"> STYLEREF 1 \s </w:instrText>
      </w:r>
      <w:r w:rsidRPr="00BD6323">
        <w:rPr>
          <w:b/>
        </w:rPr>
        <w:fldChar w:fldCharType="separate"/>
      </w:r>
      <w:r w:rsidR="009C319B">
        <w:rPr>
          <w:b/>
          <w:noProof/>
        </w:rPr>
        <w:t>5</w:t>
      </w:r>
      <w:r w:rsidRPr="00BD6323">
        <w:rPr>
          <w:b/>
        </w:rPr>
        <w:fldChar w:fldCharType="end"/>
      </w:r>
      <w:r w:rsidRPr="00BD6323">
        <w:rPr>
          <w:b/>
        </w:rPr>
        <w:t>.</w:t>
      </w:r>
      <w:r w:rsidRPr="00BD6323">
        <w:rPr>
          <w:b/>
        </w:rPr>
        <w:fldChar w:fldCharType="begin"/>
      </w:r>
      <w:r w:rsidRPr="00BD6323">
        <w:rPr>
          <w:b/>
        </w:rPr>
        <w:instrText xml:space="preserve"> SEQ Slika \* ARABIC \s 1 </w:instrText>
      </w:r>
      <w:r w:rsidRPr="00BD6323">
        <w:rPr>
          <w:b/>
        </w:rPr>
        <w:fldChar w:fldCharType="separate"/>
      </w:r>
      <w:r w:rsidR="009C319B">
        <w:rPr>
          <w:b/>
          <w:noProof/>
        </w:rPr>
        <w:t>26</w:t>
      </w:r>
      <w:r w:rsidRPr="00BD6323">
        <w:rPr>
          <w:b/>
        </w:rPr>
        <w:fldChar w:fldCharType="end"/>
      </w:r>
      <w:bookmarkEnd w:id="261"/>
      <w:r w:rsidRPr="00BD6323">
        <w:t xml:space="preserve"> Potrošnja goriva podsektora osobnih i komercijalnih vozila prema kategorijama vozila i vrsti goriva</w:t>
      </w:r>
      <w:bookmarkEnd w:id="262"/>
      <w:bookmarkEnd w:id="263"/>
    </w:p>
    <w:p w14:paraId="492E428A" w14:textId="3078B330" w:rsidR="00262CC5" w:rsidRPr="00BD6323" w:rsidRDefault="00AF2320" w:rsidP="00E92750">
      <w:pPr>
        <w:spacing w:line="240" w:lineRule="auto"/>
        <w:jc w:val="both"/>
      </w:pPr>
      <w:r w:rsidRPr="00BD6323">
        <w:t>Ukupna potrošnja energije podsektor</w:t>
      </w:r>
      <w:r w:rsidR="00D3438D" w:rsidRPr="00BD6323">
        <w:t xml:space="preserve">a osobna i komercijalna vozila </w:t>
      </w:r>
      <w:r w:rsidRPr="00BD6323">
        <w:t xml:space="preserve">u 2015. godini iznosila je </w:t>
      </w:r>
      <w:r w:rsidR="00BD6323">
        <w:t xml:space="preserve">14 </w:t>
      </w:r>
      <w:r w:rsidR="004D5AD0" w:rsidRPr="00BD6323">
        <w:t>354,</w:t>
      </w:r>
      <w:r w:rsidR="00262CC5" w:rsidRPr="00BD6323">
        <w:t>78</w:t>
      </w:r>
      <w:r w:rsidRPr="00BD6323">
        <w:t xml:space="preserve"> TJ.</w:t>
      </w:r>
      <w:r w:rsidR="00262CC5" w:rsidRPr="00BD6323">
        <w:br w:type="page"/>
      </w:r>
    </w:p>
    <w:p w14:paraId="0623F78B" w14:textId="4EA8D8EA" w:rsidR="00B879B5" w:rsidRPr="00BD6323" w:rsidRDefault="00B879B5" w:rsidP="00E92750">
      <w:pPr>
        <w:pStyle w:val="Heading2"/>
        <w:spacing w:after="240"/>
      </w:pPr>
      <w:bookmarkStart w:id="264" w:name="_Toc468345377"/>
      <w:r w:rsidRPr="00BD6323">
        <w:lastRenderedPageBreak/>
        <w:t>PRIKAZ REZULTATA PROVEDENE ANALIZE ENERGETSKE POTROŠNJE U SEKTORU PROMETA GRADA ZAGREBA U 2015. GODINI</w:t>
      </w:r>
      <w:bookmarkEnd w:id="264"/>
    </w:p>
    <w:p w14:paraId="083AAB0B" w14:textId="4A5FDC41" w:rsidR="00B879B5" w:rsidRPr="00BD6323" w:rsidRDefault="00B00A39" w:rsidP="00E92750">
      <w:pPr>
        <w:spacing w:line="240" w:lineRule="auto"/>
        <w:jc w:val="both"/>
      </w:pPr>
      <w:r w:rsidRPr="00BD6323">
        <w:t xml:space="preserve">Na </w:t>
      </w:r>
      <w:r w:rsidRPr="00BD6323">
        <w:fldChar w:fldCharType="begin"/>
      </w:r>
      <w:r w:rsidRPr="00BD6323">
        <w:instrText xml:space="preserve"> REF _Ref465678401 \h  \* MERGEFORMAT </w:instrText>
      </w:r>
      <w:r w:rsidRPr="00BD6323">
        <w:fldChar w:fldCharType="separate"/>
      </w:r>
      <w:r w:rsidR="004224E1">
        <w:rPr>
          <w:b/>
        </w:rPr>
        <w:t>Slici</w:t>
      </w:r>
      <w:r w:rsidR="009C319B" w:rsidRPr="00BD6323">
        <w:rPr>
          <w:b/>
        </w:rPr>
        <w:t xml:space="preserve"> </w:t>
      </w:r>
      <w:r w:rsidR="009C319B">
        <w:rPr>
          <w:b/>
          <w:noProof/>
        </w:rPr>
        <w:t>5</w:t>
      </w:r>
      <w:r w:rsidR="009C319B" w:rsidRPr="00BD6323">
        <w:rPr>
          <w:b/>
          <w:noProof/>
        </w:rPr>
        <w:t>.</w:t>
      </w:r>
      <w:r w:rsidR="009C319B">
        <w:rPr>
          <w:b/>
          <w:noProof/>
        </w:rPr>
        <w:t>27</w:t>
      </w:r>
      <w:r w:rsidRPr="00BD6323">
        <w:fldChar w:fldCharType="end"/>
      </w:r>
      <w:r w:rsidR="00B879B5" w:rsidRPr="00BD6323">
        <w:t xml:space="preserve"> prikazan je energetski udio</w:t>
      </w:r>
      <w:r w:rsidR="00440172" w:rsidRPr="00BD6323">
        <w:t xml:space="preserve"> podsektora sektora prometa</w:t>
      </w:r>
      <w:r w:rsidR="00B879B5" w:rsidRPr="00BD6323">
        <w:t xml:space="preserve"> u ukupnoj pot</w:t>
      </w:r>
      <w:r w:rsidR="00440172" w:rsidRPr="00BD6323">
        <w:t xml:space="preserve">rošnji goriva </w:t>
      </w:r>
      <w:r w:rsidR="00B879B5" w:rsidRPr="00BD6323">
        <w:t>u Gradu Zagrebu te je vidljivo da daleko najveći udio potrošnje otpada n</w:t>
      </w:r>
      <w:r w:rsidR="00440172" w:rsidRPr="00BD6323">
        <w:t>a osobna i komercijalna vozila.</w:t>
      </w:r>
      <w:r w:rsidR="008E2191" w:rsidRPr="00BD6323">
        <w:t xml:space="preserve"> </w:t>
      </w:r>
    </w:p>
    <w:p w14:paraId="03202FB0" w14:textId="29D2DEA7" w:rsidR="00B00A39" w:rsidRPr="00BD6323" w:rsidRDefault="00440172" w:rsidP="00571AA1">
      <w:pPr>
        <w:spacing w:after="0" w:line="240" w:lineRule="auto"/>
        <w:jc w:val="center"/>
      </w:pPr>
      <w:r w:rsidRPr="00BD6323">
        <w:rPr>
          <w:noProof/>
          <w:lang w:eastAsia="hr-HR"/>
        </w:rPr>
        <w:drawing>
          <wp:inline distT="0" distB="0" distL="0" distR="0" wp14:anchorId="19B46731" wp14:editId="09A2B108">
            <wp:extent cx="4476750" cy="2733675"/>
            <wp:effectExtent l="0" t="0" r="0" b="0"/>
            <wp:docPr id="27" name="Chart 27">
              <a:extLst xmlns:a="http://schemas.openxmlformats.org/drawingml/2006/main">
                <a:ext uri="{FF2B5EF4-FFF2-40B4-BE49-F238E27FC236}">
                  <a16:creationId xmlns:a16="http://schemas.microsoft.com/office/drawing/2014/main" id="{A68A823C-4C70-4581-947F-2BF57D999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A13A53E" w14:textId="13552E4E" w:rsidR="00B00A39" w:rsidRPr="00BD6323" w:rsidRDefault="00B00A39" w:rsidP="00571AA1">
      <w:pPr>
        <w:spacing w:line="240" w:lineRule="auto"/>
        <w:jc w:val="center"/>
      </w:pPr>
      <w:bookmarkStart w:id="265" w:name="_Ref465678401"/>
      <w:bookmarkStart w:id="266" w:name="_Toc468277463"/>
      <w:r w:rsidRPr="00BD6323">
        <w:rPr>
          <w:b/>
        </w:rPr>
        <w:t xml:space="preserve">Slika </w:t>
      </w:r>
      <w:r w:rsidRPr="00BD6323">
        <w:rPr>
          <w:b/>
        </w:rPr>
        <w:fldChar w:fldCharType="begin"/>
      </w:r>
      <w:r w:rsidRPr="00BD6323">
        <w:rPr>
          <w:b/>
        </w:rPr>
        <w:instrText xml:space="preserve"> STYLEREF 1 \s </w:instrText>
      </w:r>
      <w:r w:rsidRPr="00BD6323">
        <w:rPr>
          <w:b/>
        </w:rPr>
        <w:fldChar w:fldCharType="separate"/>
      </w:r>
      <w:r w:rsidR="009C319B">
        <w:rPr>
          <w:b/>
          <w:noProof/>
        </w:rPr>
        <w:t>5</w:t>
      </w:r>
      <w:r w:rsidRPr="00BD6323">
        <w:rPr>
          <w:b/>
        </w:rPr>
        <w:fldChar w:fldCharType="end"/>
      </w:r>
      <w:r w:rsidRPr="00BD6323">
        <w:rPr>
          <w:b/>
        </w:rPr>
        <w:t>.</w:t>
      </w:r>
      <w:r w:rsidRPr="00BD6323">
        <w:rPr>
          <w:b/>
        </w:rPr>
        <w:fldChar w:fldCharType="begin"/>
      </w:r>
      <w:r w:rsidRPr="00BD6323">
        <w:rPr>
          <w:b/>
        </w:rPr>
        <w:instrText xml:space="preserve"> SEQ Slika \* ARABIC \s 1 </w:instrText>
      </w:r>
      <w:r w:rsidRPr="00BD6323">
        <w:rPr>
          <w:b/>
        </w:rPr>
        <w:fldChar w:fldCharType="separate"/>
      </w:r>
      <w:r w:rsidR="009C319B">
        <w:rPr>
          <w:b/>
          <w:noProof/>
        </w:rPr>
        <w:t>27</w:t>
      </w:r>
      <w:r w:rsidRPr="00BD6323">
        <w:rPr>
          <w:b/>
        </w:rPr>
        <w:fldChar w:fldCharType="end"/>
      </w:r>
      <w:bookmarkEnd w:id="265"/>
      <w:r w:rsidRPr="00BD6323">
        <w:rPr>
          <w:b/>
        </w:rPr>
        <w:t xml:space="preserve"> </w:t>
      </w:r>
      <w:bookmarkStart w:id="267" w:name="_Toc258239043"/>
      <w:r w:rsidRPr="00BD6323">
        <w:t>Udio potrošnje goriva po podsektorima sektora prometa u Gradu Zagrebu</w:t>
      </w:r>
      <w:bookmarkEnd w:id="266"/>
      <w:bookmarkEnd w:id="267"/>
    </w:p>
    <w:p w14:paraId="186B7D06" w14:textId="19F7564B" w:rsidR="00B879B5" w:rsidRPr="00BD6323" w:rsidRDefault="00430CD5" w:rsidP="00E92750">
      <w:pPr>
        <w:spacing w:line="240" w:lineRule="auto"/>
        <w:jc w:val="both"/>
      </w:pPr>
      <w:r w:rsidRPr="00BD6323">
        <w:t xml:space="preserve">Na osnovu dobivenih rezultata energetske analize o potrošnji goriva sektora promet u Gradu Zagrebu možemo zaključiti da daleko </w:t>
      </w:r>
      <w:r w:rsidR="00B879B5" w:rsidRPr="00BD6323">
        <w:t>najveća potrošnja o</w:t>
      </w:r>
      <w:r w:rsidR="00A0228D" w:rsidRPr="00BD6323">
        <w:t xml:space="preserve">tpada na dizelsko gorivo </w:t>
      </w:r>
      <w:r w:rsidR="00030532" w:rsidRPr="00BD6323">
        <w:t>oko 59,72</w:t>
      </w:r>
      <w:r w:rsidR="00A0228D" w:rsidRPr="00BD6323">
        <w:t>%</w:t>
      </w:r>
      <w:r w:rsidR="00B879B5" w:rsidRPr="00BD6323">
        <w:t>, dok preostali dio predstavlja u</w:t>
      </w:r>
      <w:r w:rsidR="00030532" w:rsidRPr="00BD6323">
        <w:t>glavnom motorni benzin oko 34,95</w:t>
      </w:r>
      <w:r w:rsidR="00485028" w:rsidRPr="00BD6323">
        <w:t xml:space="preserve">%, </w:t>
      </w:r>
      <w:r w:rsidR="00E95420" w:rsidRPr="00BD6323">
        <w:fldChar w:fldCharType="begin"/>
      </w:r>
      <w:r w:rsidR="00E95420" w:rsidRPr="00BD6323">
        <w:instrText xml:space="preserve"> REF _Ref465679572 \h  \* MERGEFORMAT </w:instrText>
      </w:r>
      <w:r w:rsidR="00E95420" w:rsidRPr="00BD6323">
        <w:fldChar w:fldCharType="separate"/>
      </w:r>
      <w:r w:rsidR="009C319B" w:rsidRPr="00BD6323">
        <w:rPr>
          <w:b/>
        </w:rPr>
        <w:t xml:space="preserve">Slika </w:t>
      </w:r>
      <w:r w:rsidR="009C319B">
        <w:rPr>
          <w:b/>
          <w:noProof/>
        </w:rPr>
        <w:t>5</w:t>
      </w:r>
      <w:r w:rsidR="009C319B" w:rsidRPr="00BD6323">
        <w:rPr>
          <w:b/>
          <w:noProof/>
        </w:rPr>
        <w:t>.</w:t>
      </w:r>
      <w:r w:rsidR="009C319B">
        <w:rPr>
          <w:b/>
          <w:noProof/>
        </w:rPr>
        <w:t>28</w:t>
      </w:r>
      <w:r w:rsidR="00E95420" w:rsidRPr="00BD6323">
        <w:fldChar w:fldCharType="end"/>
      </w:r>
      <w:r w:rsidRPr="00BD6323">
        <w:t>.</w:t>
      </w:r>
      <w:r w:rsidR="00B879B5" w:rsidRPr="00BD6323">
        <w:t xml:space="preserve"> </w:t>
      </w:r>
    </w:p>
    <w:p w14:paraId="573EC824" w14:textId="139BC3DB" w:rsidR="00430CD5" w:rsidRPr="00BD6323" w:rsidRDefault="00D3438D" w:rsidP="00E92750">
      <w:pPr>
        <w:spacing w:after="0" w:line="240" w:lineRule="auto"/>
        <w:jc w:val="center"/>
        <w:rPr>
          <w:noProof/>
          <w:lang w:eastAsia="hr-HR"/>
        </w:rPr>
      </w:pPr>
      <w:r w:rsidRPr="00BD6323">
        <w:rPr>
          <w:noProof/>
          <w:lang w:eastAsia="hr-HR"/>
        </w:rPr>
        <w:drawing>
          <wp:inline distT="0" distB="0" distL="0" distR="0" wp14:anchorId="59B55E0E" wp14:editId="313426EB">
            <wp:extent cx="4659782" cy="3065069"/>
            <wp:effectExtent l="0" t="0" r="7620" b="2540"/>
            <wp:docPr id="30" name="Chart 30">
              <a:extLst xmlns:a="http://schemas.openxmlformats.org/drawingml/2006/main">
                <a:ext uri="{FF2B5EF4-FFF2-40B4-BE49-F238E27FC236}">
                  <a16:creationId xmlns:a16="http://schemas.microsoft.com/office/drawing/2014/main" id="{45D30FC9-4CBD-4171-B93C-8BBFF9E6F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76E6CA6" w14:textId="3D4F4085" w:rsidR="004F4ADE" w:rsidRPr="00BD6323" w:rsidRDefault="00430CD5" w:rsidP="00E92750">
      <w:pPr>
        <w:spacing w:after="0" w:line="240" w:lineRule="auto"/>
        <w:jc w:val="center"/>
        <w:rPr>
          <w:rFonts w:ascii="Century Gothic" w:hAnsi="Century Gothic"/>
        </w:rPr>
      </w:pPr>
      <w:bookmarkStart w:id="268" w:name="_Ref465679572"/>
      <w:bookmarkStart w:id="269" w:name="_Toc468277464"/>
      <w:r w:rsidRPr="00BD6323">
        <w:rPr>
          <w:b/>
        </w:rPr>
        <w:t xml:space="preserve">Slika </w:t>
      </w:r>
      <w:r w:rsidRPr="00BD6323">
        <w:rPr>
          <w:b/>
        </w:rPr>
        <w:fldChar w:fldCharType="begin"/>
      </w:r>
      <w:r w:rsidRPr="00BD6323">
        <w:rPr>
          <w:b/>
        </w:rPr>
        <w:instrText xml:space="preserve"> STYLEREF 1 \s </w:instrText>
      </w:r>
      <w:r w:rsidRPr="00BD6323">
        <w:rPr>
          <w:b/>
        </w:rPr>
        <w:fldChar w:fldCharType="separate"/>
      </w:r>
      <w:r w:rsidR="009C319B">
        <w:rPr>
          <w:b/>
          <w:noProof/>
        </w:rPr>
        <w:t>5</w:t>
      </w:r>
      <w:r w:rsidRPr="00BD6323">
        <w:rPr>
          <w:b/>
        </w:rPr>
        <w:fldChar w:fldCharType="end"/>
      </w:r>
      <w:r w:rsidRPr="00BD6323">
        <w:rPr>
          <w:b/>
        </w:rPr>
        <w:t>.</w:t>
      </w:r>
      <w:r w:rsidRPr="00BD6323">
        <w:rPr>
          <w:b/>
        </w:rPr>
        <w:fldChar w:fldCharType="begin"/>
      </w:r>
      <w:r w:rsidRPr="00BD6323">
        <w:rPr>
          <w:b/>
        </w:rPr>
        <w:instrText xml:space="preserve"> SEQ Slika \* ARABIC \s 1 </w:instrText>
      </w:r>
      <w:r w:rsidRPr="00BD6323">
        <w:rPr>
          <w:b/>
        </w:rPr>
        <w:fldChar w:fldCharType="separate"/>
      </w:r>
      <w:r w:rsidR="009C319B">
        <w:rPr>
          <w:b/>
          <w:noProof/>
        </w:rPr>
        <w:t>28</w:t>
      </w:r>
      <w:r w:rsidRPr="00BD6323">
        <w:rPr>
          <w:b/>
        </w:rPr>
        <w:fldChar w:fldCharType="end"/>
      </w:r>
      <w:bookmarkEnd w:id="268"/>
      <w:r w:rsidRPr="00BD6323">
        <w:rPr>
          <w:b/>
        </w:rPr>
        <w:t xml:space="preserve"> </w:t>
      </w:r>
      <w:r w:rsidRPr="00BD6323">
        <w:t>Udio strukture potrošnje pogonskog goriva u sektoru prometa Grada Zagreba u 2015. godini</w:t>
      </w:r>
      <w:bookmarkEnd w:id="269"/>
      <w:r w:rsidR="004F4ADE" w:rsidRPr="00BD6323">
        <w:br w:type="page"/>
      </w:r>
    </w:p>
    <w:p w14:paraId="2F998364" w14:textId="48D5D358" w:rsidR="0071380D" w:rsidRPr="00D376F1" w:rsidRDefault="004160FA" w:rsidP="00E92750">
      <w:pPr>
        <w:pStyle w:val="Heading1"/>
        <w:spacing w:after="240" w:line="240" w:lineRule="auto"/>
        <w:jc w:val="both"/>
        <w:rPr>
          <w:rFonts w:eastAsia="Times New Roman"/>
          <w:b/>
        </w:rPr>
      </w:pPr>
      <w:bookmarkStart w:id="270" w:name="_Toc468345378"/>
      <w:r w:rsidRPr="00D376F1">
        <w:rPr>
          <w:rFonts w:eastAsia="Times New Roman"/>
          <w:b/>
        </w:rPr>
        <w:lastRenderedPageBreak/>
        <w:t>ANALIZA ENERGETSKE POTROŠNJE U SEKTORU JAVNE RASVJETE</w:t>
      </w:r>
      <w:r w:rsidR="00DC2E70" w:rsidRPr="00D376F1">
        <w:rPr>
          <w:rFonts w:eastAsia="Times New Roman"/>
          <w:b/>
        </w:rPr>
        <w:t xml:space="preserve"> GRADA ZAGREBA</w:t>
      </w:r>
      <w:r w:rsidR="0051541E" w:rsidRPr="00D376F1">
        <w:rPr>
          <w:rFonts w:eastAsia="Times New Roman"/>
          <w:b/>
        </w:rPr>
        <w:t xml:space="preserve"> U </w:t>
      </w:r>
      <w:r w:rsidR="000F64C5" w:rsidRPr="00D376F1">
        <w:rPr>
          <w:rFonts w:eastAsia="Times New Roman"/>
          <w:b/>
        </w:rPr>
        <w:t>2015</w:t>
      </w:r>
      <w:r w:rsidR="003B2D90" w:rsidRPr="00D376F1">
        <w:rPr>
          <w:rFonts w:eastAsia="Times New Roman"/>
          <w:b/>
        </w:rPr>
        <w:t>. GODINI</w:t>
      </w:r>
      <w:bookmarkEnd w:id="270"/>
    </w:p>
    <w:p w14:paraId="43C6681E" w14:textId="77777777" w:rsidR="006F6A71" w:rsidRPr="00D376F1" w:rsidRDefault="006F6A71" w:rsidP="00E92750">
      <w:pPr>
        <w:spacing w:line="240" w:lineRule="auto"/>
        <w:jc w:val="both"/>
      </w:pPr>
      <w:r w:rsidRPr="00D376F1">
        <w:t>Relevantni podaci za analizu energetske potrošnje u sektoru javne rasvjete prikupljeni su od Gradskog ureda za prostorno uređenje, izgradnju Grada, graditeljstvo, komunalne poslove i promet, Odsjek za građenje i održavanje javne rasvjete, Grad Zagreb, koji obavlja poslove vezane uz građenje i održavanje javne rasvjete Grada Zagreba.</w:t>
      </w:r>
    </w:p>
    <w:p w14:paraId="002E7ECB" w14:textId="133FC5F2" w:rsidR="006F6A71" w:rsidRPr="00D376F1" w:rsidRDefault="006F6A71" w:rsidP="00E92750">
      <w:pPr>
        <w:suppressAutoHyphens/>
        <w:autoSpaceDN w:val="0"/>
        <w:spacing w:after="0" w:line="240" w:lineRule="auto"/>
        <w:jc w:val="both"/>
        <w:textAlignment w:val="baseline"/>
        <w:rPr>
          <w:rFonts w:ascii="Calibri" w:eastAsia="Calibri" w:hAnsi="Calibri" w:cs="Calibri"/>
        </w:rPr>
      </w:pPr>
      <w:r w:rsidRPr="00D376F1">
        <w:rPr>
          <w:rFonts w:ascii="Calibri" w:eastAsia="Calibri" w:hAnsi="Calibri" w:cs="Calibri"/>
        </w:rPr>
        <w:t>Na temelju prikupljenih podataka, dalje u poglavlju za sektor javne rasvjete Grada Zagreba biti će dani sljedeći parametri i karakteristike:</w:t>
      </w:r>
    </w:p>
    <w:p w14:paraId="12C2EDC4" w14:textId="77777777" w:rsidR="006F6A71" w:rsidRPr="00D376F1" w:rsidRDefault="006F6A71" w:rsidP="00EE7021">
      <w:pPr>
        <w:numPr>
          <w:ilvl w:val="0"/>
          <w:numId w:val="27"/>
        </w:numPr>
        <w:suppressAutoHyphens/>
        <w:autoSpaceDN w:val="0"/>
        <w:spacing w:after="0" w:line="240" w:lineRule="auto"/>
        <w:jc w:val="both"/>
        <w:textAlignment w:val="baseline"/>
        <w:rPr>
          <w:rFonts w:ascii="Calibri" w:eastAsia="Calibri" w:hAnsi="Calibri" w:cs="Calibri"/>
        </w:rPr>
      </w:pPr>
      <w:r w:rsidRPr="00D376F1">
        <w:rPr>
          <w:rFonts w:ascii="Calibri" w:eastAsia="Calibri" w:hAnsi="Calibri" w:cs="Calibri"/>
        </w:rPr>
        <w:t>Opći podaci o sektoru javne rasvjete Grada;</w:t>
      </w:r>
    </w:p>
    <w:p w14:paraId="5B283EA3" w14:textId="77777777" w:rsidR="006F6A71" w:rsidRPr="00D376F1" w:rsidRDefault="006F6A71" w:rsidP="00EE7021">
      <w:pPr>
        <w:numPr>
          <w:ilvl w:val="0"/>
          <w:numId w:val="27"/>
        </w:numPr>
        <w:suppressAutoHyphens/>
        <w:autoSpaceDN w:val="0"/>
        <w:spacing w:after="0" w:line="240" w:lineRule="auto"/>
        <w:jc w:val="both"/>
        <w:textAlignment w:val="baseline"/>
        <w:rPr>
          <w:rFonts w:ascii="Calibri" w:eastAsia="Calibri" w:hAnsi="Calibri" w:cs="Calibri"/>
        </w:rPr>
      </w:pPr>
      <w:r w:rsidRPr="00D376F1">
        <w:rPr>
          <w:rFonts w:ascii="Calibri" w:eastAsia="Calibri" w:hAnsi="Calibri" w:cs="Calibri"/>
        </w:rPr>
        <w:t>Struktura električne mreže javne rasvjete Grada;</w:t>
      </w:r>
    </w:p>
    <w:p w14:paraId="31F7D188" w14:textId="77777777" w:rsidR="006F6A71" w:rsidRPr="00D376F1" w:rsidRDefault="006F6A71" w:rsidP="00EE7021">
      <w:pPr>
        <w:numPr>
          <w:ilvl w:val="0"/>
          <w:numId w:val="27"/>
        </w:numPr>
        <w:suppressAutoHyphens/>
        <w:autoSpaceDN w:val="0"/>
        <w:spacing w:after="0" w:line="240" w:lineRule="auto"/>
        <w:jc w:val="both"/>
        <w:textAlignment w:val="baseline"/>
        <w:rPr>
          <w:rFonts w:ascii="Calibri" w:eastAsia="Calibri" w:hAnsi="Calibri" w:cs="Calibri"/>
        </w:rPr>
      </w:pPr>
      <w:r w:rsidRPr="00D376F1">
        <w:rPr>
          <w:rFonts w:ascii="Calibri" w:eastAsia="Calibri" w:hAnsi="Calibri" w:cs="Calibri"/>
        </w:rPr>
        <w:t>Ukupna potrošnja električne energije sektora javne rasvjete u 2015 godini (MWh);</w:t>
      </w:r>
    </w:p>
    <w:p w14:paraId="0B2E240E" w14:textId="77777777" w:rsidR="006F6A71" w:rsidRPr="00D376F1" w:rsidRDefault="006F6A71" w:rsidP="00EE7021">
      <w:pPr>
        <w:numPr>
          <w:ilvl w:val="0"/>
          <w:numId w:val="27"/>
        </w:numPr>
        <w:suppressAutoHyphens/>
        <w:autoSpaceDN w:val="0"/>
        <w:spacing w:after="0" w:line="240" w:lineRule="auto"/>
        <w:jc w:val="both"/>
        <w:textAlignment w:val="baseline"/>
        <w:rPr>
          <w:rFonts w:ascii="Calibri" w:eastAsia="Calibri" w:hAnsi="Calibri" w:cs="Calibri"/>
        </w:rPr>
      </w:pPr>
      <w:r w:rsidRPr="00D376F1">
        <w:rPr>
          <w:rFonts w:ascii="Calibri" w:eastAsia="Calibri" w:hAnsi="Calibri" w:cs="Calibri"/>
        </w:rPr>
        <w:t>Trend potrošnje električne energije u vremenskom periodu od 2008. do 2015. godine i</w:t>
      </w:r>
    </w:p>
    <w:p w14:paraId="0429D1CE" w14:textId="77777777" w:rsidR="006F6A71" w:rsidRPr="00D376F1" w:rsidRDefault="006F6A71" w:rsidP="00EE7021">
      <w:pPr>
        <w:numPr>
          <w:ilvl w:val="0"/>
          <w:numId w:val="28"/>
        </w:numPr>
        <w:suppressAutoHyphens/>
        <w:autoSpaceDN w:val="0"/>
        <w:spacing w:line="240" w:lineRule="auto"/>
        <w:jc w:val="both"/>
        <w:textAlignment w:val="baseline"/>
        <w:rPr>
          <w:rFonts w:ascii="Calibri" w:eastAsia="Calibri" w:hAnsi="Calibri" w:cs="Times New Roman"/>
        </w:rPr>
      </w:pPr>
      <w:r w:rsidRPr="00D376F1">
        <w:rPr>
          <w:rFonts w:ascii="Calibri" w:eastAsia="Calibri" w:hAnsi="Calibri" w:cs="Calibri"/>
        </w:rPr>
        <w:t>Ukupna potrošnja plina sektora javne rasvjete (m</w:t>
      </w:r>
      <w:r w:rsidRPr="00D376F1">
        <w:rPr>
          <w:rFonts w:ascii="Calibri" w:eastAsia="Calibri" w:hAnsi="Calibri" w:cs="Calibri"/>
          <w:vertAlign w:val="superscript"/>
        </w:rPr>
        <w:t>3</w:t>
      </w:r>
      <w:r w:rsidRPr="00D376F1">
        <w:rPr>
          <w:rFonts w:ascii="Calibri" w:eastAsia="Calibri" w:hAnsi="Calibri" w:cs="Calibri"/>
        </w:rPr>
        <w:t>).</w:t>
      </w:r>
    </w:p>
    <w:p w14:paraId="64111BEA" w14:textId="77777777" w:rsidR="0051541E" w:rsidRPr="00D80261" w:rsidRDefault="0051541E" w:rsidP="00D80261">
      <w:pPr>
        <w:pStyle w:val="Heading2"/>
        <w:spacing w:after="240"/>
      </w:pPr>
      <w:bookmarkStart w:id="271" w:name="_Toc258238920"/>
      <w:bookmarkStart w:id="272" w:name="_Toc468345379"/>
      <w:r w:rsidRPr="00D80261">
        <w:t>Opći podaci o sektoru javne rasvjete Grada Zagreba</w:t>
      </w:r>
      <w:bookmarkEnd w:id="271"/>
      <w:bookmarkEnd w:id="272"/>
    </w:p>
    <w:p w14:paraId="2BD02496" w14:textId="1733105D" w:rsidR="009F61D1" w:rsidRPr="00D376F1" w:rsidRDefault="008A68D4" w:rsidP="00E92750">
      <w:pPr>
        <w:spacing w:line="240" w:lineRule="auto"/>
        <w:jc w:val="both"/>
      </w:pPr>
      <w:r w:rsidRPr="00D376F1">
        <w:t>Pod pojmom javna rasvjeta razumijeva se</w:t>
      </w:r>
      <w:r w:rsidR="009F61D1" w:rsidRPr="00D376F1">
        <w:t xml:space="preserve"> upravljanje, održavanje objekata i uređaja javne rasvjete, uključivo podmirivanje</w:t>
      </w:r>
      <w:r w:rsidRPr="00D376F1">
        <w:t xml:space="preserve"> troškova električne energije, za rasvjetljavanje javnih površina, javnih cesta koje prolaze kroz naselje i nerazvrstanih cesta</w:t>
      </w:r>
      <w:r w:rsidRPr="00D376F1">
        <w:rPr>
          <w:rStyle w:val="FootnoteReference"/>
        </w:rPr>
        <w:footnoteReference w:id="28"/>
      </w:r>
      <w:r w:rsidRPr="00D376F1">
        <w:t>.</w:t>
      </w:r>
    </w:p>
    <w:p w14:paraId="5EB178B7" w14:textId="77777777" w:rsidR="00832390" w:rsidRPr="00D376F1" w:rsidRDefault="00832390" w:rsidP="00E92750">
      <w:pPr>
        <w:suppressAutoHyphens/>
        <w:autoSpaceDN w:val="0"/>
        <w:spacing w:line="240" w:lineRule="auto"/>
        <w:jc w:val="both"/>
        <w:textAlignment w:val="baseline"/>
        <w:rPr>
          <w:rFonts w:ascii="Calibri" w:eastAsia="Calibri" w:hAnsi="Calibri" w:cs="Calibri"/>
        </w:rPr>
      </w:pPr>
      <w:r w:rsidRPr="00D376F1">
        <w:rPr>
          <w:rFonts w:ascii="Calibri" w:eastAsia="Calibri" w:hAnsi="Calibri" w:cs="Calibri"/>
        </w:rPr>
        <w:t xml:space="preserve">Hrvatska elektroprivreda d.d. Zagreb 1. siječnja 1998. godine prenijela je u vlasništvo Gradu Zagrebu objekte i uređaje koji se koriste isključivo za javnu rasvjetu. </w:t>
      </w:r>
    </w:p>
    <w:p w14:paraId="5970DDDE" w14:textId="77777777" w:rsidR="00832390" w:rsidRPr="00D376F1" w:rsidRDefault="00832390" w:rsidP="00E92750">
      <w:pPr>
        <w:suppressAutoHyphens/>
        <w:autoSpaceDN w:val="0"/>
        <w:spacing w:line="240" w:lineRule="auto"/>
        <w:jc w:val="both"/>
        <w:textAlignment w:val="baseline"/>
        <w:rPr>
          <w:rFonts w:ascii="Calibri" w:eastAsia="Calibri" w:hAnsi="Calibri" w:cs="Calibri"/>
        </w:rPr>
      </w:pPr>
      <w:r w:rsidRPr="00D376F1">
        <w:rPr>
          <w:rFonts w:ascii="Calibri" w:eastAsia="Calibri" w:hAnsi="Calibri" w:cs="Calibri"/>
        </w:rPr>
        <w:t>Održavanje javne rasvjete financira se iz komunalne naknade i ostalih proračunskih prihoda, a građenje novih objekta i uređaja namijenjenih za javnu rasvjetu iz komunalnog doprinosa.</w:t>
      </w:r>
    </w:p>
    <w:p w14:paraId="59FC823C" w14:textId="77777777" w:rsidR="00832390" w:rsidRPr="00D376F1" w:rsidRDefault="00832390" w:rsidP="00E92750">
      <w:pPr>
        <w:suppressAutoHyphens/>
        <w:autoSpaceDN w:val="0"/>
        <w:spacing w:line="240" w:lineRule="auto"/>
        <w:jc w:val="both"/>
        <w:textAlignment w:val="baseline"/>
        <w:rPr>
          <w:rFonts w:ascii="Calibri" w:eastAsia="Calibri" w:hAnsi="Calibri" w:cs="Calibri"/>
        </w:rPr>
      </w:pPr>
      <w:r w:rsidRPr="00D376F1">
        <w:rPr>
          <w:rFonts w:ascii="Calibri" w:eastAsia="Calibri" w:hAnsi="Calibri" w:cs="Calibri"/>
        </w:rPr>
        <w:t>Grad Zagreb upravlja sustavom električne i plinske javne rasvjete koji objedinjuje oko 126 000 rasvjetnih tijela. Udio plinske javne rasvjete u ukupnoj strukturi javne rasvjete je gotovo zanemariv, a čitav sustav čini 214 javnih rasvjetnih tijela.</w:t>
      </w:r>
    </w:p>
    <w:p w14:paraId="471D29EA" w14:textId="77777777" w:rsidR="00832390" w:rsidRPr="00D376F1" w:rsidRDefault="00832390" w:rsidP="00E92750">
      <w:pPr>
        <w:suppressAutoHyphens/>
        <w:autoSpaceDN w:val="0"/>
        <w:spacing w:line="240" w:lineRule="auto"/>
        <w:jc w:val="both"/>
        <w:textAlignment w:val="baseline"/>
        <w:rPr>
          <w:rFonts w:ascii="Calibri" w:eastAsia="Calibri" w:hAnsi="Calibri" w:cs="Calibri"/>
        </w:rPr>
      </w:pPr>
      <w:r w:rsidRPr="00D376F1">
        <w:rPr>
          <w:rFonts w:ascii="Calibri" w:eastAsia="Calibri" w:hAnsi="Calibri" w:cs="Calibri"/>
        </w:rPr>
        <w:t xml:space="preserve">U 2015. godini u sektoru javne rasvjete Grada Zagreba potrošeno je 81 294 MWh električne energije </w:t>
      </w:r>
      <w:r w:rsidRPr="00D376F1">
        <w:t>te 304 860</w:t>
      </w:r>
      <w:r w:rsidRPr="00D376F1">
        <w:rPr>
          <w:rFonts w:ascii="Calibri" w:eastAsia="Calibri" w:hAnsi="Calibri" w:cs="Calibri"/>
        </w:rPr>
        <w:t xml:space="preserve"> m</w:t>
      </w:r>
      <w:r w:rsidRPr="00D376F1">
        <w:rPr>
          <w:rFonts w:ascii="Calibri" w:eastAsia="Calibri" w:hAnsi="Calibri" w:cs="Calibri"/>
          <w:vertAlign w:val="superscript"/>
        </w:rPr>
        <w:t>3</w:t>
      </w:r>
      <w:r w:rsidRPr="00D376F1">
        <w:rPr>
          <w:rFonts w:ascii="Calibri" w:eastAsia="Calibri" w:hAnsi="Calibri" w:cs="Calibri"/>
        </w:rPr>
        <w:t xml:space="preserve"> prirodnog plina.</w:t>
      </w:r>
    </w:p>
    <w:p w14:paraId="3AD4B67F" w14:textId="77777777" w:rsidR="0051541E" w:rsidRPr="00D376F1" w:rsidRDefault="0051541E" w:rsidP="00E92750">
      <w:pPr>
        <w:pStyle w:val="Heading2"/>
      </w:pPr>
      <w:bookmarkStart w:id="273" w:name="_Toc251052153"/>
      <w:bookmarkStart w:id="274" w:name="_Toc258238921"/>
      <w:bookmarkStart w:id="275" w:name="_Toc468345380"/>
      <w:bookmarkEnd w:id="273"/>
      <w:r w:rsidRPr="00D376F1">
        <w:t>Električna mreža javne rasvjete Grada Zagreba</w:t>
      </w:r>
      <w:bookmarkEnd w:id="274"/>
      <w:bookmarkEnd w:id="275"/>
    </w:p>
    <w:p w14:paraId="4719576D" w14:textId="2D02509A" w:rsidR="000E3CC3" w:rsidRPr="00D376F1" w:rsidRDefault="000E3CC3" w:rsidP="00E92750">
      <w:pPr>
        <w:pStyle w:val="Heading3"/>
        <w:spacing w:after="240" w:line="240" w:lineRule="auto"/>
        <w:jc w:val="both"/>
        <w:rPr>
          <w:rFonts w:eastAsia="Calibri"/>
        </w:rPr>
      </w:pPr>
      <w:bookmarkStart w:id="276" w:name="_Toc468345381"/>
      <w:r w:rsidRPr="00D376F1">
        <w:rPr>
          <w:rFonts w:eastAsia="Calibri"/>
        </w:rPr>
        <w:t>Struktura električne mreže javne rasvjete Grada Zagreba</w:t>
      </w:r>
      <w:bookmarkEnd w:id="276"/>
    </w:p>
    <w:p w14:paraId="05A5F899" w14:textId="51139A3A" w:rsidR="00832390" w:rsidRPr="00D376F1" w:rsidRDefault="00832390" w:rsidP="00E92750">
      <w:pPr>
        <w:suppressAutoHyphens/>
        <w:autoSpaceDN w:val="0"/>
        <w:spacing w:line="240" w:lineRule="auto"/>
        <w:jc w:val="both"/>
        <w:textAlignment w:val="baseline"/>
        <w:rPr>
          <w:rFonts w:ascii="Calibri" w:eastAsia="Calibri" w:hAnsi="Calibri" w:cs="Calibri"/>
        </w:rPr>
      </w:pPr>
      <w:r w:rsidRPr="00D376F1">
        <w:rPr>
          <w:rFonts w:ascii="Calibri" w:eastAsia="Calibri" w:hAnsi="Calibri" w:cs="Calibri"/>
        </w:rPr>
        <w:t>Mrežu javne rasvjete Grada Zagreba čine uređaji za napajanje, kabeli i vodovi, stupovi, nosači svjetiljki, svjetiljke,</w:t>
      </w:r>
      <w:r w:rsidR="00571AA1">
        <w:rPr>
          <w:rFonts w:ascii="Calibri" w:eastAsia="Calibri" w:hAnsi="Calibri" w:cs="Calibri"/>
        </w:rPr>
        <w:t xml:space="preserve"> izvori svjetlosti</w:t>
      </w:r>
      <w:r w:rsidRPr="00D376F1">
        <w:rPr>
          <w:rFonts w:ascii="Calibri" w:eastAsia="Calibri" w:hAnsi="Calibri" w:cs="Calibri"/>
        </w:rPr>
        <w:t xml:space="preserve"> te uređaji za upravljanje i regulaciju. </w:t>
      </w:r>
    </w:p>
    <w:p w14:paraId="4B3EAFB1" w14:textId="77777777" w:rsidR="00832390" w:rsidRPr="00D376F1" w:rsidRDefault="00832390" w:rsidP="00E92750">
      <w:pPr>
        <w:suppressAutoHyphens/>
        <w:autoSpaceDN w:val="0"/>
        <w:spacing w:line="240" w:lineRule="auto"/>
        <w:jc w:val="both"/>
        <w:textAlignment w:val="baseline"/>
        <w:rPr>
          <w:rFonts w:ascii="Calibri" w:eastAsia="Calibri" w:hAnsi="Calibri" w:cs="Calibri"/>
        </w:rPr>
      </w:pPr>
      <w:r w:rsidRPr="00D376F1">
        <w:rPr>
          <w:rFonts w:ascii="Calibri" w:eastAsia="Calibri" w:hAnsi="Calibri" w:cs="Calibri"/>
        </w:rPr>
        <w:t xml:space="preserve">Elementi sustava javne rasvjete imaju mrežnu strukturu, koja se naslanja na distribucijsku mrežu HEP-a. Sustav se sastoji od većeg broja izoliranih cjelina, mreža, koje počinju razvodom u trafostanici ili samostojećem ormaru javne rasvjete na 0,4 kV, a završavaju rasvjetnim tijelima. Topologija mreže ovisi o rasporedu i veličini gradskih cjelina te rasporedu obližnjih trafostanica ili razvodnih ormara </w:t>
      </w:r>
      <w:r w:rsidRPr="00D376F1">
        <w:rPr>
          <w:rFonts w:ascii="Calibri" w:eastAsia="Calibri" w:hAnsi="Calibri" w:cs="Calibri"/>
        </w:rPr>
        <w:lastRenderedPageBreak/>
        <w:t>distribucije. Jedan odcjep može pokrivati javnu rasvjetu jednog segmenta ili više cijelih ulica, trgova ili tunela.</w:t>
      </w:r>
    </w:p>
    <w:p w14:paraId="3EE6F64A" w14:textId="77777777" w:rsidR="00832390" w:rsidRPr="00D376F1" w:rsidRDefault="00832390" w:rsidP="00E92750">
      <w:pPr>
        <w:suppressAutoHyphens/>
        <w:autoSpaceDN w:val="0"/>
        <w:spacing w:line="240" w:lineRule="auto"/>
        <w:jc w:val="both"/>
        <w:textAlignment w:val="baseline"/>
        <w:rPr>
          <w:rFonts w:ascii="Calibri" w:eastAsia="Calibri" w:hAnsi="Calibri" w:cs="Calibri"/>
        </w:rPr>
      </w:pPr>
      <w:r w:rsidRPr="00D376F1">
        <w:rPr>
          <w:rFonts w:ascii="Calibri" w:eastAsia="Calibri" w:hAnsi="Calibri" w:cs="Calibri"/>
        </w:rPr>
        <w:t xml:space="preserve">Upravljanje sustavom javne rasvjete obavlja se iz centra HEP-a korištenjem mrežnog tonfrekvencijskog upravljanja (MTU) slanjem naredbe istovremeno na sve MTU prijemnike u trafostanicama ili razvodnim ormarima. Slanjem tonfrekventnog signala, istovremeno se pali ili gasi kompletna javna rasvjeta na području cijeloga Grada. Javna rasvjeta godišnje prosječno radi oko 4 200 sati ovisno o vremenskim prilikama. Na području Grada Zagreba postoji 2 001 obračunsko mjerno mjesto za javnu rasvjetu. </w:t>
      </w:r>
    </w:p>
    <w:p w14:paraId="6E14678B" w14:textId="6818F47E" w:rsidR="00832390" w:rsidRPr="00D376F1" w:rsidRDefault="00832390" w:rsidP="00E92750">
      <w:pPr>
        <w:suppressAutoHyphens/>
        <w:autoSpaceDN w:val="0"/>
        <w:spacing w:after="0" w:line="240" w:lineRule="auto"/>
        <w:jc w:val="both"/>
        <w:textAlignment w:val="baseline"/>
        <w:rPr>
          <w:rFonts w:eastAsia="Calibri" w:cstheme="minorHAnsi"/>
        </w:rPr>
      </w:pPr>
      <w:r w:rsidRPr="00D376F1">
        <w:rPr>
          <w:rFonts w:eastAsia="Calibri" w:cstheme="minorHAnsi"/>
        </w:rPr>
        <w:t xml:space="preserve">Električna javna rasvjeta Grada Zagreba obuhvaća oko 126 </w:t>
      </w:r>
      <w:r w:rsidR="006F678D">
        <w:rPr>
          <w:rFonts w:eastAsia="Calibri" w:cstheme="minorHAnsi"/>
        </w:rPr>
        <w:t>5</w:t>
      </w:r>
      <w:r w:rsidRPr="00D376F1">
        <w:rPr>
          <w:rFonts w:eastAsia="Calibri" w:cstheme="minorHAnsi"/>
        </w:rPr>
        <w:t>00 rasvjetnih tijela na ulicama i trgovima</w:t>
      </w:r>
      <w:r w:rsidR="00F2335D" w:rsidRPr="00D376F1">
        <w:rPr>
          <w:rFonts w:eastAsia="Calibri" w:cstheme="minorHAnsi"/>
        </w:rPr>
        <w:t xml:space="preserve"> Grada</w:t>
      </w:r>
      <w:r w:rsidRPr="00D376F1">
        <w:rPr>
          <w:rFonts w:eastAsia="Calibri" w:cstheme="minorHAnsi"/>
        </w:rPr>
        <w:t>:</w:t>
      </w:r>
    </w:p>
    <w:p w14:paraId="1FD543D2" w14:textId="03065E6E" w:rsidR="00832390" w:rsidRPr="00D376F1" w:rsidRDefault="000A79E1" w:rsidP="00EE7021">
      <w:pPr>
        <w:numPr>
          <w:ilvl w:val="0"/>
          <w:numId w:val="30"/>
        </w:numPr>
        <w:suppressAutoHyphens/>
        <w:autoSpaceDN w:val="0"/>
        <w:spacing w:after="0" w:line="240" w:lineRule="auto"/>
        <w:jc w:val="both"/>
        <w:textAlignment w:val="baseline"/>
        <w:rPr>
          <w:rFonts w:eastAsia="Calibri" w:cstheme="minorHAnsi"/>
        </w:rPr>
      </w:pPr>
      <w:r>
        <w:rPr>
          <w:rFonts w:eastAsia="Calibri" w:cstheme="minorHAnsi"/>
        </w:rPr>
        <w:t>Natrijevi</w:t>
      </w:r>
      <w:r w:rsidR="00832390" w:rsidRPr="00D376F1">
        <w:rPr>
          <w:rFonts w:eastAsia="Calibri" w:cstheme="minorHAnsi"/>
        </w:rPr>
        <w:t xml:space="preserve"> izvori svjetlosti: 125 000;</w:t>
      </w:r>
    </w:p>
    <w:p w14:paraId="5397A096" w14:textId="77777777" w:rsidR="00832390" w:rsidRPr="00D376F1" w:rsidRDefault="00832390" w:rsidP="00EE7021">
      <w:pPr>
        <w:numPr>
          <w:ilvl w:val="0"/>
          <w:numId w:val="29"/>
        </w:numPr>
        <w:suppressAutoHyphens/>
        <w:autoSpaceDN w:val="0"/>
        <w:spacing w:after="0" w:line="240" w:lineRule="auto"/>
        <w:jc w:val="both"/>
        <w:textAlignment w:val="baseline"/>
        <w:rPr>
          <w:rFonts w:eastAsia="Calibri" w:cstheme="minorHAnsi"/>
        </w:rPr>
      </w:pPr>
      <w:r w:rsidRPr="00D376F1">
        <w:rPr>
          <w:rFonts w:eastAsia="Calibri" w:cstheme="minorHAnsi"/>
        </w:rPr>
        <w:t>Metalhalogeni izvori svjetlosti: 1 000 i</w:t>
      </w:r>
    </w:p>
    <w:p w14:paraId="7AF87766" w14:textId="77777777" w:rsidR="00832390" w:rsidRPr="00D376F1" w:rsidRDefault="00832390" w:rsidP="00EE7021">
      <w:pPr>
        <w:numPr>
          <w:ilvl w:val="0"/>
          <w:numId w:val="29"/>
        </w:numPr>
        <w:suppressAutoHyphens/>
        <w:autoSpaceDN w:val="0"/>
        <w:spacing w:line="240" w:lineRule="auto"/>
        <w:ind w:left="714" w:hanging="357"/>
        <w:jc w:val="both"/>
        <w:textAlignment w:val="baseline"/>
        <w:rPr>
          <w:rFonts w:eastAsia="Calibri" w:cstheme="minorHAnsi"/>
        </w:rPr>
      </w:pPr>
      <w:r w:rsidRPr="00D376F1">
        <w:rPr>
          <w:rFonts w:eastAsia="Calibri" w:cstheme="minorHAnsi"/>
        </w:rPr>
        <w:t>LED: 500.</w:t>
      </w:r>
    </w:p>
    <w:p w14:paraId="29098D40" w14:textId="77D4B28E" w:rsidR="00832390" w:rsidRPr="00D376F1" w:rsidRDefault="00832390" w:rsidP="00E92750">
      <w:pPr>
        <w:suppressAutoHyphens/>
        <w:autoSpaceDN w:val="0"/>
        <w:spacing w:line="240" w:lineRule="auto"/>
        <w:jc w:val="both"/>
        <w:textAlignment w:val="baseline"/>
        <w:rPr>
          <w:rFonts w:ascii="Calibri" w:eastAsia="Calibri" w:hAnsi="Calibri" w:cs="Calibri"/>
        </w:rPr>
      </w:pPr>
      <w:r w:rsidRPr="00D376F1">
        <w:rPr>
          <w:rFonts w:ascii="Calibri" w:eastAsia="Calibri" w:hAnsi="Calibri" w:cs="Calibri"/>
        </w:rPr>
        <w:t xml:space="preserve">Prikaz strukture električne javne rasvjete Grada Zagreba prema vrsti </w:t>
      </w:r>
      <w:r w:rsidR="00EC7EB2" w:rsidRPr="00D376F1">
        <w:rPr>
          <w:rFonts w:ascii="Calibri" w:eastAsia="Calibri" w:hAnsi="Calibri" w:cs="Calibri"/>
        </w:rPr>
        <w:t>rasvjetnih tijela</w:t>
      </w:r>
      <w:r w:rsidR="00684A64">
        <w:rPr>
          <w:rFonts w:ascii="Calibri" w:eastAsia="Calibri" w:hAnsi="Calibri" w:cs="Calibri"/>
        </w:rPr>
        <w:t xml:space="preserve"> dan je i grafički u nastavku, </w:t>
      </w:r>
      <w:r w:rsidRPr="00D376F1">
        <w:rPr>
          <w:rFonts w:ascii="Calibri" w:eastAsia="Calibri" w:hAnsi="Calibri" w:cs="Calibri"/>
        </w:rPr>
        <w:fldChar w:fldCharType="begin"/>
      </w:r>
      <w:r w:rsidRPr="00D376F1">
        <w:rPr>
          <w:rFonts w:ascii="Calibri" w:eastAsia="Calibri" w:hAnsi="Calibri" w:cs="Calibri"/>
        </w:rPr>
        <w:instrText xml:space="preserve"> REF _Ref463265018 \h  \* MERGEFORMAT </w:instrText>
      </w:r>
      <w:r w:rsidRPr="00D376F1">
        <w:rPr>
          <w:rFonts w:ascii="Calibri" w:eastAsia="Calibri" w:hAnsi="Calibri" w:cs="Calibri"/>
        </w:rPr>
      </w:r>
      <w:r w:rsidRPr="00D376F1">
        <w:rPr>
          <w:rFonts w:ascii="Calibri" w:eastAsia="Calibri" w:hAnsi="Calibri" w:cs="Calibri"/>
        </w:rPr>
        <w:fldChar w:fldCharType="separate"/>
      </w:r>
      <w:r w:rsidR="009C319B" w:rsidRPr="00A94C1B">
        <w:rPr>
          <w:rFonts w:ascii="Calibri" w:eastAsia="Calibri" w:hAnsi="Calibri" w:cs="Times New Roman"/>
          <w:b/>
          <w:bCs/>
        </w:rPr>
        <w:t xml:space="preserve">Slika </w:t>
      </w:r>
      <w:r w:rsidR="009C319B">
        <w:rPr>
          <w:rFonts w:ascii="Calibri" w:eastAsia="Calibri" w:hAnsi="Calibri" w:cs="Times New Roman"/>
          <w:b/>
          <w:bCs/>
          <w:noProof/>
        </w:rPr>
        <w:t>6</w:t>
      </w:r>
      <w:r w:rsidR="009C319B" w:rsidRPr="00A94C1B">
        <w:rPr>
          <w:rFonts w:ascii="Calibri" w:eastAsia="Calibri" w:hAnsi="Calibri" w:cs="Times New Roman"/>
          <w:b/>
          <w:bCs/>
          <w:noProof/>
        </w:rPr>
        <w:t>.</w:t>
      </w:r>
      <w:r w:rsidR="009C319B">
        <w:rPr>
          <w:rFonts w:ascii="Calibri" w:eastAsia="Calibri" w:hAnsi="Calibri" w:cs="Times New Roman"/>
          <w:b/>
          <w:bCs/>
          <w:noProof/>
        </w:rPr>
        <w:t>1</w:t>
      </w:r>
      <w:r w:rsidRPr="00D376F1">
        <w:rPr>
          <w:rFonts w:ascii="Calibri" w:eastAsia="Calibri" w:hAnsi="Calibri" w:cs="Calibri"/>
        </w:rPr>
        <w:fldChar w:fldCharType="end"/>
      </w:r>
      <w:r w:rsidRPr="00D376F1">
        <w:rPr>
          <w:rFonts w:ascii="Calibri" w:eastAsia="Calibri" w:hAnsi="Calibri" w:cs="Calibri"/>
        </w:rPr>
        <w:t>.</w:t>
      </w:r>
    </w:p>
    <w:p w14:paraId="6E7C9A34" w14:textId="77777777" w:rsidR="00832390" w:rsidRPr="00D376F1" w:rsidRDefault="00832390" w:rsidP="00E92750">
      <w:pPr>
        <w:suppressAutoHyphens/>
        <w:autoSpaceDN w:val="0"/>
        <w:spacing w:after="0" w:line="240" w:lineRule="auto"/>
        <w:jc w:val="center"/>
        <w:textAlignment w:val="baseline"/>
        <w:rPr>
          <w:rFonts w:ascii="Calibri" w:eastAsia="Calibri" w:hAnsi="Calibri" w:cs="Times New Roman"/>
        </w:rPr>
      </w:pPr>
      <w:r w:rsidRPr="00D376F1">
        <w:rPr>
          <w:rFonts w:ascii="Calibri" w:eastAsia="Calibri" w:hAnsi="Calibri" w:cs="Times New Roman"/>
          <w:noProof/>
          <w:lang w:eastAsia="hr-HR"/>
        </w:rPr>
        <w:drawing>
          <wp:inline distT="0" distB="0" distL="0" distR="0" wp14:anchorId="6D411B0F" wp14:editId="6E18D362">
            <wp:extent cx="4543425" cy="30670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D34A172" w14:textId="2AF3DE40" w:rsidR="00832390" w:rsidRPr="00A94C1B" w:rsidRDefault="00832390" w:rsidP="00E92750">
      <w:pPr>
        <w:suppressAutoHyphens/>
        <w:autoSpaceDN w:val="0"/>
        <w:spacing w:line="240" w:lineRule="auto"/>
        <w:ind w:left="720"/>
        <w:jc w:val="center"/>
        <w:textAlignment w:val="baseline"/>
        <w:rPr>
          <w:rFonts w:ascii="Calibri" w:eastAsia="Calibri" w:hAnsi="Calibri" w:cs="Times New Roman"/>
        </w:rPr>
      </w:pPr>
      <w:bookmarkStart w:id="277" w:name="_Ref463265018"/>
      <w:bookmarkStart w:id="278" w:name="_Toc468277465"/>
      <w:r w:rsidRPr="00A94C1B">
        <w:rPr>
          <w:rFonts w:ascii="Calibri" w:eastAsia="Calibri" w:hAnsi="Calibri" w:cs="Times New Roman"/>
          <w:b/>
          <w:bCs/>
        </w:rPr>
        <w:t xml:space="preserve">Slika </w:t>
      </w:r>
      <w:r w:rsidRPr="00A94C1B">
        <w:rPr>
          <w:rFonts w:ascii="Calibri" w:eastAsia="Calibri" w:hAnsi="Calibri" w:cs="Times New Roman"/>
          <w:b/>
          <w:bCs/>
        </w:rPr>
        <w:fldChar w:fldCharType="begin"/>
      </w:r>
      <w:r w:rsidRPr="00A94C1B">
        <w:rPr>
          <w:rFonts w:ascii="Calibri" w:eastAsia="Calibri" w:hAnsi="Calibri" w:cs="Times New Roman"/>
          <w:b/>
          <w:bCs/>
        </w:rPr>
        <w:instrText xml:space="preserve"> STYLEREF 1 \s </w:instrText>
      </w:r>
      <w:r w:rsidRPr="00A94C1B">
        <w:rPr>
          <w:rFonts w:ascii="Calibri" w:eastAsia="Calibri" w:hAnsi="Calibri" w:cs="Times New Roman"/>
          <w:b/>
          <w:bCs/>
        </w:rPr>
        <w:fldChar w:fldCharType="separate"/>
      </w:r>
      <w:r w:rsidR="009C319B">
        <w:rPr>
          <w:rFonts w:ascii="Calibri" w:eastAsia="Calibri" w:hAnsi="Calibri" w:cs="Times New Roman"/>
          <w:b/>
          <w:bCs/>
          <w:noProof/>
        </w:rPr>
        <w:t>6</w:t>
      </w:r>
      <w:r w:rsidRPr="00A94C1B">
        <w:rPr>
          <w:rFonts w:ascii="Calibri" w:eastAsia="Calibri" w:hAnsi="Calibri" w:cs="Times New Roman"/>
          <w:b/>
          <w:bCs/>
        </w:rPr>
        <w:fldChar w:fldCharType="end"/>
      </w:r>
      <w:r w:rsidRPr="00A94C1B">
        <w:rPr>
          <w:rFonts w:ascii="Calibri" w:eastAsia="Calibri" w:hAnsi="Calibri" w:cs="Times New Roman"/>
          <w:b/>
          <w:bCs/>
        </w:rPr>
        <w:t>.</w:t>
      </w:r>
      <w:r w:rsidRPr="00A94C1B">
        <w:rPr>
          <w:rFonts w:ascii="Calibri" w:eastAsia="Calibri" w:hAnsi="Calibri" w:cs="Times New Roman"/>
          <w:b/>
          <w:bCs/>
        </w:rPr>
        <w:fldChar w:fldCharType="begin"/>
      </w:r>
      <w:r w:rsidRPr="00A94C1B">
        <w:rPr>
          <w:rFonts w:ascii="Calibri" w:eastAsia="Calibri" w:hAnsi="Calibri" w:cs="Times New Roman"/>
          <w:b/>
          <w:bCs/>
        </w:rPr>
        <w:instrText xml:space="preserve"> SEQ Slika \* ARABIC \s 1 </w:instrText>
      </w:r>
      <w:r w:rsidRPr="00A94C1B">
        <w:rPr>
          <w:rFonts w:ascii="Calibri" w:eastAsia="Calibri" w:hAnsi="Calibri" w:cs="Times New Roman"/>
          <w:b/>
          <w:bCs/>
        </w:rPr>
        <w:fldChar w:fldCharType="separate"/>
      </w:r>
      <w:r w:rsidR="009C319B">
        <w:rPr>
          <w:rFonts w:ascii="Calibri" w:eastAsia="Calibri" w:hAnsi="Calibri" w:cs="Times New Roman"/>
          <w:b/>
          <w:bCs/>
          <w:noProof/>
        </w:rPr>
        <w:t>1</w:t>
      </w:r>
      <w:r w:rsidRPr="00A94C1B">
        <w:rPr>
          <w:rFonts w:ascii="Calibri" w:eastAsia="Calibri" w:hAnsi="Calibri" w:cs="Times New Roman"/>
          <w:b/>
          <w:bCs/>
        </w:rPr>
        <w:fldChar w:fldCharType="end"/>
      </w:r>
      <w:bookmarkEnd w:id="277"/>
      <w:r w:rsidRPr="00A94C1B">
        <w:rPr>
          <w:rFonts w:ascii="Calibri" w:eastAsia="Calibri" w:hAnsi="Calibri" w:cs="Times New Roman"/>
          <w:b/>
        </w:rPr>
        <w:t xml:space="preserve"> </w:t>
      </w:r>
      <w:r w:rsidRPr="00A94C1B">
        <w:rPr>
          <w:rFonts w:ascii="Calibri" w:eastAsia="Calibri" w:hAnsi="Calibri" w:cs="Times New Roman"/>
        </w:rPr>
        <w:t>Struktura javne rasvjete prema vrsti rasvjetnih tijela</w:t>
      </w:r>
      <w:bookmarkEnd w:id="278"/>
    </w:p>
    <w:p w14:paraId="27F5F023" w14:textId="77777777" w:rsidR="00F2335D" w:rsidRPr="00D376F1" w:rsidRDefault="00F2335D" w:rsidP="00E92750">
      <w:pPr>
        <w:suppressAutoHyphens/>
        <w:autoSpaceDN w:val="0"/>
        <w:spacing w:line="240" w:lineRule="auto"/>
        <w:ind w:left="720"/>
        <w:jc w:val="center"/>
        <w:textAlignment w:val="baseline"/>
        <w:rPr>
          <w:rFonts w:ascii="Calibri" w:eastAsia="Calibri" w:hAnsi="Calibri" w:cs="Times New Roman"/>
          <w:sz w:val="20"/>
          <w:szCs w:val="20"/>
        </w:rPr>
      </w:pPr>
    </w:p>
    <w:p w14:paraId="210A44E2" w14:textId="77777777" w:rsidR="00F2335D" w:rsidRPr="00D376F1" w:rsidRDefault="00F2335D" w:rsidP="00E92750">
      <w:pPr>
        <w:suppressAutoHyphens/>
        <w:autoSpaceDN w:val="0"/>
        <w:spacing w:line="240" w:lineRule="auto"/>
        <w:ind w:left="720"/>
        <w:jc w:val="center"/>
        <w:textAlignment w:val="baseline"/>
        <w:rPr>
          <w:rFonts w:ascii="Calibri" w:eastAsia="Calibri" w:hAnsi="Calibri" w:cs="Times New Roman"/>
          <w:sz w:val="20"/>
          <w:szCs w:val="20"/>
        </w:rPr>
      </w:pPr>
    </w:p>
    <w:p w14:paraId="1450D853" w14:textId="77777777" w:rsidR="00507514" w:rsidRPr="00D376F1" w:rsidRDefault="00507514" w:rsidP="00E92750">
      <w:pPr>
        <w:suppressAutoHyphens/>
        <w:autoSpaceDN w:val="0"/>
        <w:spacing w:line="240" w:lineRule="auto"/>
        <w:ind w:left="720"/>
        <w:jc w:val="center"/>
        <w:textAlignment w:val="baseline"/>
        <w:rPr>
          <w:rFonts w:ascii="Calibri" w:eastAsia="Calibri" w:hAnsi="Calibri" w:cs="Times New Roman"/>
          <w:sz w:val="20"/>
          <w:szCs w:val="20"/>
        </w:rPr>
      </w:pPr>
    </w:p>
    <w:p w14:paraId="22016799" w14:textId="77777777" w:rsidR="00F2335D" w:rsidRPr="00D376F1" w:rsidRDefault="00F2335D" w:rsidP="00E92750">
      <w:pPr>
        <w:suppressAutoHyphens/>
        <w:autoSpaceDN w:val="0"/>
        <w:spacing w:line="240" w:lineRule="auto"/>
        <w:ind w:left="720"/>
        <w:jc w:val="center"/>
        <w:textAlignment w:val="baseline"/>
        <w:rPr>
          <w:rFonts w:ascii="Calibri" w:eastAsia="Calibri" w:hAnsi="Calibri" w:cs="Times New Roman"/>
          <w:sz w:val="20"/>
          <w:szCs w:val="20"/>
        </w:rPr>
      </w:pPr>
    </w:p>
    <w:p w14:paraId="2AF015BA" w14:textId="77777777" w:rsidR="00F2335D" w:rsidRPr="00D376F1" w:rsidRDefault="00F2335D" w:rsidP="00E92750">
      <w:pPr>
        <w:suppressAutoHyphens/>
        <w:autoSpaceDN w:val="0"/>
        <w:spacing w:line="240" w:lineRule="auto"/>
        <w:ind w:left="720"/>
        <w:jc w:val="center"/>
        <w:textAlignment w:val="baseline"/>
        <w:rPr>
          <w:rFonts w:ascii="Calibri" w:eastAsia="Calibri" w:hAnsi="Calibri" w:cs="Times New Roman"/>
          <w:sz w:val="20"/>
          <w:szCs w:val="20"/>
        </w:rPr>
      </w:pPr>
    </w:p>
    <w:p w14:paraId="577E3C70" w14:textId="77777777" w:rsidR="00F2335D" w:rsidRPr="00D376F1" w:rsidRDefault="00F2335D" w:rsidP="00E92750">
      <w:pPr>
        <w:suppressAutoHyphens/>
        <w:autoSpaceDN w:val="0"/>
        <w:spacing w:line="240" w:lineRule="auto"/>
        <w:ind w:left="720"/>
        <w:jc w:val="center"/>
        <w:textAlignment w:val="baseline"/>
        <w:rPr>
          <w:rFonts w:ascii="Calibri" w:eastAsia="Calibri" w:hAnsi="Calibri" w:cs="Times New Roman"/>
          <w:sz w:val="20"/>
          <w:szCs w:val="20"/>
        </w:rPr>
      </w:pPr>
    </w:p>
    <w:p w14:paraId="4D99655E" w14:textId="62AC8032" w:rsidR="0051541E" w:rsidRPr="00D376F1" w:rsidRDefault="0051541E" w:rsidP="00A73F46">
      <w:pPr>
        <w:pStyle w:val="Heading3"/>
        <w:rPr>
          <w:lang w:eastAsia="hr-HR"/>
        </w:rPr>
      </w:pPr>
      <w:bookmarkStart w:id="279" w:name="_Toc258238923"/>
      <w:bookmarkStart w:id="280" w:name="_Toc468345382"/>
      <w:r w:rsidRPr="00D376F1">
        <w:rPr>
          <w:lang w:eastAsia="hr-HR"/>
        </w:rPr>
        <w:lastRenderedPageBreak/>
        <w:t xml:space="preserve">Potrošnja </w:t>
      </w:r>
      <w:r w:rsidR="0088737D" w:rsidRPr="00D376F1">
        <w:rPr>
          <w:lang w:eastAsia="hr-HR"/>
        </w:rPr>
        <w:t xml:space="preserve">i trošak </w:t>
      </w:r>
      <w:r w:rsidRPr="00D376F1">
        <w:rPr>
          <w:lang w:eastAsia="hr-HR"/>
        </w:rPr>
        <w:t xml:space="preserve">električne energije </w:t>
      </w:r>
      <w:r w:rsidR="0088737D" w:rsidRPr="00D376F1">
        <w:rPr>
          <w:lang w:eastAsia="hr-HR"/>
        </w:rPr>
        <w:t>sektora</w:t>
      </w:r>
      <w:r w:rsidRPr="00D376F1">
        <w:rPr>
          <w:lang w:eastAsia="hr-HR"/>
        </w:rPr>
        <w:t xml:space="preserve"> javne rasvjete Grada Zagreba</w:t>
      </w:r>
      <w:bookmarkEnd w:id="279"/>
      <w:bookmarkEnd w:id="280"/>
    </w:p>
    <w:p w14:paraId="10D2B00D" w14:textId="6DE94975" w:rsidR="0051541E" w:rsidRPr="00D376F1" w:rsidRDefault="0051541E" w:rsidP="00E92750">
      <w:pPr>
        <w:spacing w:before="100" w:beforeAutospacing="1" w:line="240" w:lineRule="auto"/>
        <w:jc w:val="both"/>
        <w:rPr>
          <w:rFonts w:eastAsia="Calibri" w:cstheme="minorHAnsi"/>
        </w:rPr>
      </w:pPr>
      <w:r w:rsidRPr="00D376F1">
        <w:rPr>
          <w:rFonts w:eastAsia="Calibri" w:cstheme="minorHAnsi"/>
        </w:rPr>
        <w:t xml:space="preserve">Za napajanje sustava </w:t>
      </w:r>
      <w:r w:rsidR="00F2335D" w:rsidRPr="00D376F1">
        <w:rPr>
          <w:rFonts w:eastAsia="Calibri" w:cstheme="minorHAnsi"/>
        </w:rPr>
        <w:t>električne javne rasvjete u 2015</w:t>
      </w:r>
      <w:r w:rsidRPr="00D376F1">
        <w:rPr>
          <w:rFonts w:eastAsia="Calibri" w:cstheme="minorHAnsi"/>
        </w:rPr>
        <w:t xml:space="preserve">. godine utrošeno je </w:t>
      </w:r>
      <w:r w:rsidR="00F2335D" w:rsidRPr="00D376F1">
        <w:rPr>
          <w:rFonts w:eastAsia="Calibri" w:cstheme="minorHAnsi"/>
        </w:rPr>
        <w:t>81 294</w:t>
      </w:r>
      <w:r w:rsidRPr="00D376F1">
        <w:rPr>
          <w:rFonts w:eastAsia="Calibri" w:cstheme="minorHAnsi"/>
        </w:rPr>
        <w:t xml:space="preserve"> MWh električne energije. Pregled </w:t>
      </w:r>
      <w:r w:rsidR="00F2335D" w:rsidRPr="00D376F1">
        <w:rPr>
          <w:rFonts w:eastAsia="Calibri" w:cstheme="minorHAnsi"/>
        </w:rPr>
        <w:t xml:space="preserve">trenda </w:t>
      </w:r>
      <w:r w:rsidRPr="00D376F1">
        <w:rPr>
          <w:rFonts w:eastAsia="Calibri" w:cstheme="minorHAnsi"/>
        </w:rPr>
        <w:t>potrošnje električne energije sustava javne rasvjete</w:t>
      </w:r>
      <w:r w:rsidR="00F2335D" w:rsidRPr="00D376F1">
        <w:rPr>
          <w:rFonts w:eastAsia="Calibri" w:cstheme="minorHAnsi"/>
        </w:rPr>
        <w:t xml:space="preserve"> u vremenskom periodu od 2008. do 2015.</w:t>
      </w:r>
      <w:r w:rsidR="00472496">
        <w:rPr>
          <w:rFonts w:eastAsia="Calibri" w:cstheme="minorHAnsi"/>
        </w:rPr>
        <w:t xml:space="preserve"> godine prikazan je u nastavku, </w:t>
      </w:r>
      <w:r w:rsidR="00F2335D" w:rsidRPr="00D376F1">
        <w:rPr>
          <w:rFonts w:eastAsia="Calibri" w:cstheme="minorHAnsi"/>
        </w:rPr>
        <w:fldChar w:fldCharType="begin"/>
      </w:r>
      <w:r w:rsidR="00F2335D" w:rsidRPr="00D376F1">
        <w:rPr>
          <w:rFonts w:eastAsia="Calibri" w:cstheme="minorHAnsi"/>
        </w:rPr>
        <w:instrText xml:space="preserve"> REF _Ref463345182 \h  \* MERGEFORMAT </w:instrText>
      </w:r>
      <w:r w:rsidR="00F2335D" w:rsidRPr="00D376F1">
        <w:rPr>
          <w:rFonts w:eastAsia="Calibri" w:cstheme="minorHAnsi"/>
        </w:rPr>
      </w:r>
      <w:r w:rsidR="00F2335D" w:rsidRPr="00D376F1">
        <w:rPr>
          <w:rFonts w:eastAsia="Calibri" w:cstheme="minorHAnsi"/>
        </w:rPr>
        <w:fldChar w:fldCharType="separate"/>
      </w:r>
      <w:r w:rsidR="009C319B" w:rsidRPr="009C319B">
        <w:rPr>
          <w:rFonts w:ascii="Calibri" w:eastAsia="Calibri" w:hAnsi="Calibri" w:cs="Times New Roman"/>
          <w:b/>
          <w:bCs/>
        </w:rPr>
        <w:t xml:space="preserve">Slika </w:t>
      </w:r>
      <w:r w:rsidR="009C319B" w:rsidRPr="009C319B">
        <w:rPr>
          <w:rFonts w:ascii="Calibri" w:eastAsia="Calibri" w:hAnsi="Calibri" w:cs="Times New Roman"/>
          <w:b/>
          <w:bCs/>
          <w:noProof/>
        </w:rPr>
        <w:t>6.2</w:t>
      </w:r>
      <w:r w:rsidR="00F2335D" w:rsidRPr="00D376F1">
        <w:rPr>
          <w:rFonts w:eastAsia="Calibri" w:cstheme="minorHAnsi"/>
        </w:rPr>
        <w:fldChar w:fldCharType="end"/>
      </w:r>
      <w:r w:rsidRPr="00D376F1">
        <w:rPr>
          <w:rFonts w:eastAsia="Calibri" w:cstheme="minorHAnsi"/>
        </w:rPr>
        <w:t>.</w:t>
      </w:r>
    </w:p>
    <w:p w14:paraId="2F1BE08B" w14:textId="25242954" w:rsidR="0051541E" w:rsidRPr="00D376F1" w:rsidRDefault="00F2335D" w:rsidP="00E92750">
      <w:pPr>
        <w:spacing w:after="0" w:line="240" w:lineRule="auto"/>
        <w:jc w:val="center"/>
        <w:rPr>
          <w:rFonts w:ascii="Century Gothic" w:eastAsia="Calibri" w:hAnsi="Century Gothic" w:cs="Times New Roman"/>
          <w:noProof/>
          <w:lang w:eastAsia="hr-HR"/>
        </w:rPr>
      </w:pPr>
      <w:r w:rsidRPr="00D376F1">
        <w:rPr>
          <w:noProof/>
          <w:lang w:eastAsia="hr-HR"/>
        </w:rPr>
        <w:drawing>
          <wp:inline distT="0" distB="0" distL="0" distR="0" wp14:anchorId="775253C7" wp14:editId="561F20E2">
            <wp:extent cx="5495925" cy="305752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B82014C" w14:textId="7F3CBCAF" w:rsidR="0051541E" w:rsidRPr="00882DAD" w:rsidRDefault="00F2335D" w:rsidP="00E92750">
      <w:pPr>
        <w:spacing w:line="240" w:lineRule="auto"/>
        <w:jc w:val="center"/>
        <w:rPr>
          <w:rFonts w:eastAsia="Times New Roman" w:cstheme="minorHAnsi"/>
          <w:iCs/>
        </w:rPr>
      </w:pPr>
      <w:bookmarkStart w:id="281" w:name="_Ref463345182"/>
      <w:bookmarkStart w:id="282" w:name="_Toc468277466"/>
      <w:r w:rsidRPr="00882DAD">
        <w:rPr>
          <w:rFonts w:eastAsia="Calibri" w:cstheme="minorHAnsi"/>
          <w:b/>
          <w:bCs/>
        </w:rPr>
        <w:t xml:space="preserve">Slika </w:t>
      </w:r>
      <w:r w:rsidRPr="00882DAD">
        <w:rPr>
          <w:rFonts w:eastAsia="Calibri" w:cstheme="minorHAnsi"/>
          <w:b/>
          <w:bCs/>
        </w:rPr>
        <w:fldChar w:fldCharType="begin"/>
      </w:r>
      <w:r w:rsidRPr="00882DAD">
        <w:rPr>
          <w:rFonts w:eastAsia="Calibri" w:cstheme="minorHAnsi"/>
          <w:b/>
          <w:bCs/>
        </w:rPr>
        <w:instrText xml:space="preserve"> STYLEREF 1 \s </w:instrText>
      </w:r>
      <w:r w:rsidRPr="00882DAD">
        <w:rPr>
          <w:rFonts w:eastAsia="Calibri" w:cstheme="minorHAnsi"/>
          <w:b/>
          <w:bCs/>
        </w:rPr>
        <w:fldChar w:fldCharType="separate"/>
      </w:r>
      <w:r w:rsidR="009C319B" w:rsidRPr="00882DAD">
        <w:rPr>
          <w:rFonts w:eastAsia="Calibri" w:cstheme="minorHAnsi"/>
          <w:b/>
          <w:bCs/>
          <w:noProof/>
        </w:rPr>
        <w:t>6</w:t>
      </w:r>
      <w:r w:rsidRPr="00882DAD">
        <w:rPr>
          <w:rFonts w:eastAsia="Calibri" w:cstheme="minorHAnsi"/>
          <w:b/>
          <w:bCs/>
        </w:rPr>
        <w:fldChar w:fldCharType="end"/>
      </w:r>
      <w:r w:rsidRPr="00882DAD">
        <w:rPr>
          <w:rFonts w:eastAsia="Calibri" w:cstheme="minorHAnsi"/>
          <w:b/>
          <w:bCs/>
        </w:rPr>
        <w:t>.</w:t>
      </w:r>
      <w:r w:rsidRPr="00882DAD">
        <w:rPr>
          <w:rFonts w:eastAsia="Calibri" w:cstheme="minorHAnsi"/>
          <w:b/>
          <w:bCs/>
        </w:rPr>
        <w:fldChar w:fldCharType="begin"/>
      </w:r>
      <w:r w:rsidRPr="00882DAD">
        <w:rPr>
          <w:rFonts w:eastAsia="Calibri" w:cstheme="minorHAnsi"/>
          <w:b/>
          <w:bCs/>
        </w:rPr>
        <w:instrText xml:space="preserve"> SEQ Slika \* ARABIC \s 1 </w:instrText>
      </w:r>
      <w:r w:rsidRPr="00882DAD">
        <w:rPr>
          <w:rFonts w:eastAsia="Calibri" w:cstheme="minorHAnsi"/>
          <w:b/>
          <w:bCs/>
        </w:rPr>
        <w:fldChar w:fldCharType="separate"/>
      </w:r>
      <w:r w:rsidR="009C319B" w:rsidRPr="00882DAD">
        <w:rPr>
          <w:rFonts w:eastAsia="Calibri" w:cstheme="minorHAnsi"/>
          <w:b/>
          <w:bCs/>
          <w:noProof/>
        </w:rPr>
        <w:t>2</w:t>
      </w:r>
      <w:r w:rsidRPr="00882DAD">
        <w:rPr>
          <w:rFonts w:eastAsia="Calibri" w:cstheme="minorHAnsi"/>
          <w:b/>
          <w:bCs/>
        </w:rPr>
        <w:fldChar w:fldCharType="end"/>
      </w:r>
      <w:bookmarkStart w:id="283" w:name="_Toc258239047"/>
      <w:bookmarkEnd w:id="281"/>
      <w:r w:rsidRPr="00882DAD">
        <w:rPr>
          <w:rFonts w:eastAsia="Calibri" w:cstheme="minorHAnsi"/>
          <w:noProof/>
          <w:lang w:eastAsia="hr-HR"/>
        </w:rPr>
        <w:t xml:space="preserve"> Trend </w:t>
      </w:r>
      <w:r w:rsidRPr="00882DAD">
        <w:rPr>
          <w:rFonts w:eastAsia="Times New Roman" w:cstheme="minorHAnsi"/>
          <w:iCs/>
        </w:rPr>
        <w:t>potrošnje</w:t>
      </w:r>
      <w:r w:rsidR="0051541E" w:rsidRPr="00882DAD">
        <w:rPr>
          <w:rFonts w:eastAsia="Times New Roman" w:cstheme="minorHAnsi"/>
          <w:iCs/>
        </w:rPr>
        <w:t xml:space="preserve"> električne energije sustava javne rasvjete</w:t>
      </w:r>
      <w:bookmarkEnd w:id="282"/>
      <w:bookmarkEnd w:id="283"/>
    </w:p>
    <w:p w14:paraId="5811E466" w14:textId="1E9B94B3" w:rsidR="00064A8F" w:rsidRPr="00D376F1" w:rsidRDefault="00507514" w:rsidP="00E92750">
      <w:pPr>
        <w:suppressAutoHyphens/>
        <w:autoSpaceDN w:val="0"/>
        <w:spacing w:line="240" w:lineRule="auto"/>
        <w:jc w:val="both"/>
        <w:textAlignment w:val="baseline"/>
        <w:rPr>
          <w:rFonts w:eastAsia="Times New Roman" w:cstheme="minorHAnsi"/>
          <w:iCs/>
        </w:rPr>
      </w:pPr>
      <w:r w:rsidRPr="00D376F1">
        <w:rPr>
          <w:rFonts w:ascii="Calibri" w:eastAsia="Calibri" w:hAnsi="Calibri" w:cs="Calibri"/>
        </w:rPr>
        <w:t xml:space="preserve">Ukupan trošak električne energije u sustavu javne rasvjete (PDV uključen) u 2015. godini iznosio je 60 959 173,45 HRK. </w:t>
      </w:r>
      <w:r w:rsidR="008679B1" w:rsidRPr="00D376F1">
        <w:rPr>
          <w:rFonts w:ascii="Calibri" w:eastAsia="Calibri" w:hAnsi="Calibri" w:cs="Calibri"/>
        </w:rPr>
        <w:t>Prikaz</w:t>
      </w:r>
      <w:r w:rsidR="00064A8F" w:rsidRPr="00D376F1">
        <w:rPr>
          <w:rFonts w:eastAsia="Times New Roman" w:cstheme="minorHAnsi"/>
          <w:iCs/>
        </w:rPr>
        <w:t xml:space="preserve"> troška za električnu energiju u sustavu javne rasvjete za </w:t>
      </w:r>
      <w:r w:rsidR="008679B1" w:rsidRPr="00D376F1">
        <w:rPr>
          <w:rFonts w:eastAsia="Times New Roman" w:cstheme="minorHAnsi"/>
          <w:iCs/>
        </w:rPr>
        <w:t xml:space="preserve">vremenski </w:t>
      </w:r>
      <w:r w:rsidR="00064A8F" w:rsidRPr="00D376F1">
        <w:rPr>
          <w:rFonts w:eastAsia="Times New Roman" w:cstheme="minorHAnsi"/>
          <w:iCs/>
        </w:rPr>
        <w:t>period 2010.-2015. godine</w:t>
      </w:r>
      <w:r w:rsidR="00472496">
        <w:rPr>
          <w:rFonts w:eastAsia="Times New Roman" w:cstheme="minorHAnsi"/>
          <w:iCs/>
        </w:rPr>
        <w:t xml:space="preserve"> dan je u nastavku, </w:t>
      </w:r>
      <w:r w:rsidR="00064A8F" w:rsidRPr="00D376F1">
        <w:rPr>
          <w:rFonts w:eastAsia="Times New Roman" w:cstheme="minorHAnsi"/>
          <w:iCs/>
        </w:rPr>
        <w:fldChar w:fldCharType="begin"/>
      </w:r>
      <w:r w:rsidR="00064A8F" w:rsidRPr="00D376F1">
        <w:rPr>
          <w:rFonts w:eastAsia="Times New Roman" w:cstheme="minorHAnsi"/>
          <w:iCs/>
        </w:rPr>
        <w:instrText xml:space="preserve"> REF _Ref463345999 \h  \* MERGEFORMAT </w:instrText>
      </w:r>
      <w:r w:rsidR="00064A8F" w:rsidRPr="00D376F1">
        <w:rPr>
          <w:rFonts w:eastAsia="Times New Roman" w:cstheme="minorHAnsi"/>
          <w:iCs/>
        </w:rPr>
      </w:r>
      <w:r w:rsidR="00064A8F" w:rsidRPr="00D376F1">
        <w:rPr>
          <w:rFonts w:eastAsia="Times New Roman" w:cstheme="minorHAnsi"/>
          <w:iCs/>
        </w:rPr>
        <w:fldChar w:fldCharType="separate"/>
      </w:r>
      <w:r w:rsidR="009C319B" w:rsidRPr="009C319B">
        <w:rPr>
          <w:rFonts w:eastAsia="Calibri" w:cstheme="minorHAnsi"/>
          <w:b/>
          <w:bCs/>
        </w:rPr>
        <w:t xml:space="preserve">Slika </w:t>
      </w:r>
      <w:r w:rsidR="009C319B" w:rsidRPr="009C319B">
        <w:rPr>
          <w:rFonts w:eastAsia="Calibri" w:cstheme="minorHAnsi"/>
          <w:b/>
          <w:bCs/>
          <w:noProof/>
        </w:rPr>
        <w:t>6.3</w:t>
      </w:r>
      <w:r w:rsidR="00064A8F" w:rsidRPr="00D376F1">
        <w:rPr>
          <w:rFonts w:eastAsia="Times New Roman" w:cstheme="minorHAnsi"/>
          <w:iCs/>
        </w:rPr>
        <w:fldChar w:fldCharType="end"/>
      </w:r>
      <w:r w:rsidR="00064A8F" w:rsidRPr="00D376F1">
        <w:rPr>
          <w:rFonts w:eastAsia="Times New Roman" w:cstheme="minorHAnsi"/>
          <w:iCs/>
        </w:rPr>
        <w:t>.</w:t>
      </w:r>
    </w:p>
    <w:p w14:paraId="6678C62F" w14:textId="3AB2422E" w:rsidR="00F2335D" w:rsidRPr="00D376F1" w:rsidRDefault="00064A8F" w:rsidP="00E92750">
      <w:pPr>
        <w:spacing w:after="0" w:line="240" w:lineRule="auto"/>
        <w:jc w:val="center"/>
        <w:rPr>
          <w:noProof/>
          <w:lang w:eastAsia="hr-HR"/>
        </w:rPr>
      </w:pPr>
      <w:r w:rsidRPr="00D376F1">
        <w:rPr>
          <w:noProof/>
          <w:lang w:eastAsia="hr-HR"/>
        </w:rPr>
        <w:drawing>
          <wp:inline distT="0" distB="0" distL="0" distR="0" wp14:anchorId="63A19EEC" wp14:editId="61223C3D">
            <wp:extent cx="5534025" cy="280987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257E499" w14:textId="4F1066F5" w:rsidR="00F2335D" w:rsidRPr="00882DAD" w:rsidRDefault="006E7B0A" w:rsidP="00E92750">
      <w:pPr>
        <w:spacing w:line="240" w:lineRule="auto"/>
        <w:jc w:val="center"/>
        <w:rPr>
          <w:rFonts w:eastAsia="Calibri" w:cstheme="minorHAnsi"/>
          <w:noProof/>
          <w:lang w:eastAsia="hr-HR"/>
        </w:rPr>
      </w:pPr>
      <w:bookmarkStart w:id="284" w:name="_Ref463345999"/>
      <w:bookmarkStart w:id="285" w:name="_Toc468277467"/>
      <w:r w:rsidRPr="00882DAD">
        <w:rPr>
          <w:rFonts w:eastAsia="Calibri" w:cstheme="minorHAnsi"/>
          <w:b/>
          <w:bCs/>
        </w:rPr>
        <w:t xml:space="preserve">Slika </w:t>
      </w:r>
      <w:r w:rsidRPr="00882DAD">
        <w:rPr>
          <w:rFonts w:eastAsia="Calibri" w:cstheme="minorHAnsi"/>
          <w:b/>
          <w:bCs/>
        </w:rPr>
        <w:fldChar w:fldCharType="begin"/>
      </w:r>
      <w:r w:rsidRPr="00882DAD">
        <w:rPr>
          <w:rFonts w:eastAsia="Calibri" w:cstheme="minorHAnsi"/>
          <w:b/>
          <w:bCs/>
        </w:rPr>
        <w:instrText xml:space="preserve"> STYLEREF 1 \s </w:instrText>
      </w:r>
      <w:r w:rsidRPr="00882DAD">
        <w:rPr>
          <w:rFonts w:eastAsia="Calibri" w:cstheme="minorHAnsi"/>
          <w:b/>
          <w:bCs/>
        </w:rPr>
        <w:fldChar w:fldCharType="separate"/>
      </w:r>
      <w:r w:rsidR="009C319B" w:rsidRPr="00882DAD">
        <w:rPr>
          <w:rFonts w:eastAsia="Calibri" w:cstheme="minorHAnsi"/>
          <w:b/>
          <w:bCs/>
          <w:noProof/>
        </w:rPr>
        <w:t>6</w:t>
      </w:r>
      <w:r w:rsidRPr="00882DAD">
        <w:rPr>
          <w:rFonts w:eastAsia="Calibri" w:cstheme="minorHAnsi"/>
          <w:b/>
          <w:bCs/>
        </w:rPr>
        <w:fldChar w:fldCharType="end"/>
      </w:r>
      <w:r w:rsidRPr="00882DAD">
        <w:rPr>
          <w:rFonts w:eastAsia="Calibri" w:cstheme="minorHAnsi"/>
          <w:b/>
          <w:bCs/>
        </w:rPr>
        <w:t>.</w:t>
      </w:r>
      <w:r w:rsidRPr="00882DAD">
        <w:rPr>
          <w:rFonts w:eastAsia="Calibri" w:cstheme="minorHAnsi"/>
          <w:b/>
          <w:bCs/>
        </w:rPr>
        <w:fldChar w:fldCharType="begin"/>
      </w:r>
      <w:r w:rsidRPr="00882DAD">
        <w:rPr>
          <w:rFonts w:eastAsia="Calibri" w:cstheme="minorHAnsi"/>
          <w:b/>
          <w:bCs/>
        </w:rPr>
        <w:instrText xml:space="preserve"> SEQ Slika \* ARABIC \s 1 </w:instrText>
      </w:r>
      <w:r w:rsidRPr="00882DAD">
        <w:rPr>
          <w:rFonts w:eastAsia="Calibri" w:cstheme="minorHAnsi"/>
          <w:b/>
          <w:bCs/>
        </w:rPr>
        <w:fldChar w:fldCharType="separate"/>
      </w:r>
      <w:r w:rsidR="009C319B" w:rsidRPr="00882DAD">
        <w:rPr>
          <w:rFonts w:eastAsia="Calibri" w:cstheme="minorHAnsi"/>
          <w:b/>
          <w:bCs/>
          <w:noProof/>
        </w:rPr>
        <w:t>3</w:t>
      </w:r>
      <w:r w:rsidRPr="00882DAD">
        <w:rPr>
          <w:rFonts w:eastAsia="Calibri" w:cstheme="minorHAnsi"/>
          <w:b/>
          <w:bCs/>
        </w:rPr>
        <w:fldChar w:fldCharType="end"/>
      </w:r>
      <w:bookmarkEnd w:id="284"/>
      <w:r w:rsidRPr="00882DAD">
        <w:rPr>
          <w:rFonts w:eastAsia="Calibri" w:cstheme="minorHAnsi"/>
          <w:noProof/>
          <w:lang w:eastAsia="hr-HR"/>
        </w:rPr>
        <w:t xml:space="preserve"> Trend troška električne energije u sustavu javne rasvjete</w:t>
      </w:r>
      <w:bookmarkEnd w:id="285"/>
    </w:p>
    <w:p w14:paraId="21E15985" w14:textId="0D92168E" w:rsidR="0051541E" w:rsidRPr="00D376F1" w:rsidRDefault="00394362" w:rsidP="00E92750">
      <w:pPr>
        <w:spacing w:after="240" w:line="240" w:lineRule="auto"/>
        <w:jc w:val="both"/>
        <w:rPr>
          <w:rFonts w:eastAsia="Calibri" w:cstheme="minorHAnsi"/>
        </w:rPr>
      </w:pPr>
      <w:r w:rsidRPr="00D376F1">
        <w:rPr>
          <w:rFonts w:eastAsia="Calibri" w:cstheme="minorHAnsi"/>
        </w:rPr>
        <w:lastRenderedPageBreak/>
        <w:t xml:space="preserve">Na osnovu provedene energetske analize sektora javne rasvjete vidljivo je da je potrošnja i trošak električne energije u </w:t>
      </w:r>
      <w:r w:rsidR="00A058E0" w:rsidRPr="00D376F1">
        <w:rPr>
          <w:rFonts w:eastAsia="Calibri" w:cstheme="minorHAnsi"/>
        </w:rPr>
        <w:t>sektoru</w:t>
      </w:r>
      <w:r w:rsidRPr="00D376F1">
        <w:rPr>
          <w:rFonts w:eastAsia="Calibri" w:cstheme="minorHAnsi"/>
        </w:rPr>
        <w:t xml:space="preserve"> javne rasvjete u </w:t>
      </w:r>
      <w:r w:rsidR="00530A3E" w:rsidRPr="00D376F1">
        <w:rPr>
          <w:rFonts w:eastAsia="Calibri" w:cstheme="minorHAnsi"/>
        </w:rPr>
        <w:t xml:space="preserve">promatranom vremenskom periodu u </w:t>
      </w:r>
      <w:r w:rsidRPr="00D376F1">
        <w:rPr>
          <w:rFonts w:eastAsia="Calibri" w:cstheme="minorHAnsi"/>
        </w:rPr>
        <w:t xml:space="preserve">konstantnom padu što pokazuje čvrsto strateško opredjeljenje odgovorne Gradske uprave u provedbi proaktivne politike u održivom, energetskom razvitku sektora javne rasvjete primjenjujući suvremena, ekološki prihvatljiva rješenja koja rezultiraju znatnim energetskim uštedama i značajnim smanjenjem svjetlosnog zagađenja. </w:t>
      </w:r>
      <w:r w:rsidR="0051541E" w:rsidRPr="00D376F1">
        <w:br w:type="page"/>
      </w:r>
    </w:p>
    <w:p w14:paraId="51427F82" w14:textId="77777777" w:rsidR="00A34917" w:rsidRPr="00561EBA" w:rsidRDefault="00A34917" w:rsidP="00E92750">
      <w:pPr>
        <w:pStyle w:val="Heading1"/>
        <w:spacing w:after="240" w:line="240" w:lineRule="auto"/>
        <w:rPr>
          <w:rFonts w:eastAsia="Times New Roman"/>
          <w:b/>
        </w:rPr>
      </w:pPr>
      <w:bookmarkStart w:id="286" w:name="_Toc468345383"/>
      <w:r w:rsidRPr="00561EBA">
        <w:rPr>
          <w:rFonts w:eastAsia="Times New Roman"/>
          <w:b/>
        </w:rPr>
        <w:lastRenderedPageBreak/>
        <w:t>KONTROLNI INVENTAR EMISIJA CO</w:t>
      </w:r>
      <w:r w:rsidRPr="00561EBA">
        <w:rPr>
          <w:rFonts w:eastAsia="Times New Roman"/>
          <w:b/>
          <w:vertAlign w:val="subscript"/>
        </w:rPr>
        <w:t>2</w:t>
      </w:r>
      <w:r w:rsidRPr="00561EBA">
        <w:rPr>
          <w:rFonts w:eastAsia="Times New Roman"/>
          <w:b/>
        </w:rPr>
        <w:t xml:space="preserve"> (MEI) ZA 2015. GODINU</w:t>
      </w:r>
      <w:bookmarkEnd w:id="286"/>
    </w:p>
    <w:p w14:paraId="7F228446" w14:textId="36EBE0E0" w:rsidR="00A34917" w:rsidRPr="00561EBA" w:rsidRDefault="00A34917" w:rsidP="00E92750">
      <w:pPr>
        <w:spacing w:line="240" w:lineRule="auto"/>
        <w:jc w:val="both"/>
        <w:rPr>
          <w:rFonts w:ascii="Calibri" w:eastAsia="Calibri" w:hAnsi="Calibri" w:cs="Times New Roman"/>
        </w:rPr>
      </w:pPr>
      <w:r w:rsidRPr="00561EBA">
        <w:rPr>
          <w:rFonts w:ascii="Calibri" w:eastAsia="Calibri" w:hAnsi="Calibri" w:cs="Times New Roman"/>
        </w:rPr>
        <w:t>Kontrolni inventar emisija CO</w:t>
      </w:r>
      <w:r w:rsidRPr="00561EBA">
        <w:rPr>
          <w:rFonts w:ascii="Calibri" w:eastAsia="Calibri" w:hAnsi="Calibri" w:cs="Times New Roman"/>
          <w:vertAlign w:val="subscript"/>
        </w:rPr>
        <w:t>2</w:t>
      </w:r>
      <w:r w:rsidRPr="00561EBA">
        <w:rPr>
          <w:rFonts w:ascii="Calibri" w:eastAsia="Calibri" w:hAnsi="Calibri" w:cs="Times New Roman"/>
        </w:rPr>
        <w:t xml:space="preserve"> G</w:t>
      </w:r>
      <w:r w:rsidR="00A7617A" w:rsidRPr="00561EBA">
        <w:rPr>
          <w:rFonts w:ascii="Calibri" w:eastAsia="Calibri" w:hAnsi="Calibri" w:cs="Times New Roman"/>
        </w:rPr>
        <w:t>rada Zagreba</w:t>
      </w:r>
      <w:r w:rsidRPr="00561EBA">
        <w:rPr>
          <w:rFonts w:ascii="Calibri" w:eastAsia="Calibri" w:hAnsi="Calibri" w:cs="Times New Roman"/>
        </w:rPr>
        <w:t xml:space="preserve"> izrađen je za 2015. godinu koja je odabrana kao kontrolna godina. Glavni kriterij prilikom odabira kontrolne godine bila je raspoloživost </w:t>
      </w:r>
      <w:r w:rsidR="00A7617A" w:rsidRPr="00561EBA">
        <w:rPr>
          <w:rFonts w:ascii="Calibri" w:eastAsia="Calibri" w:hAnsi="Calibri" w:cs="Times New Roman"/>
        </w:rPr>
        <w:t xml:space="preserve">zadnje dostupnih </w:t>
      </w:r>
      <w:r w:rsidRPr="00561EBA">
        <w:rPr>
          <w:rFonts w:ascii="Calibri" w:eastAsia="Calibri" w:hAnsi="Calibri" w:cs="Times New Roman"/>
        </w:rPr>
        <w:t>podataka potrebnih za proračun emisija CO</w:t>
      </w:r>
      <w:r w:rsidRPr="00561EBA">
        <w:rPr>
          <w:rFonts w:ascii="Calibri" w:eastAsia="Calibri" w:hAnsi="Calibri" w:cs="Times New Roman"/>
          <w:vertAlign w:val="subscript"/>
        </w:rPr>
        <w:t>2</w:t>
      </w:r>
      <w:r w:rsidRPr="00561EBA">
        <w:rPr>
          <w:rFonts w:ascii="Calibri" w:eastAsia="Calibri" w:hAnsi="Calibri" w:cs="Times New Roman"/>
        </w:rPr>
        <w:t>. Nepouzdani podaci o energetskim potrošnjama i nužnost</w:t>
      </w:r>
      <w:r w:rsidR="00A7617A" w:rsidRPr="00561EBA">
        <w:rPr>
          <w:rFonts w:ascii="Calibri" w:eastAsia="Calibri" w:hAnsi="Calibri" w:cs="Times New Roman"/>
        </w:rPr>
        <w:t xml:space="preserve"> njihove</w:t>
      </w:r>
      <w:r w:rsidRPr="00561EBA">
        <w:rPr>
          <w:rFonts w:ascii="Calibri" w:eastAsia="Calibri" w:hAnsi="Calibri" w:cs="Times New Roman"/>
        </w:rPr>
        <w:t xml:space="preserve"> procjene unijeli bi veliku nesigurnost u</w:t>
      </w:r>
      <w:r w:rsidR="00A7617A" w:rsidRPr="00561EBA">
        <w:rPr>
          <w:rFonts w:ascii="Calibri" w:eastAsia="Calibri" w:hAnsi="Calibri" w:cs="Times New Roman"/>
        </w:rPr>
        <w:t xml:space="preserve"> izračunu Kontrolnog</w:t>
      </w:r>
      <w:r w:rsidRPr="00561EBA">
        <w:rPr>
          <w:rFonts w:ascii="Calibri" w:eastAsia="Calibri" w:hAnsi="Calibri" w:cs="Times New Roman"/>
        </w:rPr>
        <w:t xml:space="preserve"> inventar</w:t>
      </w:r>
      <w:r w:rsidR="00A7617A" w:rsidRPr="00561EBA">
        <w:rPr>
          <w:rFonts w:ascii="Calibri" w:eastAsia="Calibri" w:hAnsi="Calibri" w:cs="Times New Roman"/>
        </w:rPr>
        <w:t>a</w:t>
      </w:r>
      <w:r w:rsidRPr="00561EBA">
        <w:rPr>
          <w:rFonts w:ascii="Calibri" w:eastAsia="Calibri" w:hAnsi="Calibri" w:cs="Times New Roman"/>
        </w:rPr>
        <w:t xml:space="preserve"> emisija</w:t>
      </w:r>
      <w:r w:rsidR="00A7617A" w:rsidRPr="00561EBA">
        <w:rPr>
          <w:rFonts w:ascii="Calibri" w:eastAsia="Calibri" w:hAnsi="Calibri" w:cs="Times New Roman"/>
        </w:rPr>
        <w:t xml:space="preserve"> CO</w:t>
      </w:r>
      <w:r w:rsidR="00A7617A" w:rsidRPr="00561EBA">
        <w:rPr>
          <w:rFonts w:ascii="Calibri" w:eastAsia="Calibri" w:hAnsi="Calibri" w:cs="Times New Roman"/>
          <w:vertAlign w:val="subscript"/>
        </w:rPr>
        <w:t>2</w:t>
      </w:r>
      <w:r w:rsidRPr="00561EBA">
        <w:rPr>
          <w:rFonts w:ascii="Calibri" w:eastAsia="Calibri" w:hAnsi="Calibri" w:cs="Times New Roman"/>
        </w:rPr>
        <w:t xml:space="preserve"> što nije u skladu s principima metodologije propisane od strane Europske komisije.</w:t>
      </w:r>
    </w:p>
    <w:p w14:paraId="2964414D" w14:textId="11052E8D" w:rsidR="00A7617A" w:rsidRPr="00561EBA" w:rsidRDefault="00A7617A" w:rsidP="00E92750">
      <w:pPr>
        <w:spacing w:line="240" w:lineRule="auto"/>
        <w:jc w:val="both"/>
        <w:rPr>
          <w:rFonts w:ascii="Calibri" w:eastAsia="Calibri" w:hAnsi="Calibri" w:cs="Times New Roman"/>
        </w:rPr>
      </w:pPr>
      <w:r w:rsidRPr="00561EBA">
        <w:rPr>
          <w:rFonts w:ascii="Calibri" w:eastAsia="Calibri" w:hAnsi="Calibri" w:cs="Times New Roman"/>
        </w:rPr>
        <w:t>Kontrolni i</w:t>
      </w:r>
      <w:r w:rsidR="00A34917" w:rsidRPr="00561EBA">
        <w:rPr>
          <w:rFonts w:ascii="Calibri" w:eastAsia="Calibri" w:hAnsi="Calibri" w:cs="Times New Roman"/>
        </w:rPr>
        <w:t>nventar je obuhvatio tri sektora finalne potrošnje energije u Gradu: zgradarstvo, promet i javnu rasvjetu, a u skladu s klasifikacijom sektora prema</w:t>
      </w:r>
      <w:r w:rsidRPr="00561EBA">
        <w:rPr>
          <w:rFonts w:ascii="Calibri" w:eastAsia="Calibri" w:hAnsi="Calibri" w:cs="Times New Roman"/>
        </w:rPr>
        <w:t xml:space="preserve"> preporukama Europske komisije.</w:t>
      </w:r>
    </w:p>
    <w:p w14:paraId="6A3980C4" w14:textId="4D1A2796" w:rsidR="00A34917" w:rsidRPr="00561EBA" w:rsidRDefault="00A34917" w:rsidP="00E92750">
      <w:pPr>
        <w:spacing w:after="0" w:line="240" w:lineRule="auto"/>
        <w:jc w:val="both"/>
        <w:rPr>
          <w:rFonts w:ascii="Calibri" w:eastAsia="Calibri" w:hAnsi="Calibri" w:cs="Times New Roman"/>
        </w:rPr>
      </w:pPr>
      <w:r w:rsidRPr="00561EBA">
        <w:rPr>
          <w:rFonts w:ascii="Calibri" w:eastAsia="Calibri" w:hAnsi="Calibri" w:cs="Times New Roman"/>
        </w:rPr>
        <w:t>Proračunom su obuhvaćene izravne (iz izgaranja goriva) i neizravne emisije (iz potrošnje el</w:t>
      </w:r>
      <w:r w:rsidR="00BF7DAA" w:rsidRPr="00561EBA">
        <w:rPr>
          <w:rFonts w:ascii="Calibri" w:eastAsia="Calibri" w:hAnsi="Calibri" w:cs="Times New Roman"/>
        </w:rPr>
        <w:t>ektrične i toplinske energije).</w:t>
      </w:r>
      <w:r w:rsidR="00F554AB" w:rsidRPr="00561EBA">
        <w:rPr>
          <w:rFonts w:ascii="Calibri" w:eastAsia="Calibri" w:hAnsi="Calibri" w:cs="Times New Roman"/>
        </w:rPr>
        <w:t xml:space="preserve"> </w:t>
      </w:r>
      <w:r w:rsidR="00561EBA" w:rsidRPr="00561EBA">
        <w:rPr>
          <w:rFonts w:ascii="Calibri" w:eastAsia="Calibri" w:hAnsi="Calibri" w:cs="Times New Roman"/>
        </w:rPr>
        <w:t>Metodologija izrade Inventara</w:t>
      </w:r>
      <w:r w:rsidR="00556605">
        <w:rPr>
          <w:rFonts w:ascii="Calibri" w:eastAsia="Calibri" w:hAnsi="Calibri" w:cs="Times New Roman"/>
        </w:rPr>
        <w:t xml:space="preserve"> emisije CO</w:t>
      </w:r>
      <w:r w:rsidR="00556605" w:rsidRPr="00556605">
        <w:rPr>
          <w:rFonts w:ascii="Calibri" w:eastAsia="Calibri" w:hAnsi="Calibri" w:cs="Times New Roman"/>
          <w:vertAlign w:val="subscript"/>
        </w:rPr>
        <w:t>2</w:t>
      </w:r>
      <w:r w:rsidRPr="00561EBA">
        <w:rPr>
          <w:rFonts w:ascii="Calibri" w:eastAsia="Calibri" w:hAnsi="Calibri" w:cs="Times New Roman"/>
        </w:rPr>
        <w:t xml:space="preserve"> razvijena</w:t>
      </w:r>
      <w:r w:rsidR="00561EBA" w:rsidRPr="00561EBA">
        <w:rPr>
          <w:rFonts w:ascii="Calibri" w:eastAsia="Calibri" w:hAnsi="Calibri" w:cs="Times New Roman"/>
        </w:rPr>
        <w:t xml:space="preserve"> je</w:t>
      </w:r>
      <w:r w:rsidRPr="00561EBA">
        <w:rPr>
          <w:rFonts w:ascii="Calibri" w:eastAsia="Calibri" w:hAnsi="Calibri" w:cs="Times New Roman"/>
        </w:rPr>
        <w:t xml:space="preserve"> u sklopu </w:t>
      </w:r>
      <w:r w:rsidR="00A7617A" w:rsidRPr="00561EBA">
        <w:rPr>
          <w:rFonts w:ascii="Calibri" w:eastAsia="Calibri" w:hAnsi="Calibri" w:cs="Times New Roman"/>
        </w:rPr>
        <w:t>izrade Akcijskog plana, a ista je korištena i prilikom izrade Kontrolnog i</w:t>
      </w:r>
      <w:r w:rsidRPr="00561EBA">
        <w:rPr>
          <w:rFonts w:ascii="Calibri" w:eastAsia="Calibri" w:hAnsi="Calibri" w:cs="Times New Roman"/>
        </w:rPr>
        <w:t>nventara.</w:t>
      </w:r>
      <w:r w:rsidR="00D450FF" w:rsidRPr="00561EBA">
        <w:rPr>
          <w:rFonts w:ascii="Calibri" w:eastAsia="Calibri" w:hAnsi="Calibri" w:cs="Times New Roman"/>
        </w:rPr>
        <w:t xml:space="preserve"> Ista metodologija izrade preduvjet je usporedivosti Refe</w:t>
      </w:r>
      <w:r w:rsidR="00556605">
        <w:rPr>
          <w:rFonts w:ascii="Calibri" w:eastAsia="Calibri" w:hAnsi="Calibri" w:cs="Times New Roman"/>
        </w:rPr>
        <w:t>rentnog i Kontrolnog inventara – usporedba je n</w:t>
      </w:r>
      <w:r w:rsidR="00CB47D4">
        <w:rPr>
          <w:rFonts w:ascii="Calibri" w:eastAsia="Calibri" w:hAnsi="Calibri" w:cs="Times New Roman"/>
        </w:rPr>
        <w:t>a</w:t>
      </w:r>
      <w:r w:rsidR="00556605">
        <w:rPr>
          <w:rFonts w:ascii="Calibri" w:eastAsia="Calibri" w:hAnsi="Calibri" w:cs="Times New Roman"/>
        </w:rPr>
        <w:t>pravljena u Poglavlju</w:t>
      </w:r>
      <w:r w:rsidR="00D450FF" w:rsidRPr="00561EBA">
        <w:rPr>
          <w:rFonts w:ascii="Calibri" w:eastAsia="Calibri" w:hAnsi="Calibri" w:cs="Times New Roman"/>
        </w:rPr>
        <w:t xml:space="preserve"> 8 ovog dokumenta.</w:t>
      </w:r>
    </w:p>
    <w:p w14:paraId="432AB051" w14:textId="54F136B8" w:rsidR="00A34917" w:rsidRPr="00D765D5" w:rsidRDefault="00F557F4" w:rsidP="00E92750">
      <w:pPr>
        <w:pStyle w:val="Heading2"/>
        <w:spacing w:after="240"/>
        <w:rPr>
          <w:rFonts w:asciiTheme="minorHAnsi" w:hAnsiTheme="minorHAnsi" w:cstheme="minorHAnsi"/>
        </w:rPr>
      </w:pPr>
      <w:bookmarkStart w:id="287" w:name="_Toc258238927"/>
      <w:bookmarkStart w:id="288" w:name="_Toc468345384"/>
      <w:r w:rsidRPr="00D765D5">
        <w:rPr>
          <w:rFonts w:asciiTheme="minorHAnsi" w:hAnsiTheme="minorHAnsi" w:cstheme="minorHAnsi"/>
          <w:iCs/>
          <w:szCs w:val="24"/>
        </w:rPr>
        <w:t>Kontrolni i</w:t>
      </w:r>
      <w:r w:rsidR="00A34917" w:rsidRPr="00D765D5">
        <w:rPr>
          <w:rFonts w:asciiTheme="minorHAnsi" w:hAnsiTheme="minorHAnsi" w:cstheme="minorHAnsi"/>
          <w:iCs/>
          <w:szCs w:val="24"/>
        </w:rPr>
        <w:t>nventar emisija CO</w:t>
      </w:r>
      <w:r w:rsidR="00A34917" w:rsidRPr="00D765D5">
        <w:rPr>
          <w:rFonts w:asciiTheme="minorHAnsi" w:hAnsiTheme="minorHAnsi" w:cstheme="minorHAnsi"/>
          <w:iCs/>
          <w:szCs w:val="24"/>
          <w:vertAlign w:val="subscript"/>
        </w:rPr>
        <w:t>2</w:t>
      </w:r>
      <w:r w:rsidR="00A34917" w:rsidRPr="00D765D5">
        <w:rPr>
          <w:rFonts w:asciiTheme="minorHAnsi" w:hAnsiTheme="minorHAnsi" w:cstheme="minorHAnsi"/>
          <w:iCs/>
          <w:szCs w:val="24"/>
        </w:rPr>
        <w:t xml:space="preserve"> iz sektora zgradarstva Grada Zagreba</w:t>
      </w:r>
      <w:bookmarkEnd w:id="287"/>
      <w:r w:rsidRPr="00D765D5">
        <w:rPr>
          <w:rFonts w:asciiTheme="minorHAnsi" w:hAnsiTheme="minorHAnsi" w:cstheme="minorHAnsi"/>
          <w:iCs/>
          <w:szCs w:val="24"/>
        </w:rPr>
        <w:t xml:space="preserve"> za 2015. godinu</w:t>
      </w:r>
      <w:bookmarkEnd w:id="288"/>
    </w:p>
    <w:p w14:paraId="57BAEB64" w14:textId="61AC84D3" w:rsidR="00A34917" w:rsidRPr="00D765D5" w:rsidRDefault="00A34917" w:rsidP="00E92750">
      <w:pPr>
        <w:spacing w:line="240" w:lineRule="auto"/>
        <w:jc w:val="both"/>
        <w:rPr>
          <w:rFonts w:eastAsia="Calibri" w:cstheme="minorHAnsi"/>
        </w:rPr>
      </w:pPr>
      <w:r w:rsidRPr="00D765D5">
        <w:rPr>
          <w:rFonts w:eastAsia="Calibri" w:cstheme="minorHAnsi"/>
        </w:rPr>
        <w:t>Emisije CO</w:t>
      </w:r>
      <w:r w:rsidRPr="00D765D5">
        <w:rPr>
          <w:rFonts w:eastAsia="Calibri" w:cstheme="minorHAnsi"/>
          <w:vertAlign w:val="subscript"/>
        </w:rPr>
        <w:t>2</w:t>
      </w:r>
      <w:r w:rsidRPr="00D765D5">
        <w:rPr>
          <w:rFonts w:eastAsia="Calibri" w:cstheme="minorHAnsi"/>
        </w:rPr>
        <w:t xml:space="preserve"> iz sektora zgradarstva Grada Zagreba obuhvaćaju emisije iz potrošnje električne i toplinske energije te emisije iz izgaranja goriva. Emisije iz izgaranja goriva proračunavaju se preko standardnih emisijskih faktora (prva razina proračuna IPCC metodologije), dok su za proračun emisija iz potrošnje električne i toplinske energije određeni specifični emisijski faktori, </w:t>
      </w:r>
      <w:r w:rsidRPr="00D765D5">
        <w:rPr>
          <w:rFonts w:eastAsia="Calibri" w:cstheme="minorHAnsi"/>
        </w:rPr>
        <w:fldChar w:fldCharType="begin"/>
      </w:r>
      <w:r w:rsidRPr="00D765D5">
        <w:rPr>
          <w:rFonts w:eastAsia="Calibri" w:cstheme="minorHAnsi"/>
        </w:rPr>
        <w:instrText xml:space="preserve"> REF _Ref465430596 \h  \* MERGEFORMAT </w:instrText>
      </w:r>
      <w:r w:rsidRPr="00D765D5">
        <w:rPr>
          <w:rFonts w:eastAsia="Calibri" w:cstheme="minorHAnsi"/>
        </w:rPr>
      </w:r>
      <w:r w:rsidRPr="00D765D5">
        <w:rPr>
          <w:rFonts w:eastAsia="Calibri" w:cstheme="minorHAnsi"/>
        </w:rPr>
        <w:fldChar w:fldCharType="separate"/>
      </w:r>
      <w:r w:rsidR="009C319B" w:rsidRPr="009C319B">
        <w:rPr>
          <w:rFonts w:eastAsia="Calibri" w:cstheme="minorHAnsi"/>
          <w:b/>
          <w:bCs/>
        </w:rPr>
        <w:t xml:space="preserve">Tablica </w:t>
      </w:r>
      <w:r w:rsidR="009C319B" w:rsidRPr="009C319B">
        <w:rPr>
          <w:rFonts w:eastAsia="Calibri" w:cstheme="minorHAnsi"/>
          <w:b/>
          <w:bCs/>
          <w:noProof/>
        </w:rPr>
        <w:t>7.1</w:t>
      </w:r>
      <w:r w:rsidRPr="00D765D5">
        <w:rPr>
          <w:rFonts w:eastAsia="Calibri" w:cstheme="minorHAnsi"/>
        </w:rPr>
        <w:fldChar w:fldCharType="end"/>
      </w:r>
      <w:r w:rsidR="005F1763" w:rsidRPr="00D765D5">
        <w:rPr>
          <w:rFonts w:eastAsia="Calibri" w:cstheme="minorHAnsi"/>
        </w:rPr>
        <w:t>.</w:t>
      </w:r>
    </w:p>
    <w:p w14:paraId="4D9FB3FF" w14:textId="1A01BD7D" w:rsidR="00A34917" w:rsidRPr="00D765D5" w:rsidRDefault="00A34917" w:rsidP="00E92750">
      <w:pPr>
        <w:spacing w:after="0" w:line="240" w:lineRule="auto"/>
        <w:jc w:val="both"/>
        <w:rPr>
          <w:rFonts w:eastAsia="Calibri" w:cs="Times New Roman"/>
        </w:rPr>
      </w:pPr>
      <w:bookmarkStart w:id="289" w:name="_Ref465430596"/>
      <w:bookmarkStart w:id="290" w:name="_Toc468277513"/>
      <w:r w:rsidRPr="00D765D5">
        <w:rPr>
          <w:rFonts w:eastAsia="Calibri" w:cs="Times New Roman"/>
          <w:b/>
          <w:bCs/>
        </w:rPr>
        <w:t xml:space="preserve">Tablica </w:t>
      </w:r>
      <w:r w:rsidRPr="00D765D5">
        <w:rPr>
          <w:rFonts w:eastAsia="Calibri" w:cs="Times New Roman"/>
          <w:b/>
          <w:bCs/>
        </w:rPr>
        <w:fldChar w:fldCharType="begin"/>
      </w:r>
      <w:r w:rsidRPr="00D765D5">
        <w:rPr>
          <w:rFonts w:eastAsia="Calibri" w:cs="Times New Roman"/>
          <w:b/>
          <w:bCs/>
        </w:rPr>
        <w:instrText xml:space="preserve"> STYLEREF 1 \s </w:instrText>
      </w:r>
      <w:r w:rsidRPr="00D765D5">
        <w:rPr>
          <w:rFonts w:eastAsia="Calibri" w:cs="Times New Roman"/>
          <w:b/>
          <w:bCs/>
        </w:rPr>
        <w:fldChar w:fldCharType="separate"/>
      </w:r>
      <w:r w:rsidR="009C319B">
        <w:rPr>
          <w:rFonts w:eastAsia="Calibri" w:cs="Times New Roman"/>
          <w:b/>
          <w:bCs/>
          <w:noProof/>
        </w:rPr>
        <w:t>7</w:t>
      </w:r>
      <w:r w:rsidRPr="00D765D5">
        <w:rPr>
          <w:rFonts w:eastAsia="Calibri" w:cs="Times New Roman"/>
          <w:b/>
          <w:bCs/>
        </w:rPr>
        <w:fldChar w:fldCharType="end"/>
      </w:r>
      <w:r w:rsidRPr="00D765D5">
        <w:rPr>
          <w:rFonts w:eastAsia="Calibri" w:cs="Times New Roman"/>
          <w:b/>
          <w:bCs/>
        </w:rPr>
        <w:t>.</w:t>
      </w:r>
      <w:r w:rsidRPr="00D765D5">
        <w:rPr>
          <w:rFonts w:eastAsia="Calibri" w:cs="Times New Roman"/>
          <w:b/>
          <w:bCs/>
        </w:rPr>
        <w:fldChar w:fldCharType="begin"/>
      </w:r>
      <w:r w:rsidRPr="00D765D5">
        <w:rPr>
          <w:rFonts w:eastAsia="Calibri" w:cs="Times New Roman"/>
          <w:b/>
          <w:bCs/>
        </w:rPr>
        <w:instrText xml:space="preserve"> SEQ Tablica \* ARABIC \s 1 </w:instrText>
      </w:r>
      <w:r w:rsidRPr="00D765D5">
        <w:rPr>
          <w:rFonts w:eastAsia="Calibri" w:cs="Times New Roman"/>
          <w:b/>
          <w:bCs/>
        </w:rPr>
        <w:fldChar w:fldCharType="separate"/>
      </w:r>
      <w:r w:rsidR="009C319B">
        <w:rPr>
          <w:rFonts w:eastAsia="Calibri" w:cs="Times New Roman"/>
          <w:b/>
          <w:bCs/>
          <w:noProof/>
        </w:rPr>
        <w:t>1</w:t>
      </w:r>
      <w:r w:rsidRPr="00D765D5">
        <w:rPr>
          <w:rFonts w:eastAsia="Calibri" w:cs="Times New Roman"/>
          <w:b/>
          <w:bCs/>
        </w:rPr>
        <w:fldChar w:fldCharType="end"/>
      </w:r>
      <w:bookmarkEnd w:id="289"/>
      <w:r w:rsidRPr="00D765D5">
        <w:rPr>
          <w:rFonts w:eastAsia="Calibri" w:cs="Times New Roman"/>
          <w:b/>
          <w:bCs/>
          <w:noProof/>
        </w:rPr>
        <w:t xml:space="preserve"> </w:t>
      </w:r>
      <w:r w:rsidRPr="00D765D5">
        <w:rPr>
          <w:rFonts w:ascii="Calibri" w:eastAsia="Calibri" w:hAnsi="Calibri" w:cs="Times New Roman"/>
        </w:rPr>
        <w:t>Korišteni emisijski faktori za određivanje emisija CO</w:t>
      </w:r>
      <w:r w:rsidRPr="00D765D5">
        <w:rPr>
          <w:rFonts w:ascii="Calibri" w:eastAsia="Calibri" w:hAnsi="Calibri" w:cs="Times New Roman"/>
          <w:vertAlign w:val="subscript"/>
        </w:rPr>
        <w:t>2</w:t>
      </w:r>
      <w:r w:rsidRPr="00D765D5">
        <w:rPr>
          <w:rFonts w:ascii="Calibri" w:eastAsia="Calibri" w:hAnsi="Calibri" w:cs="Times New Roman"/>
        </w:rPr>
        <w:t xml:space="preserve"> iz sektora zgradarstva</w:t>
      </w:r>
      <w:bookmarkEnd w:id="290"/>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3146"/>
      </w:tblGrid>
      <w:tr w:rsidR="00A34917" w:rsidRPr="00D765D5" w14:paraId="51E3044C" w14:textId="77777777" w:rsidTr="00453468">
        <w:trPr>
          <w:trHeight w:val="175"/>
        </w:trPr>
        <w:tc>
          <w:tcPr>
            <w:tcW w:w="3244" w:type="pct"/>
            <w:shd w:val="clear" w:color="auto" w:fill="D9D9D9" w:themeFill="background1" w:themeFillShade="D9"/>
            <w:noWrap/>
            <w:vAlign w:val="center"/>
            <w:hideMark/>
          </w:tcPr>
          <w:p w14:paraId="02C928DD" w14:textId="77777777" w:rsidR="00A34917" w:rsidRPr="00D765D5" w:rsidRDefault="00A34917" w:rsidP="00E92750">
            <w:pPr>
              <w:spacing w:after="0" w:line="240" w:lineRule="auto"/>
              <w:jc w:val="both"/>
              <w:rPr>
                <w:rFonts w:eastAsia="Times New Roman" w:cs="Calibri"/>
                <w:b/>
                <w:bCs/>
                <w:color w:val="000000"/>
                <w:sz w:val="20"/>
                <w:szCs w:val="20"/>
                <w:lang w:eastAsia="hr-HR"/>
              </w:rPr>
            </w:pPr>
            <w:r w:rsidRPr="00D765D5">
              <w:rPr>
                <w:rFonts w:eastAsia="Times New Roman" w:cs="Calibri"/>
                <w:b/>
                <w:bCs/>
                <w:color w:val="000000"/>
                <w:sz w:val="20"/>
                <w:szCs w:val="20"/>
                <w:lang w:eastAsia="hr-HR"/>
              </w:rPr>
              <w:t>ENERGENT</w:t>
            </w:r>
          </w:p>
        </w:tc>
        <w:tc>
          <w:tcPr>
            <w:tcW w:w="1756" w:type="pct"/>
            <w:shd w:val="clear" w:color="auto" w:fill="D9D9D9" w:themeFill="background1" w:themeFillShade="D9"/>
            <w:vAlign w:val="center"/>
            <w:hideMark/>
          </w:tcPr>
          <w:p w14:paraId="7A3156FC" w14:textId="77777777" w:rsidR="00A34917" w:rsidRPr="00D765D5" w:rsidRDefault="00A34917" w:rsidP="00E92750">
            <w:pPr>
              <w:spacing w:after="0" w:line="240" w:lineRule="auto"/>
              <w:jc w:val="center"/>
              <w:rPr>
                <w:rFonts w:eastAsia="Times New Roman" w:cs="Calibri"/>
                <w:b/>
                <w:bCs/>
                <w:color w:val="000000"/>
                <w:sz w:val="20"/>
                <w:szCs w:val="20"/>
                <w:lang w:eastAsia="hr-HR"/>
              </w:rPr>
            </w:pPr>
            <w:r w:rsidRPr="00D765D5">
              <w:rPr>
                <w:rFonts w:eastAsia="Times New Roman" w:cs="Calibri"/>
                <w:b/>
                <w:bCs/>
                <w:color w:val="000000"/>
                <w:sz w:val="20"/>
                <w:szCs w:val="20"/>
                <w:lang w:eastAsia="hr-HR"/>
              </w:rPr>
              <w:t>Emisija kg</w:t>
            </w:r>
            <w:r w:rsidRPr="00D765D5">
              <w:rPr>
                <w:rFonts w:eastAsia="Calibri" w:cs="Times New Roman"/>
                <w:b/>
                <w:sz w:val="20"/>
                <w:szCs w:val="20"/>
              </w:rPr>
              <w:t>CO</w:t>
            </w:r>
            <w:r w:rsidRPr="00D765D5">
              <w:rPr>
                <w:rFonts w:eastAsia="Calibri" w:cs="Times New Roman"/>
                <w:b/>
                <w:sz w:val="20"/>
                <w:szCs w:val="20"/>
                <w:vertAlign w:val="subscript"/>
              </w:rPr>
              <w:t>2</w:t>
            </w:r>
            <w:r w:rsidRPr="00D765D5">
              <w:rPr>
                <w:rFonts w:eastAsia="Times New Roman" w:cs="Calibri"/>
                <w:b/>
                <w:bCs/>
                <w:color w:val="000000"/>
                <w:sz w:val="20"/>
                <w:szCs w:val="20"/>
                <w:lang w:eastAsia="hr-HR"/>
              </w:rPr>
              <w:t>/kWh</w:t>
            </w:r>
          </w:p>
        </w:tc>
      </w:tr>
      <w:tr w:rsidR="00A34917" w:rsidRPr="00D765D5" w14:paraId="68CDE7AD" w14:textId="77777777" w:rsidTr="00453468">
        <w:trPr>
          <w:trHeight w:val="229"/>
        </w:trPr>
        <w:tc>
          <w:tcPr>
            <w:tcW w:w="3244" w:type="pct"/>
            <w:noWrap/>
            <w:vAlign w:val="center"/>
            <w:hideMark/>
          </w:tcPr>
          <w:p w14:paraId="0D28C708" w14:textId="77777777" w:rsidR="00A34917" w:rsidRPr="00D765D5" w:rsidRDefault="00A34917" w:rsidP="00E92750">
            <w:pPr>
              <w:spacing w:after="0" w:line="240" w:lineRule="auto"/>
              <w:jc w:val="both"/>
              <w:rPr>
                <w:rFonts w:eastAsia="Times New Roman" w:cs="Calibri"/>
                <w:bCs/>
                <w:color w:val="000000"/>
                <w:sz w:val="20"/>
                <w:szCs w:val="20"/>
                <w:lang w:eastAsia="hr-HR"/>
              </w:rPr>
            </w:pPr>
            <w:r w:rsidRPr="00D765D5">
              <w:rPr>
                <w:rFonts w:eastAsia="Times New Roman" w:cs="Calibri"/>
                <w:bCs/>
                <w:color w:val="000000"/>
                <w:sz w:val="20"/>
                <w:szCs w:val="20"/>
                <w:lang w:eastAsia="hr-HR"/>
              </w:rPr>
              <w:t>Teško loživo ulje/Srednje loživo ulje</w:t>
            </w:r>
          </w:p>
        </w:tc>
        <w:tc>
          <w:tcPr>
            <w:tcW w:w="1756" w:type="pct"/>
            <w:noWrap/>
            <w:vAlign w:val="center"/>
            <w:hideMark/>
          </w:tcPr>
          <w:p w14:paraId="70683533" w14:textId="77777777" w:rsidR="00A34917" w:rsidRPr="00D765D5" w:rsidRDefault="00A34917" w:rsidP="00E92750">
            <w:pPr>
              <w:spacing w:after="0" w:line="240" w:lineRule="auto"/>
              <w:jc w:val="center"/>
              <w:rPr>
                <w:rFonts w:eastAsia="Times New Roman" w:cs="Calibri"/>
                <w:color w:val="000000"/>
                <w:sz w:val="20"/>
                <w:szCs w:val="20"/>
                <w:lang w:eastAsia="hr-HR"/>
              </w:rPr>
            </w:pPr>
            <w:r w:rsidRPr="00D765D5">
              <w:rPr>
                <w:rFonts w:eastAsia="Times New Roman" w:cs="Calibri"/>
                <w:color w:val="000000"/>
                <w:sz w:val="20"/>
                <w:szCs w:val="20"/>
                <w:lang w:eastAsia="hr-HR"/>
              </w:rPr>
              <w:t>0,279</w:t>
            </w:r>
          </w:p>
        </w:tc>
      </w:tr>
      <w:tr w:rsidR="00A34917" w:rsidRPr="00D765D5" w14:paraId="1ED45F6B" w14:textId="77777777" w:rsidTr="00453468">
        <w:trPr>
          <w:trHeight w:val="119"/>
        </w:trPr>
        <w:tc>
          <w:tcPr>
            <w:tcW w:w="3244" w:type="pct"/>
            <w:noWrap/>
            <w:vAlign w:val="center"/>
            <w:hideMark/>
          </w:tcPr>
          <w:p w14:paraId="3E3DC551" w14:textId="77777777" w:rsidR="00A34917" w:rsidRPr="00D765D5" w:rsidRDefault="00A34917" w:rsidP="00E92750">
            <w:pPr>
              <w:spacing w:after="0" w:line="240" w:lineRule="auto"/>
              <w:jc w:val="both"/>
              <w:rPr>
                <w:rFonts w:eastAsia="Times New Roman" w:cs="Calibri"/>
                <w:bCs/>
                <w:color w:val="000000"/>
                <w:sz w:val="20"/>
                <w:szCs w:val="20"/>
                <w:lang w:eastAsia="hr-HR"/>
              </w:rPr>
            </w:pPr>
            <w:r w:rsidRPr="00D765D5">
              <w:rPr>
                <w:rFonts w:eastAsia="Times New Roman" w:cs="Calibri"/>
                <w:bCs/>
                <w:color w:val="000000"/>
                <w:sz w:val="20"/>
                <w:szCs w:val="20"/>
                <w:lang w:eastAsia="hr-HR"/>
              </w:rPr>
              <w:t>Ekstra lako loživo ulje/Lako loživo ulje/Dizel</w:t>
            </w:r>
          </w:p>
        </w:tc>
        <w:tc>
          <w:tcPr>
            <w:tcW w:w="1756" w:type="pct"/>
            <w:noWrap/>
            <w:vAlign w:val="center"/>
            <w:hideMark/>
          </w:tcPr>
          <w:p w14:paraId="62C79CB9" w14:textId="77777777" w:rsidR="00A34917" w:rsidRPr="00D765D5" w:rsidRDefault="00A34917" w:rsidP="00E92750">
            <w:pPr>
              <w:spacing w:after="0" w:line="240" w:lineRule="auto"/>
              <w:jc w:val="center"/>
              <w:rPr>
                <w:rFonts w:eastAsia="Times New Roman" w:cs="Calibri"/>
                <w:color w:val="000000"/>
                <w:sz w:val="20"/>
                <w:szCs w:val="20"/>
                <w:lang w:eastAsia="hr-HR"/>
              </w:rPr>
            </w:pPr>
            <w:r w:rsidRPr="00D765D5">
              <w:rPr>
                <w:rFonts w:eastAsia="Times New Roman" w:cs="Calibri"/>
                <w:color w:val="000000"/>
                <w:sz w:val="20"/>
                <w:szCs w:val="20"/>
                <w:lang w:eastAsia="hr-HR"/>
              </w:rPr>
              <w:t>0,267</w:t>
            </w:r>
          </w:p>
        </w:tc>
      </w:tr>
      <w:tr w:rsidR="00A34917" w:rsidRPr="00D765D5" w14:paraId="593F2E6E" w14:textId="77777777" w:rsidTr="00453468">
        <w:trPr>
          <w:trHeight w:val="201"/>
        </w:trPr>
        <w:tc>
          <w:tcPr>
            <w:tcW w:w="3244" w:type="pct"/>
            <w:noWrap/>
            <w:vAlign w:val="center"/>
            <w:hideMark/>
          </w:tcPr>
          <w:p w14:paraId="545D4929" w14:textId="77777777" w:rsidR="00A34917" w:rsidRPr="00D765D5" w:rsidRDefault="00A34917" w:rsidP="00E92750">
            <w:pPr>
              <w:spacing w:after="0" w:line="240" w:lineRule="auto"/>
              <w:jc w:val="both"/>
              <w:rPr>
                <w:rFonts w:eastAsia="Times New Roman" w:cs="Calibri"/>
                <w:bCs/>
                <w:color w:val="000000"/>
                <w:sz w:val="20"/>
                <w:szCs w:val="20"/>
                <w:lang w:eastAsia="hr-HR"/>
              </w:rPr>
            </w:pPr>
            <w:r w:rsidRPr="00D765D5">
              <w:rPr>
                <w:rFonts w:eastAsia="Times New Roman" w:cs="Calibri"/>
                <w:bCs/>
                <w:color w:val="000000"/>
                <w:sz w:val="20"/>
                <w:szCs w:val="20"/>
                <w:lang w:eastAsia="hr-HR"/>
              </w:rPr>
              <w:t>Ukapljeni naftni plin (UNP)</w:t>
            </w:r>
          </w:p>
        </w:tc>
        <w:tc>
          <w:tcPr>
            <w:tcW w:w="1756" w:type="pct"/>
            <w:noWrap/>
            <w:vAlign w:val="center"/>
            <w:hideMark/>
          </w:tcPr>
          <w:p w14:paraId="19CC9A11" w14:textId="77777777" w:rsidR="00A34917" w:rsidRPr="00D765D5" w:rsidRDefault="00A34917" w:rsidP="00E92750">
            <w:pPr>
              <w:spacing w:after="0" w:line="240" w:lineRule="auto"/>
              <w:jc w:val="center"/>
              <w:rPr>
                <w:rFonts w:eastAsia="Times New Roman" w:cs="Calibri"/>
                <w:color w:val="000000"/>
                <w:sz w:val="20"/>
                <w:szCs w:val="20"/>
                <w:lang w:eastAsia="hr-HR"/>
              </w:rPr>
            </w:pPr>
            <w:r w:rsidRPr="00D765D5">
              <w:rPr>
                <w:rFonts w:eastAsia="Times New Roman" w:cs="Calibri"/>
                <w:color w:val="000000"/>
                <w:sz w:val="20"/>
                <w:szCs w:val="20"/>
                <w:lang w:eastAsia="hr-HR"/>
              </w:rPr>
              <w:t>0,227</w:t>
            </w:r>
          </w:p>
        </w:tc>
      </w:tr>
      <w:tr w:rsidR="00A34917" w:rsidRPr="00D765D5" w14:paraId="26073325" w14:textId="77777777" w:rsidTr="00453468">
        <w:trPr>
          <w:trHeight w:val="91"/>
        </w:trPr>
        <w:tc>
          <w:tcPr>
            <w:tcW w:w="3244" w:type="pct"/>
            <w:noWrap/>
            <w:vAlign w:val="center"/>
          </w:tcPr>
          <w:p w14:paraId="67E50AE6" w14:textId="77777777" w:rsidR="00A34917" w:rsidRPr="00D765D5" w:rsidRDefault="00A34917" w:rsidP="00E92750">
            <w:pPr>
              <w:spacing w:after="0" w:line="240" w:lineRule="auto"/>
              <w:jc w:val="both"/>
              <w:rPr>
                <w:rFonts w:eastAsia="Times New Roman" w:cs="Calibri"/>
                <w:bCs/>
                <w:color w:val="000000"/>
                <w:sz w:val="20"/>
                <w:szCs w:val="20"/>
                <w:lang w:eastAsia="hr-HR"/>
              </w:rPr>
            </w:pPr>
            <w:r w:rsidRPr="00D765D5">
              <w:rPr>
                <w:rFonts w:eastAsia="Times New Roman" w:cs="Calibri"/>
                <w:bCs/>
                <w:color w:val="000000"/>
                <w:sz w:val="20"/>
                <w:szCs w:val="20"/>
                <w:lang w:eastAsia="hr-HR"/>
              </w:rPr>
              <w:t>Prirodni plin/Stlačeni prirodni plin (SPP)</w:t>
            </w:r>
          </w:p>
        </w:tc>
        <w:tc>
          <w:tcPr>
            <w:tcW w:w="1756" w:type="pct"/>
            <w:noWrap/>
            <w:vAlign w:val="center"/>
          </w:tcPr>
          <w:p w14:paraId="58E00AB2" w14:textId="77777777" w:rsidR="00A34917" w:rsidRPr="00D765D5" w:rsidRDefault="00A34917" w:rsidP="00E92750">
            <w:pPr>
              <w:spacing w:after="0" w:line="240" w:lineRule="auto"/>
              <w:jc w:val="center"/>
              <w:rPr>
                <w:rFonts w:eastAsia="Times New Roman" w:cs="Calibri"/>
                <w:color w:val="000000"/>
                <w:sz w:val="20"/>
                <w:szCs w:val="20"/>
                <w:lang w:eastAsia="hr-HR"/>
              </w:rPr>
            </w:pPr>
            <w:r w:rsidRPr="00D765D5">
              <w:rPr>
                <w:rFonts w:eastAsia="Times New Roman" w:cs="Calibri"/>
                <w:color w:val="000000"/>
                <w:sz w:val="20"/>
                <w:szCs w:val="20"/>
                <w:lang w:eastAsia="hr-HR"/>
              </w:rPr>
              <w:t>0,202</w:t>
            </w:r>
          </w:p>
        </w:tc>
      </w:tr>
      <w:tr w:rsidR="00A34917" w:rsidRPr="00D765D5" w14:paraId="6E9D4AFC" w14:textId="77777777" w:rsidTr="00453468">
        <w:trPr>
          <w:trHeight w:val="123"/>
        </w:trPr>
        <w:tc>
          <w:tcPr>
            <w:tcW w:w="3244" w:type="pct"/>
            <w:noWrap/>
            <w:vAlign w:val="center"/>
            <w:hideMark/>
          </w:tcPr>
          <w:p w14:paraId="7D41DC2B" w14:textId="77777777" w:rsidR="00A34917" w:rsidRPr="00D765D5" w:rsidRDefault="00A34917" w:rsidP="00E92750">
            <w:pPr>
              <w:spacing w:after="0" w:line="240" w:lineRule="auto"/>
              <w:jc w:val="both"/>
              <w:rPr>
                <w:rFonts w:eastAsia="Times New Roman" w:cs="Calibri"/>
                <w:bCs/>
                <w:color w:val="000000"/>
                <w:sz w:val="20"/>
                <w:szCs w:val="20"/>
                <w:lang w:eastAsia="hr-HR"/>
              </w:rPr>
            </w:pPr>
            <w:r w:rsidRPr="00D765D5">
              <w:rPr>
                <w:rFonts w:eastAsia="Times New Roman" w:cs="Calibri"/>
                <w:bCs/>
                <w:color w:val="000000"/>
                <w:sz w:val="20"/>
                <w:szCs w:val="20"/>
                <w:lang w:eastAsia="hr-HR"/>
              </w:rPr>
              <w:t>Biomasa</w:t>
            </w:r>
            <w:r w:rsidRPr="00D765D5">
              <w:rPr>
                <w:rStyle w:val="FootnoteReference"/>
                <w:rFonts w:eastAsia="Times New Roman"/>
                <w:bCs/>
                <w:color w:val="000000"/>
                <w:sz w:val="20"/>
                <w:szCs w:val="20"/>
                <w:lang w:eastAsia="hr-HR"/>
              </w:rPr>
              <w:footnoteReference w:id="29"/>
            </w:r>
          </w:p>
        </w:tc>
        <w:tc>
          <w:tcPr>
            <w:tcW w:w="1756" w:type="pct"/>
            <w:noWrap/>
            <w:vAlign w:val="center"/>
            <w:hideMark/>
          </w:tcPr>
          <w:p w14:paraId="62A853A2" w14:textId="77777777" w:rsidR="00A34917" w:rsidRPr="00D765D5" w:rsidRDefault="00A34917" w:rsidP="00E92750">
            <w:pPr>
              <w:spacing w:after="0" w:line="240" w:lineRule="auto"/>
              <w:jc w:val="center"/>
              <w:rPr>
                <w:rFonts w:eastAsia="Times New Roman" w:cs="Calibri"/>
                <w:color w:val="000000"/>
                <w:sz w:val="20"/>
                <w:szCs w:val="20"/>
                <w:lang w:eastAsia="hr-HR"/>
              </w:rPr>
            </w:pPr>
            <w:r w:rsidRPr="00D765D5">
              <w:rPr>
                <w:rFonts w:eastAsia="Times New Roman" w:cs="Calibri"/>
                <w:color w:val="000000"/>
                <w:sz w:val="20"/>
                <w:szCs w:val="20"/>
                <w:lang w:eastAsia="hr-HR"/>
              </w:rPr>
              <w:t>0</w:t>
            </w:r>
          </w:p>
        </w:tc>
      </w:tr>
      <w:tr w:rsidR="00A34917" w:rsidRPr="00D765D5" w14:paraId="5342B2FA" w14:textId="77777777" w:rsidTr="00453468">
        <w:trPr>
          <w:trHeight w:val="123"/>
        </w:trPr>
        <w:tc>
          <w:tcPr>
            <w:tcW w:w="3244" w:type="pct"/>
            <w:noWrap/>
            <w:vAlign w:val="center"/>
          </w:tcPr>
          <w:p w14:paraId="23529D49" w14:textId="77777777" w:rsidR="00A34917" w:rsidRPr="00D765D5" w:rsidRDefault="00A34917" w:rsidP="00E92750">
            <w:pPr>
              <w:spacing w:after="0" w:line="240" w:lineRule="auto"/>
              <w:jc w:val="both"/>
              <w:rPr>
                <w:rFonts w:eastAsia="Times New Roman" w:cs="Calibri"/>
                <w:bCs/>
                <w:color w:val="000000"/>
                <w:sz w:val="20"/>
                <w:szCs w:val="20"/>
                <w:lang w:eastAsia="hr-HR"/>
              </w:rPr>
            </w:pPr>
            <w:r w:rsidRPr="00D765D5">
              <w:rPr>
                <w:rFonts w:eastAsia="Times New Roman" w:cs="Calibri"/>
                <w:bCs/>
                <w:color w:val="000000"/>
                <w:sz w:val="20"/>
                <w:szCs w:val="20"/>
                <w:lang w:eastAsia="hr-HR"/>
              </w:rPr>
              <w:t>Električna energija</w:t>
            </w:r>
          </w:p>
        </w:tc>
        <w:tc>
          <w:tcPr>
            <w:tcW w:w="1756" w:type="pct"/>
            <w:noWrap/>
            <w:vAlign w:val="center"/>
          </w:tcPr>
          <w:p w14:paraId="3368B709" w14:textId="77777777" w:rsidR="00A34917" w:rsidRPr="00D765D5" w:rsidRDefault="00A34917" w:rsidP="00E92750">
            <w:pPr>
              <w:spacing w:after="0" w:line="240" w:lineRule="auto"/>
              <w:jc w:val="center"/>
              <w:rPr>
                <w:rFonts w:eastAsia="Times New Roman" w:cs="Calibri"/>
                <w:color w:val="000000"/>
                <w:sz w:val="20"/>
                <w:szCs w:val="20"/>
                <w:lang w:eastAsia="hr-HR"/>
              </w:rPr>
            </w:pPr>
            <w:r w:rsidRPr="00D765D5">
              <w:rPr>
                <w:rFonts w:eastAsia="Times New Roman" w:cs="Calibri"/>
                <w:color w:val="000000"/>
                <w:sz w:val="20"/>
                <w:szCs w:val="20"/>
                <w:lang w:eastAsia="hr-HR"/>
              </w:rPr>
              <w:t>0,330</w:t>
            </w:r>
          </w:p>
        </w:tc>
      </w:tr>
      <w:tr w:rsidR="00A34917" w:rsidRPr="00D765D5" w14:paraId="35F4DF54" w14:textId="77777777" w:rsidTr="00453468">
        <w:trPr>
          <w:trHeight w:val="123"/>
        </w:trPr>
        <w:tc>
          <w:tcPr>
            <w:tcW w:w="3244" w:type="pct"/>
            <w:noWrap/>
            <w:vAlign w:val="center"/>
          </w:tcPr>
          <w:p w14:paraId="40D91170" w14:textId="77777777" w:rsidR="00A34917" w:rsidRPr="00D765D5" w:rsidRDefault="00A34917" w:rsidP="00E92750">
            <w:pPr>
              <w:spacing w:after="0" w:line="240" w:lineRule="auto"/>
              <w:jc w:val="both"/>
              <w:rPr>
                <w:rFonts w:eastAsia="Times New Roman" w:cs="Calibri"/>
                <w:bCs/>
                <w:color w:val="000000"/>
                <w:sz w:val="20"/>
                <w:szCs w:val="20"/>
                <w:lang w:eastAsia="hr-HR"/>
              </w:rPr>
            </w:pPr>
            <w:r w:rsidRPr="00D765D5">
              <w:rPr>
                <w:rFonts w:eastAsia="Times New Roman" w:cs="Calibri"/>
                <w:bCs/>
                <w:color w:val="000000"/>
                <w:sz w:val="20"/>
                <w:szCs w:val="20"/>
                <w:lang w:eastAsia="hr-HR"/>
              </w:rPr>
              <w:t>Toplinska energija</w:t>
            </w:r>
          </w:p>
        </w:tc>
        <w:tc>
          <w:tcPr>
            <w:tcW w:w="1756" w:type="pct"/>
            <w:noWrap/>
            <w:vAlign w:val="center"/>
          </w:tcPr>
          <w:p w14:paraId="627ECFC0" w14:textId="77777777" w:rsidR="00A34917" w:rsidRPr="00D765D5" w:rsidRDefault="00A34917" w:rsidP="00E92750">
            <w:pPr>
              <w:spacing w:after="0" w:line="240" w:lineRule="auto"/>
              <w:jc w:val="center"/>
              <w:rPr>
                <w:rFonts w:eastAsia="Times New Roman" w:cs="Calibri"/>
                <w:color w:val="000000"/>
                <w:sz w:val="20"/>
                <w:szCs w:val="20"/>
                <w:lang w:eastAsia="hr-HR"/>
              </w:rPr>
            </w:pPr>
            <w:r w:rsidRPr="00D765D5">
              <w:rPr>
                <w:rFonts w:eastAsia="Times New Roman" w:cs="Calibri"/>
                <w:color w:val="000000"/>
                <w:sz w:val="20"/>
                <w:szCs w:val="20"/>
                <w:lang w:eastAsia="hr-HR"/>
              </w:rPr>
              <w:t>0,274</w:t>
            </w:r>
          </w:p>
        </w:tc>
      </w:tr>
      <w:tr w:rsidR="00541262" w:rsidRPr="00D765D5" w14:paraId="4CE79A43" w14:textId="77777777" w:rsidTr="00453468">
        <w:trPr>
          <w:trHeight w:val="123"/>
        </w:trPr>
        <w:tc>
          <w:tcPr>
            <w:tcW w:w="3244" w:type="pct"/>
            <w:noWrap/>
            <w:vAlign w:val="center"/>
          </w:tcPr>
          <w:p w14:paraId="36AD4C11" w14:textId="6C15D4D4" w:rsidR="00541262" w:rsidRPr="00D765D5" w:rsidRDefault="00541262" w:rsidP="00E92750">
            <w:pPr>
              <w:spacing w:after="0" w:line="240" w:lineRule="auto"/>
              <w:jc w:val="both"/>
              <w:rPr>
                <w:rFonts w:eastAsia="Times New Roman" w:cs="Calibri"/>
                <w:bCs/>
                <w:color w:val="000000"/>
                <w:sz w:val="20"/>
                <w:szCs w:val="20"/>
                <w:lang w:eastAsia="hr-HR"/>
              </w:rPr>
            </w:pPr>
            <w:r>
              <w:rPr>
                <w:rFonts w:eastAsia="Times New Roman" w:cs="Calibri"/>
                <w:bCs/>
                <w:color w:val="000000"/>
                <w:sz w:val="20"/>
                <w:szCs w:val="20"/>
                <w:lang w:eastAsia="hr-HR"/>
              </w:rPr>
              <w:t>Lignit</w:t>
            </w:r>
          </w:p>
        </w:tc>
        <w:tc>
          <w:tcPr>
            <w:tcW w:w="1756" w:type="pct"/>
            <w:noWrap/>
            <w:vAlign w:val="center"/>
          </w:tcPr>
          <w:p w14:paraId="314C084F" w14:textId="1C92B6B7" w:rsidR="00541262" w:rsidRPr="00D765D5" w:rsidRDefault="00541262" w:rsidP="00E92750">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0,364</w:t>
            </w:r>
          </w:p>
        </w:tc>
      </w:tr>
      <w:tr w:rsidR="00541262" w:rsidRPr="00D765D5" w14:paraId="3E6DAFD4" w14:textId="77777777" w:rsidTr="00453468">
        <w:trPr>
          <w:trHeight w:val="123"/>
        </w:trPr>
        <w:tc>
          <w:tcPr>
            <w:tcW w:w="3244" w:type="pct"/>
            <w:noWrap/>
            <w:vAlign w:val="center"/>
          </w:tcPr>
          <w:p w14:paraId="5CC5879C" w14:textId="10FF3275" w:rsidR="00541262" w:rsidRDefault="00541262" w:rsidP="00E92750">
            <w:pPr>
              <w:spacing w:after="0" w:line="240" w:lineRule="auto"/>
              <w:jc w:val="both"/>
              <w:rPr>
                <w:rFonts w:eastAsia="Times New Roman" w:cs="Calibri"/>
                <w:bCs/>
                <w:color w:val="000000"/>
                <w:sz w:val="20"/>
                <w:szCs w:val="20"/>
                <w:lang w:eastAsia="hr-HR"/>
              </w:rPr>
            </w:pPr>
            <w:r>
              <w:rPr>
                <w:rFonts w:eastAsia="Times New Roman" w:cs="Calibri"/>
                <w:bCs/>
                <w:color w:val="000000"/>
                <w:sz w:val="20"/>
                <w:szCs w:val="20"/>
                <w:lang w:eastAsia="hr-HR"/>
              </w:rPr>
              <w:t>Mrki ugljen</w:t>
            </w:r>
          </w:p>
        </w:tc>
        <w:tc>
          <w:tcPr>
            <w:tcW w:w="1756" w:type="pct"/>
            <w:noWrap/>
            <w:vAlign w:val="center"/>
          </w:tcPr>
          <w:p w14:paraId="20F0515A" w14:textId="293F6F33" w:rsidR="00541262" w:rsidRDefault="00541262" w:rsidP="00E92750">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0,346</w:t>
            </w:r>
          </w:p>
        </w:tc>
      </w:tr>
    </w:tbl>
    <w:p w14:paraId="3EF2B1D8" w14:textId="1C07C4BC" w:rsidR="00A34917" w:rsidRPr="00230703" w:rsidRDefault="00A34917" w:rsidP="00E92750">
      <w:pPr>
        <w:spacing w:before="240" w:line="240" w:lineRule="auto"/>
        <w:jc w:val="both"/>
        <w:rPr>
          <w:rFonts w:eastAsia="Calibri" w:cstheme="minorHAnsi"/>
        </w:rPr>
      </w:pPr>
      <w:r w:rsidRPr="00230703">
        <w:rPr>
          <w:rFonts w:eastAsia="Calibri" w:cstheme="minorHAnsi"/>
        </w:rPr>
        <w:t xml:space="preserve">U </w:t>
      </w:r>
      <w:r w:rsidRPr="00230703">
        <w:rPr>
          <w:rFonts w:eastAsia="Calibri" w:cstheme="minorHAnsi"/>
        </w:rPr>
        <w:fldChar w:fldCharType="begin"/>
      </w:r>
      <w:r w:rsidRPr="00230703">
        <w:rPr>
          <w:rFonts w:eastAsia="Calibri" w:cstheme="minorHAnsi"/>
        </w:rPr>
        <w:instrText xml:space="preserve"> REF _Ref465430742 \h  \* MERGEFORMAT </w:instrText>
      </w:r>
      <w:r w:rsidRPr="00230703">
        <w:rPr>
          <w:rFonts w:eastAsia="Calibri" w:cstheme="minorHAnsi"/>
        </w:rPr>
      </w:r>
      <w:r w:rsidRPr="00230703">
        <w:rPr>
          <w:rFonts w:eastAsia="Calibri" w:cstheme="minorHAnsi"/>
        </w:rPr>
        <w:fldChar w:fldCharType="separate"/>
      </w:r>
      <w:r w:rsidR="00396784">
        <w:rPr>
          <w:rFonts w:eastAsia="Calibri" w:cstheme="minorHAnsi"/>
          <w:b/>
          <w:bCs/>
        </w:rPr>
        <w:t>Tablici</w:t>
      </w:r>
      <w:r w:rsidR="009C319B" w:rsidRPr="009C319B">
        <w:rPr>
          <w:rFonts w:eastAsia="Calibri" w:cstheme="minorHAnsi"/>
          <w:b/>
          <w:bCs/>
        </w:rPr>
        <w:t xml:space="preserve"> </w:t>
      </w:r>
      <w:r w:rsidR="009C319B" w:rsidRPr="009C319B">
        <w:rPr>
          <w:rFonts w:eastAsia="Calibri" w:cstheme="minorHAnsi"/>
          <w:b/>
          <w:bCs/>
          <w:noProof/>
        </w:rPr>
        <w:t>7.2</w:t>
      </w:r>
      <w:r w:rsidRPr="00230703">
        <w:rPr>
          <w:rFonts w:eastAsia="Calibri" w:cstheme="minorHAnsi"/>
        </w:rPr>
        <w:fldChar w:fldCharType="end"/>
      </w:r>
      <w:r w:rsidRPr="00230703">
        <w:rPr>
          <w:rFonts w:eastAsia="Calibri" w:cstheme="minorHAnsi"/>
        </w:rPr>
        <w:t xml:space="preserve"> te na </w:t>
      </w:r>
      <w:r w:rsidRPr="00230703">
        <w:rPr>
          <w:rFonts w:eastAsia="Calibri" w:cstheme="minorHAnsi"/>
        </w:rPr>
        <w:fldChar w:fldCharType="begin"/>
      </w:r>
      <w:r w:rsidRPr="00230703">
        <w:rPr>
          <w:rFonts w:eastAsia="Calibri" w:cstheme="minorHAnsi"/>
        </w:rPr>
        <w:instrText xml:space="preserve"> REF _Ref465430853 \h  \* MERGEFORMAT </w:instrText>
      </w:r>
      <w:r w:rsidRPr="00230703">
        <w:rPr>
          <w:rFonts w:eastAsia="Calibri" w:cstheme="minorHAnsi"/>
        </w:rPr>
      </w:r>
      <w:r w:rsidRPr="00230703">
        <w:rPr>
          <w:rFonts w:eastAsia="Calibri" w:cstheme="minorHAnsi"/>
        </w:rPr>
        <w:fldChar w:fldCharType="separate"/>
      </w:r>
      <w:r w:rsidR="00396784">
        <w:rPr>
          <w:rFonts w:eastAsia="Calibri" w:cstheme="minorHAnsi"/>
          <w:b/>
          <w:bCs/>
        </w:rPr>
        <w:t>Slici</w:t>
      </w:r>
      <w:r w:rsidR="009C319B" w:rsidRPr="006F33F9">
        <w:rPr>
          <w:rFonts w:eastAsia="Calibri" w:cstheme="minorHAnsi"/>
          <w:b/>
          <w:bCs/>
        </w:rPr>
        <w:t xml:space="preserve"> </w:t>
      </w:r>
      <w:r w:rsidR="009C319B">
        <w:rPr>
          <w:rFonts w:eastAsia="Calibri" w:cstheme="minorHAnsi"/>
          <w:b/>
          <w:bCs/>
          <w:noProof/>
        </w:rPr>
        <w:t>7</w:t>
      </w:r>
      <w:r w:rsidR="009C319B" w:rsidRPr="006F33F9">
        <w:rPr>
          <w:rFonts w:eastAsia="Calibri" w:cstheme="minorHAnsi"/>
          <w:b/>
          <w:bCs/>
          <w:noProof/>
        </w:rPr>
        <w:t>.</w:t>
      </w:r>
      <w:r w:rsidR="009C319B">
        <w:rPr>
          <w:rFonts w:eastAsia="Calibri" w:cstheme="minorHAnsi"/>
          <w:b/>
          <w:bCs/>
          <w:noProof/>
        </w:rPr>
        <w:t>1</w:t>
      </w:r>
      <w:r w:rsidRPr="00230703">
        <w:rPr>
          <w:rFonts w:eastAsia="Calibri" w:cstheme="minorHAnsi"/>
        </w:rPr>
        <w:fldChar w:fldCharType="end"/>
      </w:r>
      <w:r w:rsidRPr="00230703">
        <w:rPr>
          <w:rFonts w:eastAsia="Calibri" w:cstheme="minorHAnsi"/>
        </w:rPr>
        <w:t xml:space="preserve"> </w:t>
      </w:r>
      <w:r w:rsidRPr="00BA10EA">
        <w:rPr>
          <w:rFonts w:eastAsia="Calibri" w:cstheme="minorHAnsi"/>
        </w:rPr>
        <w:t>prik</w:t>
      </w:r>
      <w:r w:rsidRPr="00230703">
        <w:rPr>
          <w:rFonts w:eastAsia="Calibri" w:cstheme="minorHAnsi"/>
        </w:rPr>
        <w:t>azane su emisije CO</w:t>
      </w:r>
      <w:r w:rsidRPr="00230703">
        <w:rPr>
          <w:rFonts w:eastAsia="Calibri" w:cstheme="minorHAnsi"/>
          <w:vertAlign w:val="subscript"/>
        </w:rPr>
        <w:t>2</w:t>
      </w:r>
      <w:r w:rsidRPr="00230703">
        <w:rPr>
          <w:rFonts w:eastAsia="Calibri" w:cstheme="minorHAnsi"/>
        </w:rPr>
        <w:t xml:space="preserve"> sektora zgradarstva Grada</w:t>
      </w:r>
      <w:r w:rsidR="00CE4054" w:rsidRPr="00230703">
        <w:rPr>
          <w:rFonts w:eastAsia="Calibri" w:cstheme="minorHAnsi"/>
        </w:rPr>
        <w:t xml:space="preserve"> Zagreba</w:t>
      </w:r>
      <w:r w:rsidR="00000BA7" w:rsidRPr="00230703">
        <w:rPr>
          <w:rFonts w:eastAsia="Calibri" w:cstheme="minorHAnsi"/>
        </w:rPr>
        <w:t xml:space="preserve"> za</w:t>
      </w:r>
      <w:r w:rsidR="00875468" w:rsidRPr="00230703">
        <w:rPr>
          <w:rFonts w:eastAsia="Calibri" w:cstheme="minorHAnsi"/>
        </w:rPr>
        <w:t xml:space="preserve"> </w:t>
      </w:r>
      <w:r w:rsidR="00481E7D" w:rsidRPr="00230703">
        <w:rPr>
          <w:rFonts w:eastAsia="Calibri" w:cstheme="minorHAnsi"/>
        </w:rPr>
        <w:t>2015. godinu. Udio pojedinog energenta u ukupnoj emisiji CO</w:t>
      </w:r>
      <w:r w:rsidR="00481E7D" w:rsidRPr="00230703">
        <w:rPr>
          <w:rFonts w:eastAsia="Calibri" w:cstheme="minorHAnsi"/>
          <w:vertAlign w:val="subscript"/>
        </w:rPr>
        <w:t>2</w:t>
      </w:r>
      <w:r w:rsidR="00481E7D" w:rsidRPr="00230703">
        <w:rPr>
          <w:rFonts w:eastAsia="Calibri" w:cstheme="minorHAnsi"/>
        </w:rPr>
        <w:t xml:space="preserve"> iz sektora zgradarstva Grada Zagreba za 2015. godinu prikazan je na </w:t>
      </w:r>
      <w:r w:rsidR="00CE4054" w:rsidRPr="00230703">
        <w:rPr>
          <w:rFonts w:eastAsia="Calibri" w:cstheme="minorHAnsi"/>
        </w:rPr>
        <w:fldChar w:fldCharType="begin"/>
      </w:r>
      <w:r w:rsidR="00CE4054" w:rsidRPr="00230703">
        <w:rPr>
          <w:rFonts w:eastAsia="Calibri" w:cstheme="minorHAnsi"/>
        </w:rPr>
        <w:instrText xml:space="preserve"> REF _Ref465431410 \h  \* MERGEFORMAT </w:instrText>
      </w:r>
      <w:r w:rsidR="00CE4054" w:rsidRPr="00230703">
        <w:rPr>
          <w:rFonts w:eastAsia="Calibri" w:cstheme="minorHAnsi"/>
        </w:rPr>
      </w:r>
      <w:r w:rsidR="00CE4054" w:rsidRPr="00230703">
        <w:rPr>
          <w:rFonts w:eastAsia="Calibri" w:cstheme="minorHAnsi"/>
        </w:rPr>
        <w:fldChar w:fldCharType="separate"/>
      </w:r>
      <w:r w:rsidR="00396784">
        <w:rPr>
          <w:rFonts w:eastAsia="Calibri" w:cstheme="minorHAnsi"/>
          <w:b/>
          <w:bCs/>
        </w:rPr>
        <w:t>Slici</w:t>
      </w:r>
      <w:r w:rsidR="009C319B" w:rsidRPr="006F33F9">
        <w:rPr>
          <w:rFonts w:eastAsia="Calibri" w:cstheme="minorHAnsi"/>
          <w:b/>
          <w:bCs/>
        </w:rPr>
        <w:t xml:space="preserve"> </w:t>
      </w:r>
      <w:r w:rsidR="009C319B">
        <w:rPr>
          <w:rFonts w:eastAsia="Calibri" w:cstheme="minorHAnsi"/>
          <w:b/>
          <w:bCs/>
          <w:noProof/>
        </w:rPr>
        <w:t>7</w:t>
      </w:r>
      <w:r w:rsidR="009C319B" w:rsidRPr="006F33F9">
        <w:rPr>
          <w:rFonts w:eastAsia="Calibri" w:cstheme="minorHAnsi"/>
          <w:b/>
          <w:bCs/>
          <w:noProof/>
        </w:rPr>
        <w:t>.</w:t>
      </w:r>
      <w:r w:rsidR="009C319B">
        <w:rPr>
          <w:rFonts w:eastAsia="Calibri" w:cstheme="minorHAnsi"/>
          <w:b/>
          <w:bCs/>
          <w:noProof/>
        </w:rPr>
        <w:t>2</w:t>
      </w:r>
      <w:r w:rsidR="00CE4054" w:rsidRPr="00230703">
        <w:rPr>
          <w:rFonts w:eastAsia="Calibri" w:cstheme="minorHAnsi"/>
        </w:rPr>
        <w:fldChar w:fldCharType="end"/>
      </w:r>
      <w:r w:rsidR="00CE4054" w:rsidRPr="00230703">
        <w:rPr>
          <w:rFonts w:eastAsia="Calibri" w:cstheme="minorHAnsi"/>
        </w:rPr>
        <w:t xml:space="preserve"> </w:t>
      </w:r>
      <w:r w:rsidR="00253504" w:rsidRPr="00230703">
        <w:rPr>
          <w:rFonts w:eastAsia="Calibri" w:cstheme="minorHAnsi"/>
        </w:rPr>
        <w:t>te</w:t>
      </w:r>
      <w:r w:rsidR="00481E7D" w:rsidRPr="00230703">
        <w:rPr>
          <w:rFonts w:eastAsia="Calibri" w:cstheme="minorHAnsi"/>
        </w:rPr>
        <w:t xml:space="preserve"> udio pojedinog podsektora na</w:t>
      </w:r>
      <w:r w:rsidR="00253504" w:rsidRPr="00230703">
        <w:rPr>
          <w:rFonts w:eastAsia="Calibri" w:cstheme="minorHAnsi"/>
        </w:rPr>
        <w:t xml:space="preserve"> </w:t>
      </w:r>
      <w:r w:rsidR="00253504" w:rsidRPr="00230703">
        <w:rPr>
          <w:rFonts w:eastAsia="Calibri" w:cstheme="minorHAnsi"/>
        </w:rPr>
        <w:fldChar w:fldCharType="begin"/>
      </w:r>
      <w:r w:rsidR="00253504" w:rsidRPr="00230703">
        <w:rPr>
          <w:rFonts w:eastAsia="Calibri" w:cstheme="minorHAnsi"/>
        </w:rPr>
        <w:instrText xml:space="preserve"> REF _Ref465432729 \h </w:instrText>
      </w:r>
      <w:r w:rsidR="007C7920" w:rsidRPr="00230703">
        <w:rPr>
          <w:rFonts w:eastAsia="Calibri" w:cstheme="minorHAnsi"/>
        </w:rPr>
        <w:instrText xml:space="preserve"> \* MERGEFORMAT </w:instrText>
      </w:r>
      <w:r w:rsidR="00253504" w:rsidRPr="00230703">
        <w:rPr>
          <w:rFonts w:eastAsia="Calibri" w:cstheme="minorHAnsi"/>
        </w:rPr>
      </w:r>
      <w:r w:rsidR="00253504" w:rsidRPr="00230703">
        <w:rPr>
          <w:rFonts w:eastAsia="Calibri" w:cstheme="minorHAnsi"/>
        </w:rPr>
        <w:fldChar w:fldCharType="separate"/>
      </w:r>
      <w:r w:rsidR="00396784">
        <w:rPr>
          <w:rFonts w:eastAsia="Calibri" w:cstheme="minorHAnsi"/>
          <w:b/>
          <w:bCs/>
        </w:rPr>
        <w:t>Slici</w:t>
      </w:r>
      <w:r w:rsidR="009C319B" w:rsidRPr="001C39F2">
        <w:rPr>
          <w:rFonts w:eastAsia="Calibri" w:cstheme="minorHAnsi"/>
          <w:b/>
          <w:bCs/>
        </w:rPr>
        <w:t xml:space="preserve"> </w:t>
      </w:r>
      <w:r w:rsidR="009C319B">
        <w:rPr>
          <w:rFonts w:eastAsia="Calibri" w:cstheme="minorHAnsi"/>
          <w:b/>
          <w:bCs/>
          <w:noProof/>
        </w:rPr>
        <w:t>7</w:t>
      </w:r>
      <w:r w:rsidR="009C319B" w:rsidRPr="001C39F2">
        <w:rPr>
          <w:rFonts w:eastAsia="Calibri" w:cstheme="minorHAnsi"/>
          <w:b/>
          <w:bCs/>
          <w:noProof/>
        </w:rPr>
        <w:t>.</w:t>
      </w:r>
      <w:r w:rsidR="009C319B">
        <w:rPr>
          <w:rFonts w:eastAsia="Calibri" w:cstheme="minorHAnsi"/>
          <w:b/>
          <w:bCs/>
          <w:noProof/>
        </w:rPr>
        <w:t>3</w:t>
      </w:r>
      <w:r w:rsidR="00253504" w:rsidRPr="00230703">
        <w:rPr>
          <w:rFonts w:eastAsia="Calibri" w:cstheme="minorHAnsi"/>
        </w:rPr>
        <w:fldChar w:fldCharType="end"/>
      </w:r>
      <w:r w:rsidR="00481E7D" w:rsidRPr="00230703">
        <w:rPr>
          <w:rFonts w:eastAsia="Calibri" w:cstheme="minorHAnsi"/>
        </w:rPr>
        <w:t>.</w:t>
      </w:r>
    </w:p>
    <w:p w14:paraId="3F229ADB" w14:textId="4B0BADD4" w:rsidR="00AE2E47" w:rsidRPr="007C7920" w:rsidRDefault="00AE2E47" w:rsidP="00E92750">
      <w:pPr>
        <w:spacing w:line="240" w:lineRule="auto"/>
        <w:rPr>
          <w:rFonts w:eastAsia="Calibri" w:cstheme="minorHAnsi"/>
          <w:highlight w:val="yellow"/>
        </w:rPr>
        <w:sectPr w:rsidR="00AE2E47" w:rsidRPr="007C7920" w:rsidSect="00712F1F">
          <w:footerReference w:type="default" r:id="rId80"/>
          <w:pgSz w:w="11906" w:h="16838"/>
          <w:pgMar w:top="993" w:right="1417" w:bottom="1417" w:left="1417" w:header="708" w:footer="708" w:gutter="0"/>
          <w:pgNumType w:start="1"/>
          <w:cols w:space="708"/>
          <w:docGrid w:linePitch="360"/>
        </w:sectPr>
      </w:pPr>
    </w:p>
    <w:p w14:paraId="63637741" w14:textId="75674F1F" w:rsidR="00982838" w:rsidRPr="00A14345" w:rsidRDefault="002D2056" w:rsidP="00E92750">
      <w:pPr>
        <w:spacing w:after="0" w:line="240" w:lineRule="auto"/>
        <w:jc w:val="both"/>
        <w:rPr>
          <w:rFonts w:eastAsia="Calibri" w:cstheme="minorHAnsi"/>
        </w:rPr>
      </w:pPr>
      <w:bookmarkStart w:id="291" w:name="_Ref465430742"/>
      <w:bookmarkStart w:id="292" w:name="_Toc468277514"/>
      <w:r w:rsidRPr="00A14345">
        <w:rPr>
          <w:rFonts w:eastAsia="Calibri" w:cs="Times New Roman"/>
          <w:b/>
          <w:bCs/>
        </w:rPr>
        <w:lastRenderedPageBreak/>
        <w:t xml:space="preserve">Tablica </w:t>
      </w:r>
      <w:r w:rsidRPr="00A14345">
        <w:rPr>
          <w:rFonts w:eastAsia="Calibri" w:cs="Times New Roman"/>
          <w:b/>
          <w:bCs/>
        </w:rPr>
        <w:fldChar w:fldCharType="begin"/>
      </w:r>
      <w:r w:rsidRPr="00A14345">
        <w:rPr>
          <w:rFonts w:eastAsia="Calibri" w:cs="Times New Roman"/>
          <w:b/>
          <w:bCs/>
        </w:rPr>
        <w:instrText xml:space="preserve"> STYLEREF 1 \s </w:instrText>
      </w:r>
      <w:r w:rsidRPr="00A14345">
        <w:rPr>
          <w:rFonts w:eastAsia="Calibri" w:cs="Times New Roman"/>
          <w:b/>
          <w:bCs/>
        </w:rPr>
        <w:fldChar w:fldCharType="separate"/>
      </w:r>
      <w:r w:rsidR="009C319B">
        <w:rPr>
          <w:rFonts w:eastAsia="Calibri" w:cs="Times New Roman"/>
          <w:b/>
          <w:bCs/>
          <w:noProof/>
        </w:rPr>
        <w:t>7</w:t>
      </w:r>
      <w:r w:rsidRPr="00A14345">
        <w:rPr>
          <w:rFonts w:eastAsia="Calibri" w:cs="Times New Roman"/>
          <w:b/>
          <w:bCs/>
        </w:rPr>
        <w:fldChar w:fldCharType="end"/>
      </w:r>
      <w:r w:rsidRPr="00A14345">
        <w:rPr>
          <w:rFonts w:eastAsia="Calibri" w:cs="Times New Roman"/>
          <w:b/>
          <w:bCs/>
        </w:rPr>
        <w:t>.</w:t>
      </w:r>
      <w:r w:rsidRPr="00A14345">
        <w:rPr>
          <w:rFonts w:eastAsia="Calibri" w:cs="Times New Roman"/>
          <w:b/>
          <w:bCs/>
        </w:rPr>
        <w:fldChar w:fldCharType="begin"/>
      </w:r>
      <w:r w:rsidRPr="00A14345">
        <w:rPr>
          <w:rFonts w:eastAsia="Calibri" w:cs="Times New Roman"/>
          <w:b/>
          <w:bCs/>
        </w:rPr>
        <w:instrText xml:space="preserve"> SEQ Tablica \* ARABIC \s 1 </w:instrText>
      </w:r>
      <w:r w:rsidRPr="00A14345">
        <w:rPr>
          <w:rFonts w:eastAsia="Calibri" w:cs="Times New Roman"/>
          <w:b/>
          <w:bCs/>
        </w:rPr>
        <w:fldChar w:fldCharType="separate"/>
      </w:r>
      <w:r w:rsidR="009C319B">
        <w:rPr>
          <w:rFonts w:eastAsia="Calibri" w:cs="Times New Roman"/>
          <w:b/>
          <w:bCs/>
          <w:noProof/>
        </w:rPr>
        <w:t>2</w:t>
      </w:r>
      <w:r w:rsidRPr="00A14345">
        <w:rPr>
          <w:rFonts w:eastAsia="Calibri" w:cs="Times New Roman"/>
          <w:b/>
          <w:bCs/>
        </w:rPr>
        <w:fldChar w:fldCharType="end"/>
      </w:r>
      <w:bookmarkStart w:id="293" w:name="_Toc258239076"/>
      <w:bookmarkEnd w:id="291"/>
      <w:r w:rsidRPr="00A14345">
        <w:rPr>
          <w:rFonts w:ascii="Century Gothic" w:eastAsia="Calibri" w:hAnsi="Century Gothic" w:cs="Arial"/>
        </w:rPr>
        <w:t xml:space="preserve"> </w:t>
      </w:r>
      <w:r w:rsidR="002E1CFE" w:rsidRPr="00A14345">
        <w:rPr>
          <w:rFonts w:eastAsia="Calibri" w:cstheme="minorHAnsi"/>
        </w:rPr>
        <w:t xml:space="preserve">Kontrolni inventar </w:t>
      </w:r>
      <w:r w:rsidR="002E1CFE" w:rsidRPr="00A14345">
        <w:rPr>
          <w:rFonts w:cstheme="minorHAnsi"/>
        </w:rPr>
        <w:t>e</w:t>
      </w:r>
      <w:r w:rsidR="00982838" w:rsidRPr="00A14345">
        <w:rPr>
          <w:rFonts w:cstheme="minorHAnsi"/>
        </w:rPr>
        <w:t>misije CO</w:t>
      </w:r>
      <w:r w:rsidR="00982838" w:rsidRPr="00A14345">
        <w:rPr>
          <w:rFonts w:cstheme="minorHAnsi"/>
          <w:vertAlign w:val="subscript"/>
        </w:rPr>
        <w:t>2</w:t>
      </w:r>
      <w:r w:rsidR="00982838" w:rsidRPr="00A14345">
        <w:rPr>
          <w:rFonts w:cstheme="minorHAnsi"/>
        </w:rPr>
        <w:t xml:space="preserve"> sektora zgradarstva Grada Zagreba</w:t>
      </w:r>
      <w:bookmarkEnd w:id="293"/>
      <w:r w:rsidR="00855BFF" w:rsidRPr="00A14345">
        <w:rPr>
          <w:rFonts w:cstheme="minorHAnsi"/>
        </w:rPr>
        <w:t xml:space="preserve"> za 2015. godinu</w:t>
      </w:r>
      <w:bookmarkEnd w:id="292"/>
    </w:p>
    <w:tbl>
      <w:tblPr>
        <w:tblW w:w="5000" w:type="pct"/>
        <w:tblLook w:val="04A0" w:firstRow="1" w:lastRow="0" w:firstColumn="1" w:lastColumn="0" w:noHBand="0" w:noVBand="1"/>
      </w:tblPr>
      <w:tblGrid>
        <w:gridCol w:w="4435"/>
        <w:gridCol w:w="1016"/>
        <w:gridCol w:w="1117"/>
        <w:gridCol w:w="1117"/>
        <w:gridCol w:w="1016"/>
        <w:gridCol w:w="915"/>
        <w:gridCol w:w="1117"/>
        <w:gridCol w:w="770"/>
        <w:gridCol w:w="770"/>
        <w:gridCol w:w="867"/>
        <w:gridCol w:w="1278"/>
      </w:tblGrid>
      <w:tr w:rsidR="000B3203" w:rsidRPr="000B3203" w14:paraId="20EBE529" w14:textId="77777777" w:rsidTr="000B3203">
        <w:trPr>
          <w:trHeight w:val="225"/>
        </w:trPr>
        <w:tc>
          <w:tcPr>
            <w:tcW w:w="5000" w:type="pct"/>
            <w:gridSpan w:val="11"/>
            <w:tcBorders>
              <w:top w:val="single" w:sz="4" w:space="0" w:color="auto"/>
              <w:left w:val="single" w:sz="4" w:space="0" w:color="auto"/>
              <w:bottom w:val="single" w:sz="4" w:space="0" w:color="auto"/>
              <w:right w:val="single" w:sz="4" w:space="0" w:color="auto"/>
            </w:tcBorders>
            <w:shd w:val="clear" w:color="000000" w:fill="D9D9D9"/>
            <w:noWrap/>
            <w:hideMark/>
          </w:tcPr>
          <w:p w14:paraId="13F108D1" w14:textId="77777777" w:rsidR="000B3203" w:rsidRPr="000B3203" w:rsidRDefault="000B3203" w:rsidP="000B3203">
            <w:pPr>
              <w:spacing w:after="0" w:line="240" w:lineRule="auto"/>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ZGRADARSTVO - emisija (t CO</w:t>
            </w:r>
            <w:r w:rsidRPr="000B3203">
              <w:rPr>
                <w:rFonts w:ascii="Calibri" w:eastAsia="Times New Roman" w:hAnsi="Calibri" w:cs="Times New Roman"/>
                <w:b/>
                <w:bCs/>
                <w:color w:val="000000"/>
                <w:sz w:val="20"/>
                <w:szCs w:val="20"/>
                <w:vertAlign w:val="subscript"/>
                <w:lang w:eastAsia="hr-HR"/>
              </w:rPr>
              <w:t>2</w:t>
            </w:r>
            <w:r w:rsidRPr="000B3203">
              <w:rPr>
                <w:rFonts w:ascii="Calibri" w:eastAsia="Times New Roman" w:hAnsi="Calibri" w:cs="Times New Roman"/>
                <w:b/>
                <w:bCs/>
                <w:color w:val="000000"/>
                <w:sz w:val="20"/>
                <w:szCs w:val="20"/>
                <w:lang w:eastAsia="hr-HR"/>
              </w:rPr>
              <w:t>)</w:t>
            </w:r>
          </w:p>
        </w:tc>
      </w:tr>
      <w:tr w:rsidR="000B3203" w:rsidRPr="000B3203" w14:paraId="3360065B" w14:textId="77777777" w:rsidTr="000B3203">
        <w:trPr>
          <w:trHeight w:val="585"/>
        </w:trPr>
        <w:tc>
          <w:tcPr>
            <w:tcW w:w="2610" w:type="pct"/>
            <w:tcBorders>
              <w:top w:val="nil"/>
              <w:left w:val="single" w:sz="4" w:space="0" w:color="auto"/>
              <w:bottom w:val="single" w:sz="4" w:space="0" w:color="auto"/>
              <w:right w:val="single" w:sz="4" w:space="0" w:color="auto"/>
            </w:tcBorders>
            <w:shd w:val="clear" w:color="000000" w:fill="D9D9D9"/>
            <w:noWrap/>
            <w:hideMark/>
          </w:tcPr>
          <w:p w14:paraId="14C32852" w14:textId="77777777" w:rsidR="000B3203" w:rsidRPr="000B3203" w:rsidRDefault="000B3203" w:rsidP="000B3203">
            <w:pPr>
              <w:spacing w:after="0" w:line="240" w:lineRule="auto"/>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KATEGORIJA</w:t>
            </w:r>
          </w:p>
        </w:tc>
        <w:tc>
          <w:tcPr>
            <w:tcW w:w="272" w:type="pct"/>
            <w:tcBorders>
              <w:top w:val="nil"/>
              <w:left w:val="nil"/>
              <w:bottom w:val="single" w:sz="4" w:space="0" w:color="auto"/>
              <w:right w:val="single" w:sz="4" w:space="0" w:color="auto"/>
            </w:tcBorders>
            <w:shd w:val="clear" w:color="000000" w:fill="D9D9D9"/>
            <w:hideMark/>
          </w:tcPr>
          <w:p w14:paraId="1DEE7DC6"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Loživo ulje</w:t>
            </w:r>
          </w:p>
        </w:tc>
        <w:tc>
          <w:tcPr>
            <w:tcW w:w="220" w:type="pct"/>
            <w:tcBorders>
              <w:top w:val="nil"/>
              <w:left w:val="nil"/>
              <w:bottom w:val="single" w:sz="4" w:space="0" w:color="auto"/>
              <w:right w:val="single" w:sz="4" w:space="0" w:color="auto"/>
            </w:tcBorders>
            <w:shd w:val="clear" w:color="000000" w:fill="D9D9D9"/>
            <w:hideMark/>
          </w:tcPr>
          <w:p w14:paraId="615BE04E"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Prirodni plin</w:t>
            </w:r>
          </w:p>
        </w:tc>
        <w:tc>
          <w:tcPr>
            <w:tcW w:w="220" w:type="pct"/>
            <w:tcBorders>
              <w:top w:val="nil"/>
              <w:left w:val="nil"/>
              <w:bottom w:val="single" w:sz="4" w:space="0" w:color="auto"/>
              <w:right w:val="single" w:sz="4" w:space="0" w:color="auto"/>
            </w:tcBorders>
            <w:shd w:val="clear" w:color="000000" w:fill="D9D9D9"/>
            <w:hideMark/>
          </w:tcPr>
          <w:p w14:paraId="1CB90633"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Električna energija</w:t>
            </w:r>
          </w:p>
        </w:tc>
        <w:tc>
          <w:tcPr>
            <w:tcW w:w="291" w:type="pct"/>
            <w:tcBorders>
              <w:top w:val="nil"/>
              <w:left w:val="nil"/>
              <w:bottom w:val="single" w:sz="4" w:space="0" w:color="auto"/>
              <w:right w:val="single" w:sz="4" w:space="0" w:color="auto"/>
            </w:tcBorders>
            <w:shd w:val="clear" w:color="000000" w:fill="D9D9D9"/>
            <w:hideMark/>
          </w:tcPr>
          <w:p w14:paraId="012FA1A8"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UNP</w:t>
            </w:r>
          </w:p>
        </w:tc>
        <w:tc>
          <w:tcPr>
            <w:tcW w:w="283" w:type="pct"/>
            <w:tcBorders>
              <w:top w:val="nil"/>
              <w:left w:val="nil"/>
              <w:bottom w:val="single" w:sz="4" w:space="0" w:color="auto"/>
              <w:right w:val="single" w:sz="4" w:space="0" w:color="auto"/>
            </w:tcBorders>
            <w:shd w:val="clear" w:color="000000" w:fill="D9D9D9"/>
            <w:hideMark/>
          </w:tcPr>
          <w:p w14:paraId="1B595651"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Plinske boce</w:t>
            </w:r>
          </w:p>
        </w:tc>
        <w:tc>
          <w:tcPr>
            <w:tcW w:w="220" w:type="pct"/>
            <w:tcBorders>
              <w:top w:val="nil"/>
              <w:left w:val="nil"/>
              <w:bottom w:val="single" w:sz="4" w:space="0" w:color="auto"/>
              <w:right w:val="single" w:sz="4" w:space="0" w:color="auto"/>
            </w:tcBorders>
            <w:shd w:val="clear" w:color="000000" w:fill="D9D9D9"/>
            <w:hideMark/>
          </w:tcPr>
          <w:p w14:paraId="4D512250"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Toplana</w:t>
            </w:r>
          </w:p>
        </w:tc>
        <w:tc>
          <w:tcPr>
            <w:tcW w:w="220" w:type="pct"/>
            <w:tcBorders>
              <w:top w:val="nil"/>
              <w:left w:val="nil"/>
              <w:bottom w:val="single" w:sz="4" w:space="0" w:color="auto"/>
              <w:right w:val="single" w:sz="4" w:space="0" w:color="auto"/>
            </w:tcBorders>
            <w:shd w:val="clear" w:color="000000" w:fill="D9D9D9"/>
            <w:hideMark/>
          </w:tcPr>
          <w:p w14:paraId="3C9E47F1"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Mrki ugljen</w:t>
            </w:r>
          </w:p>
        </w:tc>
        <w:tc>
          <w:tcPr>
            <w:tcW w:w="220" w:type="pct"/>
            <w:tcBorders>
              <w:top w:val="nil"/>
              <w:left w:val="nil"/>
              <w:bottom w:val="single" w:sz="4" w:space="0" w:color="auto"/>
              <w:right w:val="single" w:sz="4" w:space="0" w:color="auto"/>
            </w:tcBorders>
            <w:shd w:val="clear" w:color="000000" w:fill="D9D9D9"/>
            <w:hideMark/>
          </w:tcPr>
          <w:p w14:paraId="1F3AC7DD"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Lignit</w:t>
            </w:r>
          </w:p>
        </w:tc>
        <w:tc>
          <w:tcPr>
            <w:tcW w:w="220" w:type="pct"/>
            <w:tcBorders>
              <w:top w:val="nil"/>
              <w:left w:val="nil"/>
              <w:bottom w:val="single" w:sz="4" w:space="0" w:color="auto"/>
              <w:right w:val="single" w:sz="4" w:space="0" w:color="auto"/>
            </w:tcBorders>
            <w:shd w:val="clear" w:color="000000" w:fill="D9D9D9"/>
            <w:hideMark/>
          </w:tcPr>
          <w:p w14:paraId="2D121E90"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Petrolej</w:t>
            </w:r>
          </w:p>
        </w:tc>
        <w:tc>
          <w:tcPr>
            <w:tcW w:w="220" w:type="pct"/>
            <w:tcBorders>
              <w:top w:val="nil"/>
              <w:left w:val="nil"/>
              <w:bottom w:val="single" w:sz="4" w:space="0" w:color="auto"/>
              <w:right w:val="single" w:sz="4" w:space="0" w:color="auto"/>
            </w:tcBorders>
            <w:shd w:val="clear" w:color="000000" w:fill="D9D9D9"/>
            <w:hideMark/>
          </w:tcPr>
          <w:p w14:paraId="2B2B3369"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UKUPNO</w:t>
            </w:r>
          </w:p>
        </w:tc>
      </w:tr>
      <w:tr w:rsidR="000B3203" w:rsidRPr="000B3203" w14:paraId="4DD7093A" w14:textId="77777777" w:rsidTr="000B3203">
        <w:trPr>
          <w:trHeight w:val="225"/>
        </w:trPr>
        <w:tc>
          <w:tcPr>
            <w:tcW w:w="2610" w:type="pct"/>
            <w:tcBorders>
              <w:top w:val="nil"/>
              <w:left w:val="single" w:sz="4" w:space="0" w:color="auto"/>
              <w:bottom w:val="single" w:sz="4" w:space="0" w:color="auto"/>
              <w:right w:val="single" w:sz="4" w:space="0" w:color="auto"/>
            </w:tcBorders>
            <w:shd w:val="clear" w:color="000000" w:fill="D9D9D9"/>
            <w:noWrap/>
            <w:hideMark/>
          </w:tcPr>
          <w:p w14:paraId="05E0A847" w14:textId="77777777" w:rsidR="000B3203" w:rsidRPr="000B3203" w:rsidRDefault="000B3203" w:rsidP="000B3203">
            <w:pPr>
              <w:spacing w:after="0" w:line="240" w:lineRule="auto"/>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 xml:space="preserve">STAMBENE I JAVNE ZGRADE U VLASNIŠTVU GRADA  </w:t>
            </w:r>
          </w:p>
        </w:tc>
        <w:tc>
          <w:tcPr>
            <w:tcW w:w="272" w:type="pct"/>
            <w:tcBorders>
              <w:top w:val="nil"/>
              <w:left w:val="nil"/>
              <w:bottom w:val="single" w:sz="4" w:space="0" w:color="auto"/>
              <w:right w:val="single" w:sz="4" w:space="0" w:color="auto"/>
            </w:tcBorders>
            <w:shd w:val="clear" w:color="auto" w:fill="auto"/>
            <w:noWrap/>
            <w:hideMark/>
          </w:tcPr>
          <w:p w14:paraId="16A46FC1" w14:textId="7911F9A5"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10 </w:t>
            </w:r>
            <w:r w:rsidR="000B3203" w:rsidRPr="000B3203">
              <w:rPr>
                <w:rFonts w:ascii="Calibri" w:eastAsia="Times New Roman" w:hAnsi="Calibri" w:cs="Times New Roman"/>
                <w:color w:val="000000"/>
                <w:sz w:val="20"/>
                <w:szCs w:val="20"/>
                <w:lang w:eastAsia="hr-HR"/>
              </w:rPr>
              <w:t>565,37</w:t>
            </w:r>
          </w:p>
        </w:tc>
        <w:tc>
          <w:tcPr>
            <w:tcW w:w="220" w:type="pct"/>
            <w:tcBorders>
              <w:top w:val="nil"/>
              <w:left w:val="nil"/>
              <w:bottom w:val="single" w:sz="4" w:space="0" w:color="auto"/>
              <w:right w:val="single" w:sz="4" w:space="0" w:color="auto"/>
            </w:tcBorders>
            <w:shd w:val="clear" w:color="auto" w:fill="auto"/>
            <w:noWrap/>
            <w:hideMark/>
          </w:tcPr>
          <w:p w14:paraId="3D600F49" w14:textId="2F8EAEB3"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35 </w:t>
            </w:r>
            <w:r w:rsidR="000B3203" w:rsidRPr="000B3203">
              <w:rPr>
                <w:rFonts w:ascii="Calibri" w:eastAsia="Times New Roman" w:hAnsi="Calibri" w:cs="Times New Roman"/>
                <w:color w:val="000000"/>
                <w:sz w:val="20"/>
                <w:szCs w:val="20"/>
                <w:lang w:eastAsia="hr-HR"/>
              </w:rPr>
              <w:t>872,86</w:t>
            </w:r>
          </w:p>
        </w:tc>
        <w:tc>
          <w:tcPr>
            <w:tcW w:w="220" w:type="pct"/>
            <w:tcBorders>
              <w:top w:val="nil"/>
              <w:left w:val="nil"/>
              <w:bottom w:val="single" w:sz="4" w:space="0" w:color="auto"/>
              <w:right w:val="single" w:sz="4" w:space="0" w:color="auto"/>
            </w:tcBorders>
            <w:shd w:val="clear" w:color="auto" w:fill="auto"/>
            <w:noWrap/>
            <w:hideMark/>
          </w:tcPr>
          <w:p w14:paraId="29374AFF" w14:textId="7ED28D6E"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50 </w:t>
            </w:r>
            <w:r w:rsidR="000B3203" w:rsidRPr="000B3203">
              <w:rPr>
                <w:rFonts w:ascii="Calibri" w:eastAsia="Times New Roman" w:hAnsi="Calibri" w:cs="Times New Roman"/>
                <w:color w:val="000000"/>
                <w:sz w:val="20"/>
                <w:szCs w:val="20"/>
                <w:lang w:eastAsia="hr-HR"/>
              </w:rPr>
              <w:t>225,42</w:t>
            </w:r>
          </w:p>
        </w:tc>
        <w:tc>
          <w:tcPr>
            <w:tcW w:w="291" w:type="pct"/>
            <w:tcBorders>
              <w:top w:val="nil"/>
              <w:left w:val="nil"/>
              <w:bottom w:val="single" w:sz="4" w:space="0" w:color="auto"/>
              <w:right w:val="single" w:sz="4" w:space="0" w:color="auto"/>
            </w:tcBorders>
            <w:shd w:val="clear" w:color="auto" w:fill="auto"/>
            <w:noWrap/>
            <w:hideMark/>
          </w:tcPr>
          <w:p w14:paraId="4944EC8E" w14:textId="77777777" w:rsidR="000B3203" w:rsidRPr="000B3203" w:rsidRDefault="000B3203" w:rsidP="000B3203">
            <w:pPr>
              <w:spacing w:after="0" w:line="240" w:lineRule="auto"/>
              <w:jc w:val="center"/>
              <w:rPr>
                <w:rFonts w:ascii="Calibri" w:eastAsia="Times New Roman" w:hAnsi="Calibri" w:cs="Times New Roman"/>
                <w:color w:val="000000"/>
                <w:sz w:val="20"/>
                <w:szCs w:val="20"/>
                <w:lang w:eastAsia="hr-HR"/>
              </w:rPr>
            </w:pPr>
            <w:r w:rsidRPr="000B3203">
              <w:rPr>
                <w:rFonts w:ascii="Calibri" w:eastAsia="Times New Roman" w:hAnsi="Calibri" w:cs="Times New Roman"/>
                <w:color w:val="000000"/>
                <w:sz w:val="20"/>
                <w:szCs w:val="20"/>
                <w:lang w:eastAsia="hr-HR"/>
              </w:rPr>
              <w:t>163,98</w:t>
            </w:r>
          </w:p>
        </w:tc>
        <w:tc>
          <w:tcPr>
            <w:tcW w:w="283" w:type="pct"/>
            <w:tcBorders>
              <w:top w:val="nil"/>
              <w:left w:val="nil"/>
              <w:bottom w:val="single" w:sz="4" w:space="0" w:color="auto"/>
              <w:right w:val="single" w:sz="4" w:space="0" w:color="auto"/>
            </w:tcBorders>
            <w:shd w:val="clear" w:color="auto" w:fill="auto"/>
            <w:noWrap/>
            <w:hideMark/>
          </w:tcPr>
          <w:p w14:paraId="7433EE35" w14:textId="239CADF2"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1 </w:t>
            </w:r>
            <w:r w:rsidR="000B3203" w:rsidRPr="000B3203">
              <w:rPr>
                <w:rFonts w:ascii="Calibri" w:eastAsia="Times New Roman" w:hAnsi="Calibri" w:cs="Times New Roman"/>
                <w:color w:val="000000"/>
                <w:sz w:val="20"/>
                <w:szCs w:val="20"/>
                <w:lang w:eastAsia="hr-HR"/>
              </w:rPr>
              <w:t>658,73</w:t>
            </w:r>
          </w:p>
        </w:tc>
        <w:tc>
          <w:tcPr>
            <w:tcW w:w="220" w:type="pct"/>
            <w:tcBorders>
              <w:top w:val="nil"/>
              <w:left w:val="nil"/>
              <w:bottom w:val="single" w:sz="4" w:space="0" w:color="auto"/>
              <w:right w:val="single" w:sz="4" w:space="0" w:color="auto"/>
            </w:tcBorders>
            <w:shd w:val="clear" w:color="auto" w:fill="auto"/>
            <w:noWrap/>
            <w:hideMark/>
          </w:tcPr>
          <w:p w14:paraId="0746534E" w14:textId="26644887"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36 </w:t>
            </w:r>
            <w:r w:rsidR="000B3203" w:rsidRPr="000B3203">
              <w:rPr>
                <w:rFonts w:ascii="Calibri" w:eastAsia="Times New Roman" w:hAnsi="Calibri" w:cs="Times New Roman"/>
                <w:color w:val="000000"/>
                <w:sz w:val="20"/>
                <w:szCs w:val="20"/>
                <w:lang w:eastAsia="hr-HR"/>
              </w:rPr>
              <w:t>633,85</w:t>
            </w:r>
          </w:p>
        </w:tc>
        <w:tc>
          <w:tcPr>
            <w:tcW w:w="220" w:type="pct"/>
            <w:tcBorders>
              <w:top w:val="nil"/>
              <w:left w:val="nil"/>
              <w:bottom w:val="single" w:sz="4" w:space="0" w:color="auto"/>
              <w:right w:val="single" w:sz="4" w:space="0" w:color="auto"/>
            </w:tcBorders>
            <w:shd w:val="clear" w:color="auto" w:fill="auto"/>
            <w:noWrap/>
            <w:hideMark/>
          </w:tcPr>
          <w:p w14:paraId="2FF6881E" w14:textId="09DA6270"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w:t>
            </w:r>
          </w:p>
        </w:tc>
        <w:tc>
          <w:tcPr>
            <w:tcW w:w="220" w:type="pct"/>
            <w:tcBorders>
              <w:top w:val="nil"/>
              <w:left w:val="nil"/>
              <w:bottom w:val="single" w:sz="4" w:space="0" w:color="auto"/>
              <w:right w:val="single" w:sz="4" w:space="0" w:color="auto"/>
            </w:tcBorders>
            <w:shd w:val="clear" w:color="auto" w:fill="auto"/>
            <w:noWrap/>
            <w:hideMark/>
          </w:tcPr>
          <w:p w14:paraId="1FD0A3E4" w14:textId="0DC5DEF4"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w:t>
            </w:r>
          </w:p>
        </w:tc>
        <w:tc>
          <w:tcPr>
            <w:tcW w:w="220" w:type="pct"/>
            <w:tcBorders>
              <w:top w:val="nil"/>
              <w:left w:val="nil"/>
              <w:bottom w:val="single" w:sz="4" w:space="0" w:color="auto"/>
              <w:right w:val="single" w:sz="4" w:space="0" w:color="auto"/>
            </w:tcBorders>
            <w:shd w:val="clear" w:color="auto" w:fill="auto"/>
            <w:noWrap/>
            <w:hideMark/>
          </w:tcPr>
          <w:p w14:paraId="222C3620" w14:textId="7DC42629"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w:t>
            </w:r>
          </w:p>
        </w:tc>
        <w:tc>
          <w:tcPr>
            <w:tcW w:w="220" w:type="pct"/>
            <w:tcBorders>
              <w:top w:val="nil"/>
              <w:left w:val="nil"/>
              <w:bottom w:val="single" w:sz="4" w:space="0" w:color="auto"/>
              <w:right w:val="single" w:sz="4" w:space="0" w:color="auto"/>
            </w:tcBorders>
            <w:shd w:val="clear" w:color="auto" w:fill="auto"/>
            <w:noWrap/>
            <w:hideMark/>
          </w:tcPr>
          <w:p w14:paraId="15252A5E" w14:textId="77777777" w:rsidR="000B3203" w:rsidRPr="000B3203" w:rsidRDefault="000B3203" w:rsidP="000B3203">
            <w:pPr>
              <w:spacing w:after="0" w:line="240" w:lineRule="auto"/>
              <w:jc w:val="center"/>
              <w:rPr>
                <w:rFonts w:ascii="Calibri" w:eastAsia="Times New Roman" w:hAnsi="Calibri" w:cs="Times New Roman"/>
                <w:color w:val="000000"/>
                <w:sz w:val="20"/>
                <w:szCs w:val="20"/>
                <w:lang w:eastAsia="hr-HR"/>
              </w:rPr>
            </w:pPr>
            <w:r w:rsidRPr="000B3203">
              <w:rPr>
                <w:rFonts w:ascii="Calibri" w:eastAsia="Times New Roman" w:hAnsi="Calibri" w:cs="Times New Roman"/>
                <w:color w:val="000000"/>
                <w:sz w:val="20"/>
                <w:szCs w:val="20"/>
                <w:lang w:eastAsia="hr-HR"/>
              </w:rPr>
              <w:t>135.120,22</w:t>
            </w:r>
          </w:p>
        </w:tc>
      </w:tr>
      <w:tr w:rsidR="000B3203" w:rsidRPr="000B3203" w14:paraId="009739E8" w14:textId="77777777" w:rsidTr="000B3203">
        <w:trPr>
          <w:trHeight w:val="225"/>
        </w:trPr>
        <w:tc>
          <w:tcPr>
            <w:tcW w:w="2610" w:type="pct"/>
            <w:tcBorders>
              <w:top w:val="nil"/>
              <w:left w:val="single" w:sz="4" w:space="0" w:color="auto"/>
              <w:bottom w:val="single" w:sz="4" w:space="0" w:color="auto"/>
              <w:right w:val="single" w:sz="4" w:space="0" w:color="auto"/>
            </w:tcBorders>
            <w:shd w:val="clear" w:color="000000" w:fill="D9D9D9"/>
            <w:noWrap/>
            <w:hideMark/>
          </w:tcPr>
          <w:p w14:paraId="4D89CEEF" w14:textId="77777777" w:rsidR="000B3203" w:rsidRPr="000B3203" w:rsidRDefault="000B3203" w:rsidP="000B3203">
            <w:pPr>
              <w:spacing w:after="0" w:line="240" w:lineRule="auto"/>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STANOVI - KUĆANSTVA</w:t>
            </w:r>
          </w:p>
        </w:tc>
        <w:tc>
          <w:tcPr>
            <w:tcW w:w="272" w:type="pct"/>
            <w:tcBorders>
              <w:top w:val="nil"/>
              <w:left w:val="nil"/>
              <w:bottom w:val="single" w:sz="4" w:space="0" w:color="auto"/>
              <w:right w:val="single" w:sz="4" w:space="0" w:color="auto"/>
            </w:tcBorders>
            <w:shd w:val="clear" w:color="auto" w:fill="auto"/>
            <w:noWrap/>
            <w:hideMark/>
          </w:tcPr>
          <w:p w14:paraId="3AD49100" w14:textId="7E06016C"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11 </w:t>
            </w:r>
            <w:r w:rsidR="000B3203" w:rsidRPr="000B3203">
              <w:rPr>
                <w:rFonts w:ascii="Calibri" w:eastAsia="Times New Roman" w:hAnsi="Calibri" w:cs="Times New Roman"/>
                <w:color w:val="000000"/>
                <w:sz w:val="20"/>
                <w:szCs w:val="20"/>
                <w:lang w:eastAsia="hr-HR"/>
              </w:rPr>
              <w:t>602,50</w:t>
            </w:r>
          </w:p>
        </w:tc>
        <w:tc>
          <w:tcPr>
            <w:tcW w:w="220" w:type="pct"/>
            <w:tcBorders>
              <w:top w:val="nil"/>
              <w:left w:val="nil"/>
              <w:bottom w:val="single" w:sz="4" w:space="0" w:color="auto"/>
              <w:right w:val="single" w:sz="4" w:space="0" w:color="auto"/>
            </w:tcBorders>
            <w:shd w:val="clear" w:color="auto" w:fill="auto"/>
            <w:noWrap/>
            <w:hideMark/>
          </w:tcPr>
          <w:p w14:paraId="07CB6F3E" w14:textId="0296EB9A"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434 </w:t>
            </w:r>
            <w:r w:rsidR="000B3203" w:rsidRPr="000B3203">
              <w:rPr>
                <w:rFonts w:ascii="Calibri" w:eastAsia="Times New Roman" w:hAnsi="Calibri" w:cs="Times New Roman"/>
                <w:color w:val="000000"/>
                <w:sz w:val="20"/>
                <w:szCs w:val="20"/>
                <w:lang w:eastAsia="hr-HR"/>
              </w:rPr>
              <w:t>166,07</w:t>
            </w:r>
          </w:p>
        </w:tc>
        <w:tc>
          <w:tcPr>
            <w:tcW w:w="220" w:type="pct"/>
            <w:tcBorders>
              <w:top w:val="nil"/>
              <w:left w:val="nil"/>
              <w:bottom w:val="single" w:sz="4" w:space="0" w:color="auto"/>
              <w:right w:val="single" w:sz="4" w:space="0" w:color="auto"/>
            </w:tcBorders>
            <w:shd w:val="clear" w:color="auto" w:fill="auto"/>
            <w:noWrap/>
            <w:hideMark/>
          </w:tcPr>
          <w:p w14:paraId="22774084" w14:textId="0B68CB14"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353 </w:t>
            </w:r>
            <w:r w:rsidR="000B3203" w:rsidRPr="000B3203">
              <w:rPr>
                <w:rFonts w:ascii="Calibri" w:eastAsia="Times New Roman" w:hAnsi="Calibri" w:cs="Times New Roman"/>
                <w:color w:val="000000"/>
                <w:sz w:val="20"/>
                <w:szCs w:val="20"/>
                <w:lang w:eastAsia="hr-HR"/>
              </w:rPr>
              <w:t>456,59</w:t>
            </w:r>
          </w:p>
        </w:tc>
        <w:tc>
          <w:tcPr>
            <w:tcW w:w="291" w:type="pct"/>
            <w:tcBorders>
              <w:top w:val="nil"/>
              <w:left w:val="nil"/>
              <w:bottom w:val="single" w:sz="4" w:space="0" w:color="auto"/>
              <w:right w:val="single" w:sz="4" w:space="0" w:color="auto"/>
            </w:tcBorders>
            <w:shd w:val="clear" w:color="auto" w:fill="auto"/>
            <w:noWrap/>
            <w:hideMark/>
          </w:tcPr>
          <w:p w14:paraId="53F2DB1F" w14:textId="4EDAEDFA"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7 </w:t>
            </w:r>
            <w:r w:rsidR="000B3203" w:rsidRPr="000B3203">
              <w:rPr>
                <w:rFonts w:ascii="Calibri" w:eastAsia="Times New Roman" w:hAnsi="Calibri" w:cs="Times New Roman"/>
                <w:color w:val="000000"/>
                <w:sz w:val="20"/>
                <w:szCs w:val="20"/>
                <w:lang w:eastAsia="hr-HR"/>
              </w:rPr>
              <w:t>264,00</w:t>
            </w:r>
          </w:p>
        </w:tc>
        <w:tc>
          <w:tcPr>
            <w:tcW w:w="283" w:type="pct"/>
            <w:tcBorders>
              <w:top w:val="nil"/>
              <w:left w:val="nil"/>
              <w:bottom w:val="single" w:sz="4" w:space="0" w:color="auto"/>
              <w:right w:val="single" w:sz="4" w:space="0" w:color="auto"/>
            </w:tcBorders>
            <w:shd w:val="clear" w:color="auto" w:fill="auto"/>
            <w:noWrap/>
            <w:hideMark/>
          </w:tcPr>
          <w:p w14:paraId="26CD25EE" w14:textId="4182536E"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w:t>
            </w:r>
          </w:p>
        </w:tc>
        <w:tc>
          <w:tcPr>
            <w:tcW w:w="220" w:type="pct"/>
            <w:tcBorders>
              <w:top w:val="nil"/>
              <w:left w:val="nil"/>
              <w:bottom w:val="single" w:sz="4" w:space="0" w:color="auto"/>
              <w:right w:val="single" w:sz="4" w:space="0" w:color="auto"/>
            </w:tcBorders>
            <w:shd w:val="clear" w:color="auto" w:fill="auto"/>
            <w:noWrap/>
            <w:hideMark/>
          </w:tcPr>
          <w:p w14:paraId="2734E3FE" w14:textId="4F4A1E19"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250 </w:t>
            </w:r>
            <w:r w:rsidR="000B3203" w:rsidRPr="000B3203">
              <w:rPr>
                <w:rFonts w:ascii="Calibri" w:eastAsia="Times New Roman" w:hAnsi="Calibri" w:cs="Times New Roman"/>
                <w:color w:val="000000"/>
                <w:sz w:val="20"/>
                <w:szCs w:val="20"/>
                <w:lang w:eastAsia="hr-HR"/>
              </w:rPr>
              <w:t>915,06</w:t>
            </w:r>
          </w:p>
        </w:tc>
        <w:tc>
          <w:tcPr>
            <w:tcW w:w="220" w:type="pct"/>
            <w:tcBorders>
              <w:top w:val="nil"/>
              <w:left w:val="nil"/>
              <w:bottom w:val="single" w:sz="4" w:space="0" w:color="auto"/>
              <w:right w:val="single" w:sz="4" w:space="0" w:color="auto"/>
            </w:tcBorders>
            <w:shd w:val="clear" w:color="auto" w:fill="auto"/>
            <w:noWrap/>
            <w:hideMark/>
          </w:tcPr>
          <w:p w14:paraId="331B5A85" w14:textId="77777777" w:rsidR="000B3203" w:rsidRPr="000B3203" w:rsidRDefault="000B3203" w:rsidP="000B3203">
            <w:pPr>
              <w:spacing w:after="0" w:line="240" w:lineRule="auto"/>
              <w:jc w:val="center"/>
              <w:rPr>
                <w:rFonts w:ascii="Calibri" w:eastAsia="Times New Roman" w:hAnsi="Calibri" w:cs="Times New Roman"/>
                <w:color w:val="000000"/>
                <w:sz w:val="20"/>
                <w:szCs w:val="20"/>
                <w:lang w:eastAsia="hr-HR"/>
              </w:rPr>
            </w:pPr>
            <w:r w:rsidRPr="000B3203">
              <w:rPr>
                <w:rFonts w:ascii="Calibri" w:eastAsia="Times New Roman" w:hAnsi="Calibri" w:cs="Times New Roman"/>
                <w:color w:val="000000"/>
                <w:sz w:val="20"/>
                <w:szCs w:val="20"/>
                <w:lang w:eastAsia="hr-HR"/>
              </w:rPr>
              <w:t>657,40</w:t>
            </w:r>
          </w:p>
        </w:tc>
        <w:tc>
          <w:tcPr>
            <w:tcW w:w="220" w:type="pct"/>
            <w:tcBorders>
              <w:top w:val="nil"/>
              <w:left w:val="nil"/>
              <w:bottom w:val="single" w:sz="4" w:space="0" w:color="auto"/>
              <w:right w:val="single" w:sz="4" w:space="0" w:color="auto"/>
            </w:tcBorders>
            <w:shd w:val="clear" w:color="auto" w:fill="auto"/>
            <w:noWrap/>
            <w:hideMark/>
          </w:tcPr>
          <w:p w14:paraId="3B6C7297" w14:textId="77777777" w:rsidR="000B3203" w:rsidRPr="000B3203" w:rsidRDefault="000B3203" w:rsidP="000B3203">
            <w:pPr>
              <w:spacing w:after="0" w:line="240" w:lineRule="auto"/>
              <w:jc w:val="center"/>
              <w:rPr>
                <w:rFonts w:ascii="Calibri" w:eastAsia="Times New Roman" w:hAnsi="Calibri" w:cs="Times New Roman"/>
                <w:color w:val="000000"/>
                <w:sz w:val="20"/>
                <w:szCs w:val="20"/>
                <w:lang w:eastAsia="hr-HR"/>
              </w:rPr>
            </w:pPr>
            <w:r w:rsidRPr="000B3203">
              <w:rPr>
                <w:rFonts w:ascii="Calibri" w:eastAsia="Times New Roman" w:hAnsi="Calibri" w:cs="Times New Roman"/>
                <w:color w:val="000000"/>
                <w:sz w:val="20"/>
                <w:szCs w:val="20"/>
                <w:lang w:eastAsia="hr-HR"/>
              </w:rPr>
              <w:t>436,80</w:t>
            </w:r>
          </w:p>
        </w:tc>
        <w:tc>
          <w:tcPr>
            <w:tcW w:w="220" w:type="pct"/>
            <w:tcBorders>
              <w:top w:val="nil"/>
              <w:left w:val="nil"/>
              <w:bottom w:val="single" w:sz="4" w:space="0" w:color="auto"/>
              <w:right w:val="single" w:sz="4" w:space="0" w:color="auto"/>
            </w:tcBorders>
            <w:shd w:val="clear" w:color="auto" w:fill="auto"/>
            <w:noWrap/>
            <w:hideMark/>
          </w:tcPr>
          <w:p w14:paraId="4A74CF44" w14:textId="77777777" w:rsidR="000B3203" w:rsidRPr="000B3203" w:rsidRDefault="000B3203" w:rsidP="000B3203">
            <w:pPr>
              <w:spacing w:after="0" w:line="240" w:lineRule="auto"/>
              <w:jc w:val="center"/>
              <w:rPr>
                <w:rFonts w:ascii="Calibri" w:eastAsia="Times New Roman" w:hAnsi="Calibri" w:cs="Times New Roman"/>
                <w:color w:val="000000"/>
                <w:sz w:val="20"/>
                <w:szCs w:val="20"/>
                <w:lang w:eastAsia="hr-HR"/>
              </w:rPr>
            </w:pPr>
            <w:r w:rsidRPr="000B3203">
              <w:rPr>
                <w:rFonts w:ascii="Calibri" w:eastAsia="Times New Roman" w:hAnsi="Calibri" w:cs="Times New Roman"/>
                <w:color w:val="000000"/>
                <w:sz w:val="20"/>
                <w:szCs w:val="20"/>
                <w:lang w:eastAsia="hr-HR"/>
              </w:rPr>
              <w:t>569,17</w:t>
            </w:r>
          </w:p>
        </w:tc>
        <w:tc>
          <w:tcPr>
            <w:tcW w:w="220" w:type="pct"/>
            <w:tcBorders>
              <w:top w:val="nil"/>
              <w:left w:val="nil"/>
              <w:bottom w:val="single" w:sz="4" w:space="0" w:color="auto"/>
              <w:right w:val="single" w:sz="4" w:space="0" w:color="auto"/>
            </w:tcBorders>
            <w:shd w:val="clear" w:color="auto" w:fill="auto"/>
            <w:noWrap/>
            <w:hideMark/>
          </w:tcPr>
          <w:p w14:paraId="7E403752" w14:textId="77777777" w:rsidR="000B3203" w:rsidRPr="000B3203" w:rsidRDefault="000B3203" w:rsidP="000B3203">
            <w:pPr>
              <w:spacing w:after="0" w:line="240" w:lineRule="auto"/>
              <w:jc w:val="center"/>
              <w:rPr>
                <w:rFonts w:ascii="Calibri" w:eastAsia="Times New Roman" w:hAnsi="Calibri" w:cs="Times New Roman"/>
                <w:color w:val="000000"/>
                <w:sz w:val="20"/>
                <w:szCs w:val="20"/>
                <w:lang w:eastAsia="hr-HR"/>
              </w:rPr>
            </w:pPr>
            <w:r w:rsidRPr="000B3203">
              <w:rPr>
                <w:rFonts w:ascii="Calibri" w:eastAsia="Times New Roman" w:hAnsi="Calibri" w:cs="Times New Roman"/>
                <w:color w:val="000000"/>
                <w:sz w:val="20"/>
                <w:szCs w:val="20"/>
                <w:lang w:eastAsia="hr-HR"/>
              </w:rPr>
              <w:t>1.059.067,60</w:t>
            </w:r>
          </w:p>
        </w:tc>
      </w:tr>
      <w:tr w:rsidR="000B3203" w:rsidRPr="000B3203" w14:paraId="674DA12D" w14:textId="77777777" w:rsidTr="000B3203">
        <w:trPr>
          <w:trHeight w:val="225"/>
        </w:trPr>
        <w:tc>
          <w:tcPr>
            <w:tcW w:w="2610" w:type="pct"/>
            <w:tcBorders>
              <w:top w:val="nil"/>
              <w:left w:val="single" w:sz="4" w:space="0" w:color="auto"/>
              <w:bottom w:val="single" w:sz="4" w:space="0" w:color="auto"/>
              <w:right w:val="single" w:sz="4" w:space="0" w:color="auto"/>
            </w:tcBorders>
            <w:shd w:val="clear" w:color="000000" w:fill="D9D9D9"/>
            <w:noWrap/>
            <w:hideMark/>
          </w:tcPr>
          <w:p w14:paraId="44952929" w14:textId="77777777" w:rsidR="000B3203" w:rsidRPr="000B3203" w:rsidRDefault="000B3203" w:rsidP="000B3203">
            <w:pPr>
              <w:spacing w:after="0" w:line="240" w:lineRule="auto"/>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KOMERCIJALNE  I USLUŽNE DJELATNOSTI</w:t>
            </w:r>
          </w:p>
        </w:tc>
        <w:tc>
          <w:tcPr>
            <w:tcW w:w="272" w:type="pct"/>
            <w:tcBorders>
              <w:top w:val="nil"/>
              <w:left w:val="nil"/>
              <w:bottom w:val="single" w:sz="4" w:space="0" w:color="auto"/>
              <w:right w:val="single" w:sz="4" w:space="0" w:color="auto"/>
            </w:tcBorders>
            <w:shd w:val="clear" w:color="auto" w:fill="auto"/>
            <w:noWrap/>
            <w:hideMark/>
          </w:tcPr>
          <w:p w14:paraId="2958E65C" w14:textId="67330138"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40 </w:t>
            </w:r>
            <w:r w:rsidR="000B3203" w:rsidRPr="000B3203">
              <w:rPr>
                <w:rFonts w:ascii="Calibri" w:eastAsia="Times New Roman" w:hAnsi="Calibri" w:cs="Times New Roman"/>
                <w:color w:val="000000"/>
                <w:sz w:val="20"/>
                <w:szCs w:val="20"/>
                <w:lang w:eastAsia="hr-HR"/>
              </w:rPr>
              <w:t>349,40</w:t>
            </w:r>
          </w:p>
        </w:tc>
        <w:tc>
          <w:tcPr>
            <w:tcW w:w="220" w:type="pct"/>
            <w:tcBorders>
              <w:top w:val="nil"/>
              <w:left w:val="nil"/>
              <w:bottom w:val="single" w:sz="4" w:space="0" w:color="auto"/>
              <w:right w:val="single" w:sz="4" w:space="0" w:color="auto"/>
            </w:tcBorders>
            <w:shd w:val="clear" w:color="auto" w:fill="auto"/>
            <w:noWrap/>
            <w:hideMark/>
          </w:tcPr>
          <w:p w14:paraId="528A1BE8" w14:textId="29F82339"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144 </w:t>
            </w:r>
            <w:r w:rsidR="000B3203" w:rsidRPr="000B3203">
              <w:rPr>
                <w:rFonts w:ascii="Calibri" w:eastAsia="Times New Roman" w:hAnsi="Calibri" w:cs="Times New Roman"/>
                <w:color w:val="000000"/>
                <w:sz w:val="20"/>
                <w:szCs w:val="20"/>
                <w:lang w:eastAsia="hr-HR"/>
              </w:rPr>
              <w:t>351,76</w:t>
            </w:r>
          </w:p>
        </w:tc>
        <w:tc>
          <w:tcPr>
            <w:tcW w:w="220" w:type="pct"/>
            <w:tcBorders>
              <w:top w:val="nil"/>
              <w:left w:val="nil"/>
              <w:bottom w:val="single" w:sz="4" w:space="0" w:color="auto"/>
              <w:right w:val="single" w:sz="4" w:space="0" w:color="auto"/>
            </w:tcBorders>
            <w:shd w:val="clear" w:color="auto" w:fill="auto"/>
            <w:noWrap/>
            <w:hideMark/>
          </w:tcPr>
          <w:p w14:paraId="175D6DDF" w14:textId="57E31B41"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256 </w:t>
            </w:r>
            <w:r w:rsidR="000B3203" w:rsidRPr="000B3203">
              <w:rPr>
                <w:rFonts w:ascii="Calibri" w:eastAsia="Times New Roman" w:hAnsi="Calibri" w:cs="Times New Roman"/>
                <w:color w:val="000000"/>
                <w:sz w:val="20"/>
                <w:szCs w:val="20"/>
                <w:lang w:eastAsia="hr-HR"/>
              </w:rPr>
              <w:t>853,67</w:t>
            </w:r>
          </w:p>
        </w:tc>
        <w:tc>
          <w:tcPr>
            <w:tcW w:w="291" w:type="pct"/>
            <w:tcBorders>
              <w:top w:val="nil"/>
              <w:left w:val="nil"/>
              <w:bottom w:val="single" w:sz="4" w:space="0" w:color="auto"/>
              <w:right w:val="single" w:sz="4" w:space="0" w:color="auto"/>
            </w:tcBorders>
            <w:shd w:val="clear" w:color="auto" w:fill="auto"/>
            <w:noWrap/>
            <w:hideMark/>
          </w:tcPr>
          <w:p w14:paraId="764CCEA3" w14:textId="2EC4CAF7"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9 </w:t>
            </w:r>
            <w:r w:rsidR="000B3203" w:rsidRPr="000B3203">
              <w:rPr>
                <w:rFonts w:ascii="Calibri" w:eastAsia="Times New Roman" w:hAnsi="Calibri" w:cs="Times New Roman"/>
                <w:color w:val="000000"/>
                <w:sz w:val="20"/>
                <w:szCs w:val="20"/>
                <w:lang w:eastAsia="hr-HR"/>
              </w:rPr>
              <w:t>080,00</w:t>
            </w:r>
          </w:p>
        </w:tc>
        <w:tc>
          <w:tcPr>
            <w:tcW w:w="283" w:type="pct"/>
            <w:tcBorders>
              <w:top w:val="nil"/>
              <w:left w:val="nil"/>
              <w:bottom w:val="single" w:sz="4" w:space="0" w:color="auto"/>
              <w:right w:val="single" w:sz="4" w:space="0" w:color="auto"/>
            </w:tcBorders>
            <w:shd w:val="clear" w:color="auto" w:fill="auto"/>
            <w:noWrap/>
            <w:hideMark/>
          </w:tcPr>
          <w:p w14:paraId="7BA0401E" w14:textId="42FB2EF2"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w:t>
            </w:r>
          </w:p>
        </w:tc>
        <w:tc>
          <w:tcPr>
            <w:tcW w:w="220" w:type="pct"/>
            <w:tcBorders>
              <w:top w:val="nil"/>
              <w:left w:val="nil"/>
              <w:bottom w:val="single" w:sz="4" w:space="0" w:color="auto"/>
              <w:right w:val="single" w:sz="4" w:space="0" w:color="auto"/>
            </w:tcBorders>
            <w:shd w:val="clear" w:color="auto" w:fill="auto"/>
            <w:noWrap/>
            <w:hideMark/>
          </w:tcPr>
          <w:p w14:paraId="4DC8B74F" w14:textId="70ACB281"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 xml:space="preserve">157 </w:t>
            </w:r>
            <w:r w:rsidR="000B3203" w:rsidRPr="000B3203">
              <w:rPr>
                <w:rFonts w:ascii="Calibri" w:eastAsia="Times New Roman" w:hAnsi="Calibri" w:cs="Times New Roman"/>
                <w:color w:val="000000"/>
                <w:sz w:val="20"/>
                <w:szCs w:val="20"/>
                <w:lang w:eastAsia="hr-HR"/>
              </w:rPr>
              <w:t>119,50</w:t>
            </w:r>
          </w:p>
        </w:tc>
        <w:tc>
          <w:tcPr>
            <w:tcW w:w="220" w:type="pct"/>
            <w:tcBorders>
              <w:top w:val="nil"/>
              <w:left w:val="nil"/>
              <w:bottom w:val="single" w:sz="4" w:space="0" w:color="auto"/>
              <w:right w:val="single" w:sz="4" w:space="0" w:color="auto"/>
            </w:tcBorders>
            <w:shd w:val="clear" w:color="auto" w:fill="auto"/>
            <w:noWrap/>
            <w:hideMark/>
          </w:tcPr>
          <w:p w14:paraId="282D27A5" w14:textId="697A3FEC"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w:t>
            </w:r>
          </w:p>
        </w:tc>
        <w:tc>
          <w:tcPr>
            <w:tcW w:w="220" w:type="pct"/>
            <w:tcBorders>
              <w:top w:val="nil"/>
              <w:left w:val="nil"/>
              <w:bottom w:val="single" w:sz="4" w:space="0" w:color="auto"/>
              <w:right w:val="single" w:sz="4" w:space="0" w:color="auto"/>
            </w:tcBorders>
            <w:shd w:val="clear" w:color="auto" w:fill="auto"/>
            <w:noWrap/>
            <w:hideMark/>
          </w:tcPr>
          <w:p w14:paraId="6756A587" w14:textId="0B32438E"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w:t>
            </w:r>
          </w:p>
        </w:tc>
        <w:tc>
          <w:tcPr>
            <w:tcW w:w="220" w:type="pct"/>
            <w:tcBorders>
              <w:top w:val="nil"/>
              <w:left w:val="nil"/>
              <w:bottom w:val="single" w:sz="4" w:space="0" w:color="auto"/>
              <w:right w:val="single" w:sz="4" w:space="0" w:color="auto"/>
            </w:tcBorders>
            <w:shd w:val="clear" w:color="auto" w:fill="auto"/>
            <w:noWrap/>
            <w:hideMark/>
          </w:tcPr>
          <w:p w14:paraId="02191BEA" w14:textId="192D20E5" w:rsidR="000B3203" w:rsidRPr="000B3203" w:rsidRDefault="00EC648A" w:rsidP="000B3203">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w:t>
            </w:r>
          </w:p>
        </w:tc>
        <w:tc>
          <w:tcPr>
            <w:tcW w:w="220" w:type="pct"/>
            <w:tcBorders>
              <w:top w:val="nil"/>
              <w:left w:val="nil"/>
              <w:bottom w:val="single" w:sz="4" w:space="0" w:color="auto"/>
              <w:right w:val="single" w:sz="4" w:space="0" w:color="auto"/>
            </w:tcBorders>
            <w:shd w:val="clear" w:color="auto" w:fill="auto"/>
            <w:noWrap/>
            <w:hideMark/>
          </w:tcPr>
          <w:p w14:paraId="18509AC1" w14:textId="77777777" w:rsidR="000B3203" w:rsidRPr="000B3203" w:rsidRDefault="000B3203" w:rsidP="000B3203">
            <w:pPr>
              <w:spacing w:after="0" w:line="240" w:lineRule="auto"/>
              <w:jc w:val="center"/>
              <w:rPr>
                <w:rFonts w:ascii="Calibri" w:eastAsia="Times New Roman" w:hAnsi="Calibri" w:cs="Times New Roman"/>
                <w:color w:val="000000"/>
                <w:sz w:val="20"/>
                <w:szCs w:val="20"/>
                <w:lang w:eastAsia="hr-HR"/>
              </w:rPr>
            </w:pPr>
            <w:r w:rsidRPr="000B3203">
              <w:rPr>
                <w:rFonts w:ascii="Calibri" w:eastAsia="Times New Roman" w:hAnsi="Calibri" w:cs="Times New Roman"/>
                <w:color w:val="000000"/>
                <w:sz w:val="20"/>
                <w:szCs w:val="20"/>
                <w:lang w:eastAsia="hr-HR"/>
              </w:rPr>
              <w:t>607.754,33</w:t>
            </w:r>
          </w:p>
        </w:tc>
      </w:tr>
      <w:tr w:rsidR="000B3203" w:rsidRPr="000B3203" w14:paraId="792C9E6B" w14:textId="77777777" w:rsidTr="000B3203">
        <w:trPr>
          <w:trHeight w:val="225"/>
        </w:trPr>
        <w:tc>
          <w:tcPr>
            <w:tcW w:w="2610" w:type="pct"/>
            <w:tcBorders>
              <w:top w:val="nil"/>
              <w:left w:val="single" w:sz="4" w:space="0" w:color="auto"/>
              <w:bottom w:val="single" w:sz="4" w:space="0" w:color="auto"/>
              <w:right w:val="single" w:sz="4" w:space="0" w:color="auto"/>
            </w:tcBorders>
            <w:shd w:val="clear" w:color="000000" w:fill="D9D9D9"/>
            <w:noWrap/>
            <w:hideMark/>
          </w:tcPr>
          <w:p w14:paraId="282D1BA2" w14:textId="77777777" w:rsidR="000B3203" w:rsidRPr="000B3203" w:rsidRDefault="000B3203" w:rsidP="000B3203">
            <w:pPr>
              <w:spacing w:after="0" w:line="240" w:lineRule="auto"/>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ZGRADARSTVO UKUPNO</w:t>
            </w:r>
          </w:p>
        </w:tc>
        <w:tc>
          <w:tcPr>
            <w:tcW w:w="272" w:type="pct"/>
            <w:tcBorders>
              <w:top w:val="nil"/>
              <w:left w:val="nil"/>
              <w:bottom w:val="single" w:sz="4" w:space="0" w:color="auto"/>
              <w:right w:val="single" w:sz="4" w:space="0" w:color="auto"/>
            </w:tcBorders>
            <w:shd w:val="clear" w:color="000000" w:fill="D9D9D9"/>
            <w:noWrap/>
            <w:hideMark/>
          </w:tcPr>
          <w:p w14:paraId="6589D8FC" w14:textId="26789569" w:rsidR="000B3203" w:rsidRPr="000B3203" w:rsidRDefault="00EC648A" w:rsidP="000B3203">
            <w:pPr>
              <w:spacing w:after="0" w:line="240" w:lineRule="auto"/>
              <w:jc w:val="center"/>
              <w:rPr>
                <w:rFonts w:ascii="Calibri" w:eastAsia="Times New Roman" w:hAnsi="Calibri" w:cs="Times New Roman"/>
                <w:b/>
                <w:bCs/>
                <w:color w:val="000000"/>
                <w:sz w:val="20"/>
                <w:szCs w:val="20"/>
                <w:lang w:eastAsia="hr-HR"/>
              </w:rPr>
            </w:pPr>
            <w:r>
              <w:rPr>
                <w:rFonts w:ascii="Calibri" w:eastAsia="Times New Roman" w:hAnsi="Calibri" w:cs="Times New Roman"/>
                <w:b/>
                <w:bCs/>
                <w:color w:val="000000"/>
                <w:sz w:val="20"/>
                <w:szCs w:val="20"/>
                <w:lang w:eastAsia="hr-HR"/>
              </w:rPr>
              <w:t xml:space="preserve">62 </w:t>
            </w:r>
            <w:r w:rsidR="000B3203" w:rsidRPr="000B3203">
              <w:rPr>
                <w:rFonts w:ascii="Calibri" w:eastAsia="Times New Roman" w:hAnsi="Calibri" w:cs="Times New Roman"/>
                <w:b/>
                <w:bCs/>
                <w:color w:val="000000"/>
                <w:sz w:val="20"/>
                <w:szCs w:val="20"/>
                <w:lang w:eastAsia="hr-HR"/>
              </w:rPr>
              <w:t>517,27</w:t>
            </w:r>
          </w:p>
        </w:tc>
        <w:tc>
          <w:tcPr>
            <w:tcW w:w="220" w:type="pct"/>
            <w:tcBorders>
              <w:top w:val="nil"/>
              <w:left w:val="nil"/>
              <w:bottom w:val="single" w:sz="4" w:space="0" w:color="auto"/>
              <w:right w:val="single" w:sz="4" w:space="0" w:color="auto"/>
            </w:tcBorders>
            <w:shd w:val="clear" w:color="000000" w:fill="D9D9D9"/>
            <w:noWrap/>
            <w:hideMark/>
          </w:tcPr>
          <w:p w14:paraId="74563228" w14:textId="498A0BE0" w:rsidR="000B3203" w:rsidRPr="000B3203" w:rsidRDefault="00EC648A" w:rsidP="000B3203">
            <w:pPr>
              <w:spacing w:after="0" w:line="240" w:lineRule="auto"/>
              <w:jc w:val="center"/>
              <w:rPr>
                <w:rFonts w:ascii="Calibri" w:eastAsia="Times New Roman" w:hAnsi="Calibri" w:cs="Times New Roman"/>
                <w:b/>
                <w:bCs/>
                <w:color w:val="000000"/>
                <w:sz w:val="20"/>
                <w:szCs w:val="20"/>
                <w:lang w:eastAsia="hr-HR"/>
              </w:rPr>
            </w:pPr>
            <w:r>
              <w:rPr>
                <w:rFonts w:ascii="Calibri" w:eastAsia="Times New Roman" w:hAnsi="Calibri" w:cs="Times New Roman"/>
                <w:b/>
                <w:bCs/>
                <w:color w:val="000000"/>
                <w:sz w:val="20"/>
                <w:szCs w:val="20"/>
                <w:lang w:eastAsia="hr-HR"/>
              </w:rPr>
              <w:t xml:space="preserve">614 </w:t>
            </w:r>
            <w:r w:rsidR="000B3203" w:rsidRPr="000B3203">
              <w:rPr>
                <w:rFonts w:ascii="Calibri" w:eastAsia="Times New Roman" w:hAnsi="Calibri" w:cs="Times New Roman"/>
                <w:b/>
                <w:bCs/>
                <w:color w:val="000000"/>
                <w:sz w:val="20"/>
                <w:szCs w:val="20"/>
                <w:lang w:eastAsia="hr-HR"/>
              </w:rPr>
              <w:t>390,70</w:t>
            </w:r>
          </w:p>
        </w:tc>
        <w:tc>
          <w:tcPr>
            <w:tcW w:w="220" w:type="pct"/>
            <w:tcBorders>
              <w:top w:val="nil"/>
              <w:left w:val="nil"/>
              <w:bottom w:val="single" w:sz="4" w:space="0" w:color="auto"/>
              <w:right w:val="single" w:sz="4" w:space="0" w:color="auto"/>
            </w:tcBorders>
            <w:shd w:val="clear" w:color="000000" w:fill="D9D9D9"/>
            <w:noWrap/>
            <w:hideMark/>
          </w:tcPr>
          <w:p w14:paraId="29CF16FA" w14:textId="30822FEC" w:rsidR="000B3203" w:rsidRPr="000B3203" w:rsidRDefault="00EC648A" w:rsidP="000B3203">
            <w:pPr>
              <w:spacing w:after="0" w:line="240" w:lineRule="auto"/>
              <w:jc w:val="center"/>
              <w:rPr>
                <w:rFonts w:ascii="Calibri" w:eastAsia="Times New Roman" w:hAnsi="Calibri" w:cs="Times New Roman"/>
                <w:b/>
                <w:bCs/>
                <w:color w:val="000000"/>
                <w:sz w:val="20"/>
                <w:szCs w:val="20"/>
                <w:lang w:eastAsia="hr-HR"/>
              </w:rPr>
            </w:pPr>
            <w:r>
              <w:rPr>
                <w:rFonts w:ascii="Calibri" w:eastAsia="Times New Roman" w:hAnsi="Calibri" w:cs="Times New Roman"/>
                <w:b/>
                <w:bCs/>
                <w:color w:val="000000"/>
                <w:sz w:val="20"/>
                <w:szCs w:val="20"/>
                <w:lang w:eastAsia="hr-HR"/>
              </w:rPr>
              <w:t xml:space="preserve">660 </w:t>
            </w:r>
            <w:r w:rsidR="000B3203" w:rsidRPr="000B3203">
              <w:rPr>
                <w:rFonts w:ascii="Calibri" w:eastAsia="Times New Roman" w:hAnsi="Calibri" w:cs="Times New Roman"/>
                <w:b/>
                <w:bCs/>
                <w:color w:val="000000"/>
                <w:sz w:val="20"/>
                <w:szCs w:val="20"/>
                <w:lang w:eastAsia="hr-HR"/>
              </w:rPr>
              <w:t>535,68</w:t>
            </w:r>
          </w:p>
        </w:tc>
        <w:tc>
          <w:tcPr>
            <w:tcW w:w="291" w:type="pct"/>
            <w:tcBorders>
              <w:top w:val="nil"/>
              <w:left w:val="nil"/>
              <w:bottom w:val="single" w:sz="4" w:space="0" w:color="auto"/>
              <w:right w:val="single" w:sz="4" w:space="0" w:color="auto"/>
            </w:tcBorders>
            <w:shd w:val="clear" w:color="000000" w:fill="D9D9D9"/>
            <w:noWrap/>
            <w:hideMark/>
          </w:tcPr>
          <w:p w14:paraId="08B144C6" w14:textId="78444A14" w:rsidR="000B3203" w:rsidRPr="000B3203" w:rsidRDefault="00EC648A" w:rsidP="000B3203">
            <w:pPr>
              <w:spacing w:after="0" w:line="240" w:lineRule="auto"/>
              <w:jc w:val="center"/>
              <w:rPr>
                <w:rFonts w:ascii="Calibri" w:eastAsia="Times New Roman" w:hAnsi="Calibri" w:cs="Times New Roman"/>
                <w:b/>
                <w:bCs/>
                <w:color w:val="000000"/>
                <w:sz w:val="20"/>
                <w:szCs w:val="20"/>
                <w:lang w:eastAsia="hr-HR"/>
              </w:rPr>
            </w:pPr>
            <w:r>
              <w:rPr>
                <w:rFonts w:ascii="Calibri" w:eastAsia="Times New Roman" w:hAnsi="Calibri" w:cs="Times New Roman"/>
                <w:b/>
                <w:bCs/>
                <w:color w:val="000000"/>
                <w:sz w:val="20"/>
                <w:szCs w:val="20"/>
                <w:lang w:eastAsia="hr-HR"/>
              </w:rPr>
              <w:t xml:space="preserve">16 </w:t>
            </w:r>
            <w:r w:rsidR="000B3203" w:rsidRPr="000B3203">
              <w:rPr>
                <w:rFonts w:ascii="Calibri" w:eastAsia="Times New Roman" w:hAnsi="Calibri" w:cs="Times New Roman"/>
                <w:b/>
                <w:bCs/>
                <w:color w:val="000000"/>
                <w:sz w:val="20"/>
                <w:szCs w:val="20"/>
                <w:lang w:eastAsia="hr-HR"/>
              </w:rPr>
              <w:t>507,98</w:t>
            </w:r>
          </w:p>
        </w:tc>
        <w:tc>
          <w:tcPr>
            <w:tcW w:w="283" w:type="pct"/>
            <w:tcBorders>
              <w:top w:val="nil"/>
              <w:left w:val="nil"/>
              <w:bottom w:val="single" w:sz="4" w:space="0" w:color="auto"/>
              <w:right w:val="single" w:sz="4" w:space="0" w:color="auto"/>
            </w:tcBorders>
            <w:shd w:val="clear" w:color="000000" w:fill="D9D9D9"/>
            <w:noWrap/>
            <w:hideMark/>
          </w:tcPr>
          <w:p w14:paraId="13A80C24" w14:textId="31FF71A9" w:rsidR="000B3203" w:rsidRPr="000B3203" w:rsidRDefault="00EC648A" w:rsidP="000B3203">
            <w:pPr>
              <w:spacing w:after="0" w:line="240" w:lineRule="auto"/>
              <w:jc w:val="center"/>
              <w:rPr>
                <w:rFonts w:ascii="Calibri" w:eastAsia="Times New Roman" w:hAnsi="Calibri" w:cs="Times New Roman"/>
                <w:b/>
                <w:bCs/>
                <w:color w:val="000000"/>
                <w:sz w:val="20"/>
                <w:szCs w:val="20"/>
                <w:lang w:eastAsia="hr-HR"/>
              </w:rPr>
            </w:pPr>
            <w:r>
              <w:rPr>
                <w:rFonts w:ascii="Calibri" w:eastAsia="Times New Roman" w:hAnsi="Calibri" w:cs="Times New Roman"/>
                <w:b/>
                <w:bCs/>
                <w:color w:val="000000"/>
                <w:sz w:val="20"/>
                <w:szCs w:val="20"/>
                <w:lang w:eastAsia="hr-HR"/>
              </w:rPr>
              <w:t xml:space="preserve">1 </w:t>
            </w:r>
            <w:r w:rsidR="000B3203" w:rsidRPr="000B3203">
              <w:rPr>
                <w:rFonts w:ascii="Calibri" w:eastAsia="Times New Roman" w:hAnsi="Calibri" w:cs="Times New Roman"/>
                <w:b/>
                <w:bCs/>
                <w:color w:val="000000"/>
                <w:sz w:val="20"/>
                <w:szCs w:val="20"/>
                <w:lang w:eastAsia="hr-HR"/>
              </w:rPr>
              <w:t>658,73</w:t>
            </w:r>
          </w:p>
        </w:tc>
        <w:tc>
          <w:tcPr>
            <w:tcW w:w="220" w:type="pct"/>
            <w:tcBorders>
              <w:top w:val="nil"/>
              <w:left w:val="nil"/>
              <w:bottom w:val="single" w:sz="4" w:space="0" w:color="auto"/>
              <w:right w:val="single" w:sz="4" w:space="0" w:color="auto"/>
            </w:tcBorders>
            <w:shd w:val="clear" w:color="000000" w:fill="D9D9D9"/>
            <w:noWrap/>
            <w:hideMark/>
          </w:tcPr>
          <w:p w14:paraId="30E67B00" w14:textId="48972F2C" w:rsidR="000B3203" w:rsidRPr="000B3203" w:rsidRDefault="00EC648A" w:rsidP="000B3203">
            <w:pPr>
              <w:spacing w:after="0" w:line="240" w:lineRule="auto"/>
              <w:jc w:val="center"/>
              <w:rPr>
                <w:rFonts w:ascii="Calibri" w:eastAsia="Times New Roman" w:hAnsi="Calibri" w:cs="Times New Roman"/>
                <w:b/>
                <w:bCs/>
                <w:color w:val="000000"/>
                <w:sz w:val="20"/>
                <w:szCs w:val="20"/>
                <w:lang w:eastAsia="hr-HR"/>
              </w:rPr>
            </w:pPr>
            <w:r>
              <w:rPr>
                <w:rFonts w:ascii="Calibri" w:eastAsia="Times New Roman" w:hAnsi="Calibri" w:cs="Times New Roman"/>
                <w:b/>
                <w:bCs/>
                <w:color w:val="000000"/>
                <w:sz w:val="20"/>
                <w:szCs w:val="20"/>
                <w:lang w:eastAsia="hr-HR"/>
              </w:rPr>
              <w:t xml:space="preserve">444 </w:t>
            </w:r>
            <w:r w:rsidR="000B3203" w:rsidRPr="000B3203">
              <w:rPr>
                <w:rFonts w:ascii="Calibri" w:eastAsia="Times New Roman" w:hAnsi="Calibri" w:cs="Times New Roman"/>
                <w:b/>
                <w:bCs/>
                <w:color w:val="000000"/>
                <w:sz w:val="20"/>
                <w:szCs w:val="20"/>
                <w:lang w:eastAsia="hr-HR"/>
              </w:rPr>
              <w:t>668,42</w:t>
            </w:r>
          </w:p>
        </w:tc>
        <w:tc>
          <w:tcPr>
            <w:tcW w:w="220" w:type="pct"/>
            <w:tcBorders>
              <w:top w:val="nil"/>
              <w:left w:val="nil"/>
              <w:bottom w:val="single" w:sz="4" w:space="0" w:color="auto"/>
              <w:right w:val="single" w:sz="4" w:space="0" w:color="auto"/>
            </w:tcBorders>
            <w:shd w:val="clear" w:color="000000" w:fill="D9D9D9"/>
            <w:noWrap/>
            <w:hideMark/>
          </w:tcPr>
          <w:p w14:paraId="15097224"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657,40</w:t>
            </w:r>
          </w:p>
        </w:tc>
        <w:tc>
          <w:tcPr>
            <w:tcW w:w="220" w:type="pct"/>
            <w:tcBorders>
              <w:top w:val="nil"/>
              <w:left w:val="nil"/>
              <w:bottom w:val="single" w:sz="4" w:space="0" w:color="auto"/>
              <w:right w:val="single" w:sz="4" w:space="0" w:color="auto"/>
            </w:tcBorders>
            <w:shd w:val="clear" w:color="000000" w:fill="D9D9D9"/>
            <w:noWrap/>
            <w:hideMark/>
          </w:tcPr>
          <w:p w14:paraId="266C78F7"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436,80</w:t>
            </w:r>
          </w:p>
        </w:tc>
        <w:tc>
          <w:tcPr>
            <w:tcW w:w="220" w:type="pct"/>
            <w:tcBorders>
              <w:top w:val="nil"/>
              <w:left w:val="nil"/>
              <w:bottom w:val="single" w:sz="4" w:space="0" w:color="auto"/>
              <w:right w:val="single" w:sz="4" w:space="0" w:color="auto"/>
            </w:tcBorders>
            <w:shd w:val="clear" w:color="000000" w:fill="D9D9D9"/>
            <w:noWrap/>
            <w:hideMark/>
          </w:tcPr>
          <w:p w14:paraId="2A6963D0"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569,17</w:t>
            </w:r>
          </w:p>
        </w:tc>
        <w:tc>
          <w:tcPr>
            <w:tcW w:w="220" w:type="pct"/>
            <w:tcBorders>
              <w:top w:val="nil"/>
              <w:left w:val="nil"/>
              <w:bottom w:val="single" w:sz="4" w:space="0" w:color="auto"/>
              <w:right w:val="single" w:sz="4" w:space="0" w:color="auto"/>
            </w:tcBorders>
            <w:shd w:val="clear" w:color="000000" w:fill="D9D9D9"/>
            <w:noWrap/>
            <w:hideMark/>
          </w:tcPr>
          <w:p w14:paraId="2826F25D" w14:textId="77777777" w:rsidR="000B3203" w:rsidRPr="000B3203" w:rsidRDefault="000B3203" w:rsidP="000B3203">
            <w:pPr>
              <w:spacing w:after="0" w:line="240" w:lineRule="auto"/>
              <w:jc w:val="center"/>
              <w:rPr>
                <w:rFonts w:ascii="Calibri" w:eastAsia="Times New Roman" w:hAnsi="Calibri" w:cs="Times New Roman"/>
                <w:b/>
                <w:bCs/>
                <w:color w:val="000000"/>
                <w:sz w:val="20"/>
                <w:szCs w:val="20"/>
                <w:lang w:eastAsia="hr-HR"/>
              </w:rPr>
            </w:pPr>
            <w:r w:rsidRPr="000B3203">
              <w:rPr>
                <w:rFonts w:ascii="Calibri" w:eastAsia="Times New Roman" w:hAnsi="Calibri" w:cs="Times New Roman"/>
                <w:b/>
                <w:bCs/>
                <w:color w:val="000000"/>
                <w:sz w:val="20"/>
                <w:szCs w:val="20"/>
                <w:lang w:eastAsia="hr-HR"/>
              </w:rPr>
              <w:t>1.801.942,15</w:t>
            </w:r>
          </w:p>
        </w:tc>
      </w:tr>
    </w:tbl>
    <w:p w14:paraId="6C2938DB" w14:textId="77777777" w:rsidR="000B3203" w:rsidRDefault="000B3203" w:rsidP="000B3203">
      <w:pPr>
        <w:spacing w:before="240" w:after="0" w:line="240" w:lineRule="auto"/>
        <w:jc w:val="center"/>
        <w:rPr>
          <w:noProof/>
          <w:lang w:eastAsia="hr-HR"/>
        </w:rPr>
      </w:pPr>
      <w:r>
        <w:rPr>
          <w:noProof/>
          <w:lang w:eastAsia="hr-HR"/>
        </w:rPr>
        <w:lastRenderedPageBreak/>
        <w:drawing>
          <wp:inline distT="0" distB="0" distL="0" distR="0" wp14:anchorId="6599287D" wp14:editId="54DAC582">
            <wp:extent cx="5534025" cy="3361055"/>
            <wp:effectExtent l="0" t="0" r="0" b="0"/>
            <wp:docPr id="1"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6D47F09" w14:textId="77777777" w:rsidR="000B3203" w:rsidRDefault="000B3203" w:rsidP="000B3203">
      <w:pPr>
        <w:spacing w:line="240" w:lineRule="auto"/>
        <w:jc w:val="center"/>
        <w:sectPr w:rsidR="000B3203" w:rsidSect="00CE4054">
          <w:pgSz w:w="16838" w:h="11906" w:orient="landscape"/>
          <w:pgMar w:top="1418" w:right="992" w:bottom="1418" w:left="1418" w:header="709" w:footer="709" w:gutter="0"/>
          <w:cols w:space="708"/>
          <w:docGrid w:linePitch="360"/>
        </w:sectPr>
      </w:pPr>
      <w:bookmarkStart w:id="294" w:name="_Ref465430853"/>
      <w:bookmarkStart w:id="295" w:name="_Toc468277468"/>
      <w:r w:rsidRPr="006F33F9">
        <w:rPr>
          <w:rFonts w:eastAsia="Calibri" w:cstheme="minorHAnsi"/>
          <w:b/>
          <w:bCs/>
        </w:rPr>
        <w:t xml:space="preserve">Slika </w:t>
      </w:r>
      <w:r w:rsidRPr="006F33F9">
        <w:rPr>
          <w:rFonts w:eastAsia="Calibri" w:cstheme="minorHAnsi"/>
          <w:b/>
          <w:bCs/>
        </w:rPr>
        <w:fldChar w:fldCharType="begin"/>
      </w:r>
      <w:r w:rsidRPr="006F33F9">
        <w:rPr>
          <w:rFonts w:eastAsia="Calibri" w:cstheme="minorHAnsi"/>
          <w:b/>
          <w:bCs/>
        </w:rPr>
        <w:instrText xml:space="preserve"> STYLEREF 1 \s </w:instrText>
      </w:r>
      <w:r w:rsidRPr="006F33F9">
        <w:rPr>
          <w:rFonts w:eastAsia="Calibri" w:cstheme="minorHAnsi"/>
          <w:b/>
          <w:bCs/>
        </w:rPr>
        <w:fldChar w:fldCharType="separate"/>
      </w:r>
      <w:r w:rsidR="009C319B">
        <w:rPr>
          <w:rFonts w:eastAsia="Calibri" w:cstheme="minorHAnsi"/>
          <w:b/>
          <w:bCs/>
          <w:noProof/>
        </w:rPr>
        <w:t>7</w:t>
      </w:r>
      <w:r w:rsidRPr="006F33F9">
        <w:rPr>
          <w:rFonts w:eastAsia="Calibri" w:cstheme="minorHAnsi"/>
          <w:b/>
          <w:bCs/>
        </w:rPr>
        <w:fldChar w:fldCharType="end"/>
      </w:r>
      <w:r w:rsidRPr="006F33F9">
        <w:rPr>
          <w:rFonts w:eastAsia="Calibri" w:cstheme="minorHAnsi"/>
          <w:b/>
          <w:bCs/>
        </w:rPr>
        <w:t>.</w:t>
      </w:r>
      <w:r w:rsidRPr="006F33F9">
        <w:rPr>
          <w:rFonts w:eastAsia="Calibri" w:cstheme="minorHAnsi"/>
          <w:b/>
          <w:bCs/>
        </w:rPr>
        <w:fldChar w:fldCharType="begin"/>
      </w:r>
      <w:r w:rsidRPr="006F33F9">
        <w:rPr>
          <w:rFonts w:eastAsia="Calibri" w:cstheme="minorHAnsi"/>
          <w:b/>
          <w:bCs/>
        </w:rPr>
        <w:instrText xml:space="preserve"> SEQ Slika \* ARABIC \s 1 </w:instrText>
      </w:r>
      <w:r w:rsidRPr="006F33F9">
        <w:rPr>
          <w:rFonts w:eastAsia="Calibri" w:cstheme="minorHAnsi"/>
          <w:b/>
          <w:bCs/>
        </w:rPr>
        <w:fldChar w:fldCharType="separate"/>
      </w:r>
      <w:r w:rsidR="009C319B">
        <w:rPr>
          <w:rFonts w:eastAsia="Calibri" w:cstheme="minorHAnsi"/>
          <w:b/>
          <w:bCs/>
          <w:noProof/>
        </w:rPr>
        <w:t>1</w:t>
      </w:r>
      <w:r w:rsidRPr="006F33F9">
        <w:rPr>
          <w:rFonts w:eastAsia="Calibri" w:cstheme="minorHAnsi"/>
          <w:b/>
          <w:bCs/>
        </w:rPr>
        <w:fldChar w:fldCharType="end"/>
      </w:r>
      <w:bookmarkEnd w:id="294"/>
      <w:r w:rsidRPr="006F33F9">
        <w:rPr>
          <w:rFonts w:eastAsia="Calibri" w:cstheme="minorHAnsi"/>
          <w:b/>
          <w:bCs/>
        </w:rPr>
        <w:t xml:space="preserve"> </w:t>
      </w:r>
      <w:bookmarkStart w:id="296" w:name="_Toc258239048"/>
      <w:r w:rsidRPr="006F33F9">
        <w:rPr>
          <w:rFonts w:eastAsia="Calibri" w:cstheme="minorHAnsi"/>
          <w:bCs/>
        </w:rPr>
        <w:t>Kontrolni inventar</w:t>
      </w:r>
      <w:r w:rsidRPr="006F33F9">
        <w:rPr>
          <w:rFonts w:eastAsia="Calibri" w:cstheme="minorHAnsi"/>
          <w:b/>
          <w:bCs/>
        </w:rPr>
        <w:t xml:space="preserve"> </w:t>
      </w:r>
      <w:r w:rsidRPr="006F33F9">
        <w:t>emisije CO</w:t>
      </w:r>
      <w:r w:rsidRPr="006F33F9">
        <w:rPr>
          <w:vertAlign w:val="subscript"/>
        </w:rPr>
        <w:t>2</w:t>
      </w:r>
      <w:r w:rsidRPr="006F33F9">
        <w:t xml:space="preserve"> iz sektora zgradarstva Grada Zagreba</w:t>
      </w:r>
      <w:bookmarkEnd w:id="296"/>
      <w:r w:rsidRPr="006F33F9">
        <w:t xml:space="preserve"> prema podsektorima i energentima za 2015. godinu</w:t>
      </w:r>
      <w:bookmarkEnd w:id="295"/>
    </w:p>
    <w:p w14:paraId="1B39423B" w14:textId="48F6D1A5" w:rsidR="00982838" w:rsidRDefault="00A366DD" w:rsidP="00E92750">
      <w:pPr>
        <w:spacing w:after="0" w:line="240" w:lineRule="auto"/>
        <w:jc w:val="center"/>
        <w:rPr>
          <w:noProof/>
          <w:lang w:eastAsia="hr-HR"/>
        </w:rPr>
      </w:pPr>
      <w:r w:rsidRPr="00A74BCA">
        <w:rPr>
          <w:noProof/>
          <w:color w:val="1F497D" w:themeColor="text2"/>
          <w:lang w:eastAsia="hr-HR"/>
        </w:rPr>
        <w:lastRenderedPageBreak/>
        <w:drawing>
          <wp:inline distT="0" distB="0" distL="0" distR="0" wp14:anchorId="3FD57F5B" wp14:editId="68DD5CFB">
            <wp:extent cx="4848447" cy="3296093"/>
            <wp:effectExtent l="0" t="0" r="0" b="0"/>
            <wp:docPr id="48" name="Chart 4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235EAC9" w14:textId="1A24D455" w:rsidR="00CE4054" w:rsidRPr="006F33F9" w:rsidRDefault="00CE4054" w:rsidP="00E92750">
      <w:pPr>
        <w:spacing w:line="240" w:lineRule="auto"/>
        <w:jc w:val="center"/>
        <w:rPr>
          <w:rFonts w:ascii="Century Gothic" w:eastAsia="Calibri" w:hAnsi="Century Gothic" w:cs="Times New Roman"/>
        </w:rPr>
      </w:pPr>
      <w:bookmarkStart w:id="297" w:name="_Ref465431410"/>
      <w:bookmarkStart w:id="298" w:name="_Toc468277469"/>
      <w:r w:rsidRPr="006F33F9">
        <w:rPr>
          <w:rFonts w:eastAsia="Calibri" w:cstheme="minorHAnsi"/>
          <w:b/>
          <w:bCs/>
        </w:rPr>
        <w:t xml:space="preserve">Slika </w:t>
      </w:r>
      <w:r w:rsidRPr="006F33F9">
        <w:rPr>
          <w:rFonts w:eastAsia="Calibri" w:cstheme="minorHAnsi"/>
          <w:b/>
          <w:bCs/>
        </w:rPr>
        <w:fldChar w:fldCharType="begin"/>
      </w:r>
      <w:r w:rsidRPr="006F33F9">
        <w:rPr>
          <w:rFonts w:eastAsia="Calibri" w:cstheme="minorHAnsi"/>
          <w:b/>
          <w:bCs/>
        </w:rPr>
        <w:instrText xml:space="preserve"> STYLEREF 1 \s </w:instrText>
      </w:r>
      <w:r w:rsidRPr="006F33F9">
        <w:rPr>
          <w:rFonts w:eastAsia="Calibri" w:cstheme="minorHAnsi"/>
          <w:b/>
          <w:bCs/>
        </w:rPr>
        <w:fldChar w:fldCharType="separate"/>
      </w:r>
      <w:r w:rsidR="009C319B">
        <w:rPr>
          <w:rFonts w:eastAsia="Calibri" w:cstheme="minorHAnsi"/>
          <w:b/>
          <w:bCs/>
          <w:noProof/>
        </w:rPr>
        <w:t>7</w:t>
      </w:r>
      <w:r w:rsidRPr="006F33F9">
        <w:rPr>
          <w:rFonts w:eastAsia="Calibri" w:cstheme="minorHAnsi"/>
          <w:b/>
          <w:bCs/>
        </w:rPr>
        <w:fldChar w:fldCharType="end"/>
      </w:r>
      <w:r w:rsidRPr="006F33F9">
        <w:rPr>
          <w:rFonts w:eastAsia="Calibri" w:cstheme="minorHAnsi"/>
          <w:b/>
          <w:bCs/>
        </w:rPr>
        <w:t>.</w:t>
      </w:r>
      <w:r w:rsidRPr="006F33F9">
        <w:rPr>
          <w:rFonts w:eastAsia="Calibri" w:cstheme="minorHAnsi"/>
          <w:b/>
          <w:bCs/>
        </w:rPr>
        <w:fldChar w:fldCharType="begin"/>
      </w:r>
      <w:r w:rsidRPr="006F33F9">
        <w:rPr>
          <w:rFonts w:eastAsia="Calibri" w:cstheme="minorHAnsi"/>
          <w:b/>
          <w:bCs/>
        </w:rPr>
        <w:instrText xml:space="preserve"> SEQ Slika \* ARABIC \s 1 </w:instrText>
      </w:r>
      <w:r w:rsidRPr="006F33F9">
        <w:rPr>
          <w:rFonts w:eastAsia="Calibri" w:cstheme="minorHAnsi"/>
          <w:b/>
          <w:bCs/>
        </w:rPr>
        <w:fldChar w:fldCharType="separate"/>
      </w:r>
      <w:r w:rsidR="009C319B">
        <w:rPr>
          <w:rFonts w:eastAsia="Calibri" w:cstheme="minorHAnsi"/>
          <w:b/>
          <w:bCs/>
          <w:noProof/>
        </w:rPr>
        <w:t>2</w:t>
      </w:r>
      <w:r w:rsidRPr="006F33F9">
        <w:rPr>
          <w:rFonts w:eastAsia="Calibri" w:cstheme="minorHAnsi"/>
          <w:b/>
          <w:bCs/>
        </w:rPr>
        <w:fldChar w:fldCharType="end"/>
      </w:r>
      <w:bookmarkEnd w:id="297"/>
      <w:r w:rsidRPr="006F33F9">
        <w:rPr>
          <w:rFonts w:eastAsia="Calibri" w:cstheme="minorHAnsi"/>
          <w:b/>
          <w:bCs/>
        </w:rPr>
        <w:t xml:space="preserve"> </w:t>
      </w:r>
      <w:r w:rsidRPr="006F33F9">
        <w:rPr>
          <w:rFonts w:eastAsia="Calibri" w:cstheme="minorHAnsi"/>
          <w:bCs/>
        </w:rPr>
        <w:t>Ud</w:t>
      </w:r>
      <w:r w:rsidR="002E1CFE" w:rsidRPr="006F33F9">
        <w:rPr>
          <w:rFonts w:eastAsia="Calibri" w:cstheme="minorHAnsi"/>
          <w:bCs/>
        </w:rPr>
        <w:t>io pojedinog energenta u ukupnom Kontrolnom inventaru emisija</w:t>
      </w:r>
      <w:r w:rsidRPr="006F33F9">
        <w:rPr>
          <w:rFonts w:eastAsia="Calibri" w:cstheme="minorHAnsi"/>
          <w:bCs/>
        </w:rPr>
        <w:t xml:space="preserve"> CO</w:t>
      </w:r>
      <w:r w:rsidRPr="006F33F9">
        <w:rPr>
          <w:rFonts w:eastAsia="Calibri" w:cstheme="minorHAnsi"/>
          <w:bCs/>
          <w:vertAlign w:val="subscript"/>
        </w:rPr>
        <w:t>2</w:t>
      </w:r>
      <w:r w:rsidRPr="006F33F9">
        <w:rPr>
          <w:rFonts w:eastAsia="Calibri" w:cstheme="minorHAnsi"/>
          <w:bCs/>
        </w:rPr>
        <w:t xml:space="preserve"> sektora zgradarstvo</w:t>
      </w:r>
      <w:r w:rsidR="002E1CFE" w:rsidRPr="006F33F9">
        <w:rPr>
          <w:rFonts w:eastAsia="Calibri" w:cstheme="minorHAnsi"/>
          <w:bCs/>
        </w:rPr>
        <w:t xml:space="preserve"> za</w:t>
      </w:r>
      <w:r w:rsidR="00875468" w:rsidRPr="006F33F9">
        <w:rPr>
          <w:rFonts w:eastAsia="Calibri" w:cstheme="minorHAnsi"/>
          <w:bCs/>
        </w:rPr>
        <w:t xml:space="preserve"> 2015. godinu</w:t>
      </w:r>
      <w:bookmarkEnd w:id="298"/>
    </w:p>
    <w:p w14:paraId="439C8BDA" w14:textId="4318D096" w:rsidR="00DB7571" w:rsidRPr="006F33F9" w:rsidRDefault="00982838" w:rsidP="002B657D">
      <w:pPr>
        <w:spacing w:line="240" w:lineRule="auto"/>
        <w:jc w:val="both"/>
        <w:rPr>
          <w:rFonts w:eastAsia="Calibri" w:cstheme="minorHAnsi"/>
        </w:rPr>
      </w:pPr>
      <w:r w:rsidRPr="006F33F9">
        <w:rPr>
          <w:rFonts w:eastAsia="Calibri" w:cstheme="minorHAnsi"/>
        </w:rPr>
        <w:t>Najveći udio u ukupnoj emisiji CO</w:t>
      </w:r>
      <w:r w:rsidRPr="006F33F9">
        <w:rPr>
          <w:rFonts w:eastAsia="Calibri" w:cstheme="minorHAnsi"/>
          <w:vertAlign w:val="subscript"/>
        </w:rPr>
        <w:t>2</w:t>
      </w:r>
      <w:r w:rsidRPr="006F33F9">
        <w:rPr>
          <w:rFonts w:eastAsia="Calibri" w:cstheme="minorHAnsi"/>
        </w:rPr>
        <w:t xml:space="preserve"> čini emisija iz </w:t>
      </w:r>
      <w:r w:rsidR="00DB7571" w:rsidRPr="006F33F9">
        <w:rPr>
          <w:rFonts w:eastAsia="Calibri" w:cstheme="minorHAnsi"/>
        </w:rPr>
        <w:t>električne energije</w:t>
      </w:r>
      <w:r w:rsidRPr="006F33F9">
        <w:rPr>
          <w:rFonts w:eastAsia="Calibri" w:cstheme="minorHAnsi"/>
        </w:rPr>
        <w:t xml:space="preserve"> s udjelom od 36,</w:t>
      </w:r>
      <w:r w:rsidR="00DB7571" w:rsidRPr="006F33F9">
        <w:rPr>
          <w:rFonts w:eastAsia="Calibri" w:cstheme="minorHAnsi"/>
        </w:rPr>
        <w:t>6</w:t>
      </w:r>
      <w:r w:rsidR="00A366DD">
        <w:rPr>
          <w:rFonts w:eastAsia="Calibri" w:cstheme="minorHAnsi"/>
        </w:rPr>
        <w:t>6</w:t>
      </w:r>
      <w:r w:rsidRPr="006F33F9">
        <w:rPr>
          <w:rFonts w:eastAsia="Calibri" w:cstheme="minorHAnsi"/>
        </w:rPr>
        <w:t xml:space="preserve">%, </w:t>
      </w:r>
      <w:r w:rsidR="00DB7571" w:rsidRPr="006F33F9">
        <w:rPr>
          <w:rFonts w:eastAsia="Calibri" w:cstheme="minorHAnsi"/>
        </w:rPr>
        <w:t>zatim slijedi emisija iz potrošnje prirodnog plina 34</w:t>
      </w:r>
      <w:r w:rsidRPr="006F33F9">
        <w:rPr>
          <w:rFonts w:eastAsia="Calibri" w:cstheme="minorHAnsi"/>
        </w:rPr>
        <w:t>,</w:t>
      </w:r>
      <w:r w:rsidR="00A366DD">
        <w:rPr>
          <w:rFonts w:eastAsia="Calibri" w:cstheme="minorHAnsi"/>
        </w:rPr>
        <w:t>10</w:t>
      </w:r>
      <w:r w:rsidR="00FB3EFF" w:rsidRPr="006F33F9">
        <w:rPr>
          <w:rFonts w:eastAsia="Calibri" w:cstheme="minorHAnsi"/>
        </w:rPr>
        <w:t>%</w:t>
      </w:r>
      <w:r w:rsidRPr="006F33F9">
        <w:rPr>
          <w:rFonts w:eastAsia="Calibri" w:cstheme="minorHAnsi"/>
        </w:rPr>
        <w:t xml:space="preserve">, emisija iz </w:t>
      </w:r>
      <w:r w:rsidR="00DB7571" w:rsidRPr="006F33F9">
        <w:rPr>
          <w:rFonts w:eastAsia="Calibri" w:cstheme="minorHAnsi"/>
        </w:rPr>
        <w:t>p</w:t>
      </w:r>
      <w:r w:rsidR="00A366DD">
        <w:rPr>
          <w:rFonts w:eastAsia="Calibri" w:cstheme="minorHAnsi"/>
        </w:rPr>
        <w:t>otrošnje toplana</w:t>
      </w:r>
      <w:r w:rsidR="002B657D">
        <w:rPr>
          <w:rFonts w:eastAsia="Calibri" w:cstheme="minorHAnsi"/>
        </w:rPr>
        <w:t xml:space="preserve"> 24,6</w:t>
      </w:r>
      <w:r w:rsidR="00A366DD">
        <w:rPr>
          <w:rFonts w:eastAsia="Calibri" w:cstheme="minorHAnsi"/>
        </w:rPr>
        <w:t>8</w:t>
      </w:r>
      <w:r w:rsidR="00DB7571" w:rsidRPr="006F33F9">
        <w:rPr>
          <w:rFonts w:eastAsia="Calibri" w:cstheme="minorHAnsi"/>
        </w:rPr>
        <w:t>%</w:t>
      </w:r>
      <w:r w:rsidR="00FB3EFF" w:rsidRPr="006F33F9">
        <w:rPr>
          <w:rFonts w:eastAsia="Calibri" w:cstheme="minorHAnsi"/>
        </w:rPr>
        <w:t>, dok emisija iz potrošnje ostalih energenata čini manje od 5</w:t>
      </w:r>
      <w:r w:rsidR="00253504" w:rsidRPr="006F33F9">
        <w:rPr>
          <w:rFonts w:eastAsia="Calibri" w:cstheme="minorHAnsi"/>
        </w:rPr>
        <w:t>%.</w:t>
      </w:r>
    </w:p>
    <w:p w14:paraId="6EB8AC91" w14:textId="22F60EA9" w:rsidR="00FB3EFF" w:rsidRDefault="00995975" w:rsidP="00E92750">
      <w:pPr>
        <w:spacing w:after="0" w:line="240" w:lineRule="auto"/>
        <w:jc w:val="center"/>
        <w:rPr>
          <w:noProof/>
          <w:lang w:eastAsia="hr-HR"/>
        </w:rPr>
      </w:pPr>
      <w:r>
        <w:rPr>
          <w:noProof/>
          <w:lang w:eastAsia="hr-HR"/>
        </w:rPr>
        <w:drawing>
          <wp:inline distT="0" distB="0" distL="0" distR="0" wp14:anchorId="549D2437" wp14:editId="6348DC8B">
            <wp:extent cx="5724525" cy="2767013"/>
            <wp:effectExtent l="0" t="0" r="0" b="0"/>
            <wp:docPr id="53" name="Chart 5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DC1178F" w14:textId="5C1EA7A5" w:rsidR="00FB3EFF" w:rsidRPr="001C39F2" w:rsidRDefault="00B532A7" w:rsidP="00E92750">
      <w:pPr>
        <w:spacing w:line="240" w:lineRule="auto"/>
        <w:jc w:val="center"/>
        <w:rPr>
          <w:rFonts w:eastAsia="Calibri" w:cstheme="minorHAnsi"/>
        </w:rPr>
      </w:pPr>
      <w:bookmarkStart w:id="299" w:name="_Ref465432729"/>
      <w:bookmarkStart w:id="300" w:name="_Toc468277470"/>
      <w:r w:rsidRPr="001C39F2">
        <w:rPr>
          <w:rFonts w:eastAsia="Calibri" w:cstheme="minorHAnsi"/>
          <w:b/>
          <w:bCs/>
        </w:rPr>
        <w:t xml:space="preserve">Slika </w:t>
      </w:r>
      <w:r w:rsidRPr="001C39F2">
        <w:rPr>
          <w:rFonts w:eastAsia="Calibri" w:cstheme="minorHAnsi"/>
          <w:b/>
          <w:bCs/>
        </w:rPr>
        <w:fldChar w:fldCharType="begin"/>
      </w:r>
      <w:r w:rsidRPr="001C39F2">
        <w:rPr>
          <w:rFonts w:eastAsia="Calibri" w:cstheme="minorHAnsi"/>
          <w:b/>
          <w:bCs/>
        </w:rPr>
        <w:instrText xml:space="preserve"> STYLEREF 1 \s </w:instrText>
      </w:r>
      <w:r w:rsidRPr="001C39F2">
        <w:rPr>
          <w:rFonts w:eastAsia="Calibri" w:cstheme="minorHAnsi"/>
          <w:b/>
          <w:bCs/>
        </w:rPr>
        <w:fldChar w:fldCharType="separate"/>
      </w:r>
      <w:r w:rsidR="009C319B">
        <w:rPr>
          <w:rFonts w:eastAsia="Calibri" w:cstheme="minorHAnsi"/>
          <w:b/>
          <w:bCs/>
          <w:noProof/>
        </w:rPr>
        <w:t>7</w:t>
      </w:r>
      <w:r w:rsidRPr="001C39F2">
        <w:rPr>
          <w:rFonts w:eastAsia="Calibri" w:cstheme="minorHAnsi"/>
          <w:b/>
          <w:bCs/>
        </w:rPr>
        <w:fldChar w:fldCharType="end"/>
      </w:r>
      <w:r w:rsidRPr="001C39F2">
        <w:rPr>
          <w:rFonts w:eastAsia="Calibri" w:cstheme="minorHAnsi"/>
          <w:b/>
          <w:bCs/>
        </w:rPr>
        <w:t>.</w:t>
      </w:r>
      <w:r w:rsidRPr="001C39F2">
        <w:rPr>
          <w:rFonts w:eastAsia="Calibri" w:cstheme="minorHAnsi"/>
          <w:b/>
          <w:bCs/>
        </w:rPr>
        <w:fldChar w:fldCharType="begin"/>
      </w:r>
      <w:r w:rsidRPr="001C39F2">
        <w:rPr>
          <w:rFonts w:eastAsia="Calibri" w:cstheme="minorHAnsi"/>
          <w:b/>
          <w:bCs/>
        </w:rPr>
        <w:instrText xml:space="preserve"> SEQ Slika \* ARABIC \s 1 </w:instrText>
      </w:r>
      <w:r w:rsidRPr="001C39F2">
        <w:rPr>
          <w:rFonts w:eastAsia="Calibri" w:cstheme="minorHAnsi"/>
          <w:b/>
          <w:bCs/>
        </w:rPr>
        <w:fldChar w:fldCharType="separate"/>
      </w:r>
      <w:r w:rsidR="009C319B">
        <w:rPr>
          <w:rFonts w:eastAsia="Calibri" w:cstheme="minorHAnsi"/>
          <w:b/>
          <w:bCs/>
          <w:noProof/>
        </w:rPr>
        <w:t>3</w:t>
      </w:r>
      <w:r w:rsidRPr="001C39F2">
        <w:rPr>
          <w:rFonts w:eastAsia="Calibri" w:cstheme="minorHAnsi"/>
          <w:b/>
          <w:bCs/>
        </w:rPr>
        <w:fldChar w:fldCharType="end"/>
      </w:r>
      <w:bookmarkEnd w:id="299"/>
      <w:r w:rsidRPr="001C39F2">
        <w:rPr>
          <w:rFonts w:eastAsia="Calibri" w:cstheme="minorHAnsi"/>
          <w:b/>
          <w:bCs/>
        </w:rPr>
        <w:t xml:space="preserve"> </w:t>
      </w:r>
      <w:r w:rsidRPr="001C39F2">
        <w:rPr>
          <w:rFonts w:eastAsia="Calibri" w:cstheme="minorHAnsi"/>
          <w:bCs/>
        </w:rPr>
        <w:t>Udi</w:t>
      </w:r>
      <w:r w:rsidR="002E1CFE" w:rsidRPr="001C39F2">
        <w:rPr>
          <w:rFonts w:eastAsia="Calibri" w:cstheme="minorHAnsi"/>
          <w:bCs/>
        </w:rPr>
        <w:t>o pojedinog podsektora u ukupnom Kontrolnom inventaru emisija</w:t>
      </w:r>
      <w:r w:rsidRPr="001C39F2">
        <w:rPr>
          <w:rFonts w:eastAsia="Calibri" w:cstheme="minorHAnsi"/>
          <w:bCs/>
        </w:rPr>
        <w:t xml:space="preserve"> CO</w:t>
      </w:r>
      <w:r w:rsidRPr="001C39F2">
        <w:rPr>
          <w:rFonts w:eastAsia="Calibri" w:cstheme="minorHAnsi"/>
          <w:bCs/>
          <w:vertAlign w:val="subscript"/>
        </w:rPr>
        <w:t>2</w:t>
      </w:r>
      <w:r w:rsidRPr="001C39F2">
        <w:rPr>
          <w:rFonts w:eastAsia="Calibri" w:cstheme="minorHAnsi"/>
          <w:bCs/>
        </w:rPr>
        <w:t xml:space="preserve"> sektora zgradarstva</w:t>
      </w:r>
      <w:r w:rsidR="00875468" w:rsidRPr="001C39F2">
        <w:rPr>
          <w:rFonts w:eastAsia="Calibri" w:cstheme="minorHAnsi"/>
          <w:bCs/>
        </w:rPr>
        <w:t xml:space="preserve"> za 2015. godinu</w:t>
      </w:r>
      <w:bookmarkEnd w:id="300"/>
    </w:p>
    <w:p w14:paraId="4A6D78E1" w14:textId="18A250B3" w:rsidR="00181356" w:rsidRPr="007C7920" w:rsidRDefault="00982838" w:rsidP="00E92750">
      <w:pPr>
        <w:spacing w:after="0" w:line="240" w:lineRule="auto"/>
        <w:jc w:val="both"/>
        <w:rPr>
          <w:rFonts w:ascii="Calibri" w:eastAsia="Calibri" w:hAnsi="Calibri" w:cs="Times New Roman"/>
          <w:highlight w:val="yellow"/>
        </w:rPr>
      </w:pPr>
      <w:r w:rsidRPr="001C39F2">
        <w:rPr>
          <w:rFonts w:eastAsia="Calibri" w:cstheme="minorHAnsi"/>
          <w:color w:val="000000"/>
          <w:lang w:eastAsia="hr-HR"/>
        </w:rPr>
        <w:t xml:space="preserve">Promatrajući sektor zgradarstva najveći udio u ukupnim emisijama čine </w:t>
      </w:r>
      <w:r w:rsidR="00995975">
        <w:rPr>
          <w:rFonts w:eastAsia="Calibri" w:cstheme="minorHAnsi"/>
          <w:color w:val="000000"/>
          <w:lang w:eastAsia="hr-HR"/>
        </w:rPr>
        <w:t>stanovi - kućanstva 58,77</w:t>
      </w:r>
      <w:r w:rsidR="00B532A7" w:rsidRPr="001C39F2">
        <w:rPr>
          <w:rFonts w:eastAsia="Calibri" w:cstheme="minorHAnsi"/>
          <w:color w:val="000000"/>
          <w:lang w:eastAsia="hr-HR"/>
        </w:rPr>
        <w:t>%, z</w:t>
      </w:r>
      <w:r w:rsidRPr="001C39F2">
        <w:rPr>
          <w:rFonts w:eastAsia="Calibri" w:cstheme="minorHAnsi"/>
          <w:color w:val="000000"/>
          <w:lang w:eastAsia="hr-HR"/>
        </w:rPr>
        <w:t>grade komercijalnih i uslužnih djel</w:t>
      </w:r>
      <w:r w:rsidR="00995975">
        <w:rPr>
          <w:rFonts w:eastAsia="Calibri" w:cstheme="minorHAnsi"/>
          <w:color w:val="000000"/>
          <w:lang w:eastAsia="hr-HR"/>
        </w:rPr>
        <w:t>atnost doprinose s udjelom od 33,73</w:t>
      </w:r>
      <w:r w:rsidRPr="001C39F2">
        <w:rPr>
          <w:rFonts w:eastAsia="Calibri" w:cstheme="minorHAnsi"/>
          <w:color w:val="000000"/>
          <w:lang w:eastAsia="hr-HR"/>
        </w:rPr>
        <w:t xml:space="preserve">%, dok </w:t>
      </w:r>
      <w:r w:rsidR="00B532A7" w:rsidRPr="001C39F2">
        <w:rPr>
          <w:rFonts w:eastAsia="Calibri" w:cstheme="minorHAnsi"/>
          <w:color w:val="000000"/>
          <w:lang w:eastAsia="hr-HR"/>
        </w:rPr>
        <w:t>stambene i javne zgrade u</w:t>
      </w:r>
      <w:r w:rsidRPr="001C39F2">
        <w:rPr>
          <w:rFonts w:eastAsia="Calibri" w:cstheme="minorHAnsi"/>
          <w:color w:val="000000"/>
          <w:lang w:eastAsia="hr-HR"/>
        </w:rPr>
        <w:t xml:space="preserve"> vlasništvu Grada </w:t>
      </w:r>
      <w:r w:rsidR="00B532A7" w:rsidRPr="001C39F2">
        <w:rPr>
          <w:rFonts w:eastAsia="Calibri" w:cstheme="minorHAnsi"/>
          <w:color w:val="000000"/>
          <w:lang w:eastAsia="hr-HR"/>
        </w:rPr>
        <w:t xml:space="preserve">Zagreba </w:t>
      </w:r>
      <w:r w:rsidR="00995975">
        <w:rPr>
          <w:rFonts w:eastAsia="Calibri" w:cstheme="minorHAnsi"/>
          <w:color w:val="000000"/>
          <w:lang w:eastAsia="hr-HR"/>
        </w:rPr>
        <w:t>doprinose ukupnim emisijama s 7,50</w:t>
      </w:r>
      <w:r w:rsidR="00B532A7" w:rsidRPr="001C39F2">
        <w:rPr>
          <w:rFonts w:eastAsia="Calibri" w:cstheme="minorHAnsi"/>
          <w:color w:val="000000"/>
          <w:lang w:eastAsia="hr-HR"/>
        </w:rPr>
        <w:t xml:space="preserve"> </w:t>
      </w:r>
      <w:r w:rsidRPr="001C39F2">
        <w:rPr>
          <w:rFonts w:eastAsia="Calibri" w:cstheme="minorHAnsi"/>
          <w:color w:val="000000"/>
          <w:lang w:eastAsia="hr-HR"/>
        </w:rPr>
        <w:t>%.</w:t>
      </w:r>
      <w:r w:rsidRPr="001C39F2">
        <w:rPr>
          <w:rFonts w:eastAsia="Calibri" w:cstheme="minorHAnsi"/>
        </w:rPr>
        <w:t xml:space="preserve"> </w:t>
      </w:r>
      <w:r w:rsidR="00181356" w:rsidRPr="007C7920">
        <w:rPr>
          <w:rFonts w:ascii="Calibri" w:eastAsia="Calibri" w:hAnsi="Calibri" w:cs="Times New Roman"/>
          <w:highlight w:val="yellow"/>
        </w:rPr>
        <w:br w:type="page"/>
      </w:r>
    </w:p>
    <w:p w14:paraId="64C324DB" w14:textId="7267A002" w:rsidR="00910170" w:rsidRPr="00241AEB" w:rsidRDefault="00875468" w:rsidP="00E92750">
      <w:pPr>
        <w:pStyle w:val="Heading2"/>
      </w:pPr>
      <w:bookmarkStart w:id="301" w:name="_Toc260042168"/>
      <w:bookmarkStart w:id="302" w:name="_Toc294180602"/>
      <w:bookmarkStart w:id="303" w:name="_Toc251920766"/>
      <w:bookmarkStart w:id="304" w:name="_Toc329344477"/>
      <w:bookmarkStart w:id="305" w:name="_Toc468345385"/>
      <w:r w:rsidRPr="00241AEB">
        <w:lastRenderedPageBreak/>
        <w:t>Kontrolni i</w:t>
      </w:r>
      <w:r w:rsidR="00910170" w:rsidRPr="00241AEB">
        <w:t>nventar emisija CO</w:t>
      </w:r>
      <w:r w:rsidR="00910170" w:rsidRPr="00241AEB">
        <w:rPr>
          <w:vertAlign w:val="subscript"/>
        </w:rPr>
        <w:t>2</w:t>
      </w:r>
      <w:r w:rsidR="00910170" w:rsidRPr="00241AEB">
        <w:t xml:space="preserve"> iz sektora prometa</w:t>
      </w:r>
      <w:bookmarkEnd w:id="301"/>
      <w:bookmarkEnd w:id="302"/>
      <w:bookmarkEnd w:id="303"/>
      <w:bookmarkEnd w:id="304"/>
      <w:r w:rsidR="002E1CFE" w:rsidRPr="00241AEB">
        <w:t xml:space="preserve"> za 2015. godinu</w:t>
      </w:r>
      <w:bookmarkEnd w:id="305"/>
    </w:p>
    <w:p w14:paraId="2D69CC96" w14:textId="3D4CA7B7" w:rsidR="00910170" w:rsidRPr="00241AEB" w:rsidRDefault="00910170" w:rsidP="00E92750">
      <w:pPr>
        <w:pStyle w:val="Heading3"/>
        <w:spacing w:after="240" w:line="240" w:lineRule="auto"/>
        <w:jc w:val="both"/>
      </w:pPr>
      <w:bookmarkStart w:id="306" w:name="_Toc251920767"/>
      <w:bookmarkStart w:id="307" w:name="_Toc260042169"/>
      <w:bookmarkStart w:id="308" w:name="_Toc294180603"/>
      <w:bookmarkStart w:id="309" w:name="_Toc329344478"/>
      <w:bookmarkStart w:id="310" w:name="_Toc468345386"/>
      <w:r w:rsidRPr="00241AEB">
        <w:t xml:space="preserve">Metodologija izrade </w:t>
      </w:r>
      <w:r w:rsidR="00875468" w:rsidRPr="00241AEB">
        <w:t>Kontrolnog i</w:t>
      </w:r>
      <w:r w:rsidRPr="00241AEB">
        <w:t>nventara emisija CO</w:t>
      </w:r>
      <w:r w:rsidRPr="00241AEB">
        <w:rPr>
          <w:vertAlign w:val="subscript"/>
        </w:rPr>
        <w:t>2</w:t>
      </w:r>
      <w:r w:rsidRPr="00241AEB">
        <w:t xml:space="preserve"> iz sektora prometa</w:t>
      </w:r>
      <w:bookmarkEnd w:id="306"/>
      <w:bookmarkEnd w:id="307"/>
      <w:bookmarkEnd w:id="308"/>
      <w:bookmarkEnd w:id="309"/>
      <w:r w:rsidR="002E1CFE" w:rsidRPr="00241AEB">
        <w:t xml:space="preserve"> za 2015. godinu</w:t>
      </w:r>
      <w:bookmarkEnd w:id="310"/>
    </w:p>
    <w:p w14:paraId="4802425E" w14:textId="35E64301" w:rsidR="00853335" w:rsidRPr="00241AEB" w:rsidRDefault="00853335" w:rsidP="00E92750">
      <w:pPr>
        <w:spacing w:line="240" w:lineRule="auto"/>
        <w:jc w:val="both"/>
        <w:rPr>
          <w:rFonts w:ascii="Calibri" w:eastAsia="Calibri" w:hAnsi="Calibri" w:cs="Times New Roman"/>
        </w:rPr>
      </w:pPr>
      <w:r w:rsidRPr="00241AEB">
        <w:rPr>
          <w:rFonts w:ascii="Calibri" w:eastAsia="Calibri" w:hAnsi="Calibri" w:cs="Times New Roman"/>
        </w:rPr>
        <w:t xml:space="preserve">U urbanim je sredinama sektor prometa, osobito cestovni promet, najznačajniji </w:t>
      </w:r>
      <w:r w:rsidR="002E1CFE" w:rsidRPr="00241AEB">
        <w:rPr>
          <w:rFonts w:ascii="Calibri" w:eastAsia="Calibri" w:hAnsi="Calibri" w:cs="Times New Roman"/>
        </w:rPr>
        <w:t xml:space="preserve">je </w:t>
      </w:r>
      <w:r w:rsidRPr="00241AEB">
        <w:rPr>
          <w:rFonts w:ascii="Calibri" w:eastAsia="Calibri" w:hAnsi="Calibri" w:cs="Times New Roman"/>
        </w:rPr>
        <w:t>čimbenik onečišćenja zraka, koji u velikoj mjeri pridonosi stvaranju stakleničkih plinova - CO</w:t>
      </w:r>
      <w:r w:rsidRPr="00241AEB">
        <w:rPr>
          <w:rFonts w:ascii="Calibri" w:eastAsia="Calibri" w:hAnsi="Calibri" w:cs="Times New Roman"/>
          <w:vertAlign w:val="subscript"/>
        </w:rPr>
        <w:t>2</w:t>
      </w:r>
      <w:r w:rsidRPr="00241AEB">
        <w:rPr>
          <w:rFonts w:ascii="Calibri" w:eastAsia="Calibri" w:hAnsi="Calibri" w:cs="Times New Roman"/>
        </w:rPr>
        <w:t>, CH</w:t>
      </w:r>
      <w:r w:rsidRPr="00241AEB">
        <w:rPr>
          <w:rFonts w:ascii="Calibri" w:eastAsia="Calibri" w:hAnsi="Calibri" w:cs="Times New Roman"/>
          <w:vertAlign w:val="subscript"/>
        </w:rPr>
        <w:t>4</w:t>
      </w:r>
      <w:r w:rsidRPr="00241AEB">
        <w:rPr>
          <w:rFonts w:ascii="Calibri" w:eastAsia="Calibri" w:hAnsi="Calibri" w:cs="Times New Roman"/>
        </w:rPr>
        <w:t xml:space="preserve"> i N</w:t>
      </w:r>
      <w:r w:rsidRPr="00241AEB">
        <w:rPr>
          <w:rFonts w:ascii="Calibri" w:eastAsia="Calibri" w:hAnsi="Calibri" w:cs="Times New Roman"/>
          <w:vertAlign w:val="subscript"/>
        </w:rPr>
        <w:t>2</w:t>
      </w:r>
      <w:r w:rsidRPr="00241AEB">
        <w:rPr>
          <w:rFonts w:ascii="Calibri" w:eastAsia="Calibri" w:hAnsi="Calibri" w:cs="Times New Roman"/>
        </w:rPr>
        <w:t>O. Emisija CO</w:t>
      </w:r>
      <w:r w:rsidRPr="00241AEB">
        <w:rPr>
          <w:rFonts w:ascii="Calibri" w:eastAsia="Calibri" w:hAnsi="Calibri" w:cs="Times New Roman"/>
          <w:vertAlign w:val="subscript"/>
        </w:rPr>
        <w:t>2</w:t>
      </w:r>
      <w:r w:rsidRPr="00241AEB">
        <w:rPr>
          <w:rFonts w:ascii="Calibri" w:eastAsia="Calibri" w:hAnsi="Calibri" w:cs="Times New Roman"/>
        </w:rPr>
        <w:t xml:space="preserve"> iz motornih vozila ovisna je o brojnim parametrima od kojih su glavni kakvoća goriva, konstrukcijske izvedbe motora i vozila, režim vožnje, vanjski meteorološki uvjeti, održavanje motora i njegova starosti, i dr.</w:t>
      </w:r>
    </w:p>
    <w:p w14:paraId="19B8F3E1" w14:textId="6EE32DCE" w:rsidR="00853335" w:rsidRPr="00241AEB" w:rsidRDefault="002E1CFE" w:rsidP="00E92750">
      <w:pPr>
        <w:spacing w:line="240" w:lineRule="auto"/>
        <w:jc w:val="both"/>
        <w:rPr>
          <w:rFonts w:ascii="Calibri" w:eastAsia="Calibri" w:hAnsi="Calibri" w:cs="Times New Roman"/>
        </w:rPr>
      </w:pPr>
      <w:r w:rsidRPr="00241AEB">
        <w:rPr>
          <w:rFonts w:ascii="Calibri" w:eastAsia="Calibri" w:hAnsi="Calibri" w:cs="Times New Roman"/>
        </w:rPr>
        <w:t>Kontrolni i</w:t>
      </w:r>
      <w:r w:rsidR="00853335" w:rsidRPr="00241AEB">
        <w:rPr>
          <w:rFonts w:ascii="Calibri" w:eastAsia="Calibri" w:hAnsi="Calibri" w:cs="Times New Roman"/>
        </w:rPr>
        <w:t>nventar emisija CO</w:t>
      </w:r>
      <w:r w:rsidR="00853335" w:rsidRPr="00241AEB">
        <w:rPr>
          <w:rFonts w:ascii="Calibri" w:eastAsia="Calibri" w:hAnsi="Calibri" w:cs="Times New Roman"/>
          <w:vertAlign w:val="subscript"/>
        </w:rPr>
        <w:t>2</w:t>
      </w:r>
      <w:r w:rsidR="00853335" w:rsidRPr="00241AEB">
        <w:rPr>
          <w:rFonts w:ascii="Calibri" w:eastAsia="Calibri" w:hAnsi="Calibri" w:cs="Times New Roman"/>
        </w:rPr>
        <w:t xml:space="preserve"> iz sektora prometa </w:t>
      </w:r>
      <w:r w:rsidRPr="00241AEB">
        <w:rPr>
          <w:rFonts w:ascii="Calibri" w:eastAsia="Calibri" w:hAnsi="Calibri" w:cs="Times New Roman"/>
        </w:rPr>
        <w:t xml:space="preserve">za 2015. godinu </w:t>
      </w:r>
      <w:r w:rsidR="00853335" w:rsidRPr="00241AEB">
        <w:rPr>
          <w:rFonts w:ascii="Calibri" w:eastAsia="Calibri" w:hAnsi="Calibri" w:cs="Times New Roman"/>
        </w:rPr>
        <w:t xml:space="preserve">podijeljen je na tri osnovna podsektora: </w:t>
      </w:r>
    </w:p>
    <w:p w14:paraId="6770CF82" w14:textId="6726AEC4" w:rsidR="00853335" w:rsidRPr="00241AEB" w:rsidRDefault="002E1CFE" w:rsidP="00E92750">
      <w:pPr>
        <w:numPr>
          <w:ilvl w:val="0"/>
          <w:numId w:val="17"/>
        </w:numPr>
        <w:spacing w:after="0" w:line="240" w:lineRule="auto"/>
        <w:contextualSpacing/>
        <w:jc w:val="both"/>
        <w:rPr>
          <w:rFonts w:ascii="Calibri" w:eastAsia="Calibri" w:hAnsi="Calibri" w:cs="Times New Roman"/>
        </w:rPr>
      </w:pPr>
      <w:r w:rsidRPr="00241AEB">
        <w:rPr>
          <w:rFonts w:ascii="Calibri" w:eastAsia="Calibri" w:hAnsi="Calibri" w:cs="Times New Roman"/>
        </w:rPr>
        <w:t>Kontrolni inventar e</w:t>
      </w:r>
      <w:r w:rsidR="00853335" w:rsidRPr="00241AEB">
        <w:rPr>
          <w:rFonts w:ascii="Calibri" w:eastAsia="Calibri" w:hAnsi="Calibri" w:cs="Times New Roman"/>
        </w:rPr>
        <w:t>misije CO</w:t>
      </w:r>
      <w:r w:rsidR="00853335" w:rsidRPr="00241AEB">
        <w:rPr>
          <w:rFonts w:ascii="Calibri" w:eastAsia="Calibri" w:hAnsi="Calibri" w:cs="Times New Roman"/>
          <w:vertAlign w:val="subscript"/>
        </w:rPr>
        <w:t>2</w:t>
      </w:r>
      <w:r w:rsidR="00853335" w:rsidRPr="00241AEB">
        <w:rPr>
          <w:rFonts w:ascii="Calibri" w:eastAsia="Calibri" w:hAnsi="Calibri" w:cs="Times New Roman"/>
        </w:rPr>
        <w:t xml:space="preserve"> vozil</w:t>
      </w:r>
      <w:r w:rsidR="009B78EA" w:rsidRPr="00241AEB">
        <w:rPr>
          <w:rFonts w:ascii="Calibri" w:eastAsia="Calibri" w:hAnsi="Calibri" w:cs="Times New Roman"/>
        </w:rPr>
        <w:t xml:space="preserve">a u vlasništvu i korištenju Grada </w:t>
      </w:r>
      <w:r w:rsidR="000F64C5" w:rsidRPr="00241AEB">
        <w:rPr>
          <w:rFonts w:ascii="Calibri" w:eastAsia="Calibri" w:hAnsi="Calibri" w:cs="Times New Roman"/>
        </w:rPr>
        <w:t>Zagreba</w:t>
      </w:r>
      <w:r w:rsidR="002770D7" w:rsidRPr="00241AEB">
        <w:rPr>
          <w:rFonts w:ascii="Calibri" w:eastAsia="Calibri" w:hAnsi="Calibri" w:cs="Times New Roman"/>
        </w:rPr>
        <w:t>;</w:t>
      </w:r>
    </w:p>
    <w:p w14:paraId="6DD5A715" w14:textId="20BFEBA7" w:rsidR="00853335" w:rsidRPr="00241AEB" w:rsidRDefault="002E1CFE" w:rsidP="00E92750">
      <w:pPr>
        <w:numPr>
          <w:ilvl w:val="0"/>
          <w:numId w:val="17"/>
        </w:numPr>
        <w:spacing w:after="0" w:line="240" w:lineRule="auto"/>
        <w:contextualSpacing/>
        <w:rPr>
          <w:rFonts w:ascii="Calibri" w:eastAsia="Calibri" w:hAnsi="Calibri" w:cs="Times New Roman"/>
        </w:rPr>
      </w:pPr>
      <w:r w:rsidRPr="00241AEB">
        <w:rPr>
          <w:rFonts w:ascii="Calibri" w:eastAsia="Calibri" w:hAnsi="Calibri" w:cs="Times New Roman"/>
        </w:rPr>
        <w:t>Kontrolni inventar e</w:t>
      </w:r>
      <w:r w:rsidR="00853335" w:rsidRPr="00241AEB">
        <w:rPr>
          <w:rFonts w:ascii="Calibri" w:eastAsia="Calibri" w:hAnsi="Calibri" w:cs="Times New Roman"/>
        </w:rPr>
        <w:t>misije CO</w:t>
      </w:r>
      <w:r w:rsidR="00853335" w:rsidRPr="00241AEB">
        <w:rPr>
          <w:rFonts w:ascii="Calibri" w:eastAsia="Calibri" w:hAnsi="Calibri" w:cs="Times New Roman"/>
          <w:vertAlign w:val="subscript"/>
        </w:rPr>
        <w:t xml:space="preserve">2 </w:t>
      </w:r>
      <w:r w:rsidR="002770D7" w:rsidRPr="00241AEB">
        <w:rPr>
          <w:rFonts w:ascii="Calibri" w:eastAsia="Calibri" w:hAnsi="Calibri" w:cs="Times New Roman"/>
        </w:rPr>
        <w:t xml:space="preserve"> javnog prijevoza i</w:t>
      </w:r>
    </w:p>
    <w:p w14:paraId="3877D04F" w14:textId="25AA495E" w:rsidR="00853335" w:rsidRPr="00241AEB" w:rsidRDefault="002E1CFE" w:rsidP="00E92750">
      <w:pPr>
        <w:numPr>
          <w:ilvl w:val="0"/>
          <w:numId w:val="17"/>
        </w:numPr>
        <w:spacing w:line="240" w:lineRule="auto"/>
        <w:ind w:left="714" w:hanging="357"/>
        <w:jc w:val="both"/>
        <w:rPr>
          <w:rFonts w:ascii="Calibri" w:eastAsia="Calibri" w:hAnsi="Calibri" w:cs="Times New Roman"/>
        </w:rPr>
      </w:pPr>
      <w:r w:rsidRPr="00241AEB">
        <w:rPr>
          <w:rFonts w:ascii="Calibri" w:eastAsia="Calibri" w:hAnsi="Calibri" w:cs="Times New Roman"/>
        </w:rPr>
        <w:t>Kontrolni inventar e</w:t>
      </w:r>
      <w:r w:rsidR="00853335" w:rsidRPr="00241AEB">
        <w:rPr>
          <w:rFonts w:ascii="Calibri" w:eastAsia="Calibri" w:hAnsi="Calibri" w:cs="Times New Roman"/>
        </w:rPr>
        <w:t>misije CO</w:t>
      </w:r>
      <w:r w:rsidR="00853335" w:rsidRPr="00241AEB">
        <w:rPr>
          <w:rFonts w:ascii="Calibri" w:eastAsia="Calibri" w:hAnsi="Calibri" w:cs="Times New Roman"/>
          <w:vertAlign w:val="subscript"/>
        </w:rPr>
        <w:t xml:space="preserve">2  </w:t>
      </w:r>
      <w:r w:rsidR="00853335" w:rsidRPr="00241AEB">
        <w:rPr>
          <w:rFonts w:ascii="Calibri" w:eastAsia="Calibri" w:hAnsi="Calibri" w:cs="Times New Roman"/>
        </w:rPr>
        <w:t>osobnih i komercijalnih vozila.</w:t>
      </w:r>
    </w:p>
    <w:p w14:paraId="677F2DF4" w14:textId="2C4A7FBB" w:rsidR="00853335" w:rsidRPr="00241AEB" w:rsidRDefault="00C61582" w:rsidP="00E92750">
      <w:pPr>
        <w:spacing w:line="240" w:lineRule="auto"/>
        <w:jc w:val="both"/>
        <w:rPr>
          <w:rFonts w:ascii="Calibri" w:eastAsia="Calibri" w:hAnsi="Calibri" w:cs="Times New Roman"/>
        </w:rPr>
      </w:pPr>
      <w:bookmarkStart w:id="311" w:name="_Toc256080808"/>
      <w:r>
        <w:rPr>
          <w:rFonts w:ascii="Calibri" w:eastAsia="Calibri" w:hAnsi="Calibri" w:cs="Times New Roman"/>
        </w:rPr>
        <w:t>Prikaz</w:t>
      </w:r>
      <w:r w:rsidR="002E1CFE" w:rsidRPr="00241AEB">
        <w:rPr>
          <w:rFonts w:ascii="Calibri" w:eastAsia="Calibri" w:hAnsi="Calibri" w:cs="Times New Roman"/>
        </w:rPr>
        <w:t xml:space="preserve"> Kontrolnog inventara</w:t>
      </w:r>
      <w:r w:rsidR="00853335" w:rsidRPr="00241AEB">
        <w:rPr>
          <w:rFonts w:ascii="Calibri" w:eastAsia="Calibri" w:hAnsi="Calibri" w:cs="Times New Roman"/>
        </w:rPr>
        <w:t xml:space="preserve"> emisija CO</w:t>
      </w:r>
      <w:r w:rsidR="00853335" w:rsidRPr="00241AEB">
        <w:rPr>
          <w:rFonts w:ascii="Calibri" w:eastAsia="Calibri" w:hAnsi="Calibri" w:cs="Times New Roman"/>
          <w:vertAlign w:val="subscript"/>
        </w:rPr>
        <w:t>2</w:t>
      </w:r>
      <w:r w:rsidR="00853335" w:rsidRPr="00241AEB">
        <w:rPr>
          <w:rFonts w:ascii="Calibri" w:eastAsia="Calibri" w:hAnsi="Calibri" w:cs="Times New Roman"/>
        </w:rPr>
        <w:t xml:space="preserve"> za podsektore</w:t>
      </w:r>
      <w:r w:rsidR="002770D7" w:rsidRPr="00241AEB">
        <w:rPr>
          <w:rFonts w:ascii="Calibri" w:eastAsia="Calibri" w:hAnsi="Calibri" w:cs="Times New Roman"/>
        </w:rPr>
        <w:t xml:space="preserve"> sektora prometa</w:t>
      </w:r>
      <w:r w:rsidR="002E1CFE" w:rsidRPr="00241AEB">
        <w:rPr>
          <w:rFonts w:ascii="Calibri" w:eastAsia="Calibri" w:hAnsi="Calibri" w:cs="Times New Roman"/>
        </w:rPr>
        <w:t xml:space="preserve"> za 2015. godinu</w:t>
      </w:r>
      <w:r>
        <w:rPr>
          <w:rFonts w:ascii="Calibri" w:eastAsia="Calibri" w:hAnsi="Calibri" w:cs="Times New Roman"/>
        </w:rPr>
        <w:t xml:space="preserve"> dan</w:t>
      </w:r>
      <w:r w:rsidR="002770D7" w:rsidRPr="00241AEB">
        <w:rPr>
          <w:rFonts w:ascii="Calibri" w:eastAsia="Calibri" w:hAnsi="Calibri" w:cs="Times New Roman"/>
        </w:rPr>
        <w:t xml:space="preserve"> je u </w:t>
      </w:r>
      <w:r w:rsidR="002770D7" w:rsidRPr="00241AEB">
        <w:rPr>
          <w:rFonts w:ascii="Calibri" w:eastAsia="Calibri" w:hAnsi="Calibri" w:cs="Times New Roman"/>
        </w:rPr>
        <w:fldChar w:fldCharType="begin"/>
      </w:r>
      <w:r w:rsidR="002770D7" w:rsidRPr="00241AEB">
        <w:rPr>
          <w:rFonts w:ascii="Calibri" w:eastAsia="Calibri" w:hAnsi="Calibri" w:cs="Times New Roman"/>
        </w:rPr>
        <w:instrText xml:space="preserve"> REF _Ref465681571 \h  \* MERGEFORMAT </w:instrText>
      </w:r>
      <w:r w:rsidR="002770D7" w:rsidRPr="00241AEB">
        <w:rPr>
          <w:rFonts w:ascii="Calibri" w:eastAsia="Calibri" w:hAnsi="Calibri" w:cs="Times New Roman"/>
        </w:rPr>
      </w:r>
      <w:r w:rsidR="002770D7" w:rsidRPr="00241AEB">
        <w:rPr>
          <w:rFonts w:ascii="Calibri" w:eastAsia="Calibri" w:hAnsi="Calibri" w:cs="Times New Roman"/>
        </w:rPr>
        <w:fldChar w:fldCharType="separate"/>
      </w:r>
      <w:r w:rsidR="00CD56F1">
        <w:rPr>
          <w:rFonts w:ascii="Calibri" w:eastAsia="Calibri" w:hAnsi="Calibri" w:cs="Times New Roman"/>
          <w:b/>
          <w:bCs/>
        </w:rPr>
        <w:t>Tablici</w:t>
      </w:r>
      <w:r w:rsidR="009C319B" w:rsidRPr="00241AEB">
        <w:rPr>
          <w:rFonts w:ascii="Calibri" w:eastAsia="Calibri" w:hAnsi="Calibri" w:cs="Times New Roman"/>
          <w:b/>
          <w:bCs/>
        </w:rPr>
        <w:t xml:space="preserve"> </w:t>
      </w:r>
      <w:r w:rsidR="009C319B">
        <w:rPr>
          <w:rFonts w:ascii="Calibri" w:eastAsia="Calibri" w:hAnsi="Calibri" w:cs="Times New Roman"/>
          <w:b/>
          <w:bCs/>
          <w:noProof/>
        </w:rPr>
        <w:t>7</w:t>
      </w:r>
      <w:r w:rsidR="009C319B" w:rsidRPr="00241AEB">
        <w:rPr>
          <w:rFonts w:ascii="Calibri" w:eastAsia="Calibri" w:hAnsi="Calibri" w:cs="Times New Roman"/>
          <w:b/>
          <w:bCs/>
          <w:noProof/>
        </w:rPr>
        <w:t>.</w:t>
      </w:r>
      <w:r w:rsidR="009C319B">
        <w:rPr>
          <w:rFonts w:ascii="Calibri" w:eastAsia="Calibri" w:hAnsi="Calibri" w:cs="Times New Roman"/>
          <w:b/>
          <w:bCs/>
          <w:noProof/>
        </w:rPr>
        <w:t>3</w:t>
      </w:r>
      <w:r w:rsidR="002770D7" w:rsidRPr="00241AEB">
        <w:rPr>
          <w:rFonts w:ascii="Calibri" w:eastAsia="Calibri" w:hAnsi="Calibri" w:cs="Times New Roman"/>
        </w:rPr>
        <w:fldChar w:fldCharType="end"/>
      </w:r>
      <w:r w:rsidR="00853335" w:rsidRPr="00241AEB">
        <w:rPr>
          <w:rFonts w:ascii="Calibri" w:eastAsia="Calibri" w:hAnsi="Calibri" w:cs="Times New Roman"/>
        </w:rPr>
        <w:t>.</w:t>
      </w:r>
    </w:p>
    <w:p w14:paraId="1512DFE1" w14:textId="3D075B91" w:rsidR="00853335" w:rsidRPr="00241AEB" w:rsidRDefault="00853335" w:rsidP="00E92750">
      <w:pPr>
        <w:spacing w:after="0" w:line="240" w:lineRule="auto"/>
        <w:jc w:val="both"/>
        <w:rPr>
          <w:rFonts w:ascii="Calibri" w:eastAsia="Calibri" w:hAnsi="Calibri" w:cs="Times New Roman"/>
        </w:rPr>
      </w:pPr>
      <w:bookmarkStart w:id="312" w:name="_Ref465681571"/>
      <w:bookmarkStart w:id="313" w:name="_Toc317250210"/>
      <w:bookmarkStart w:id="314" w:name="_Toc294180969"/>
      <w:bookmarkStart w:id="315" w:name="_Toc294180693"/>
      <w:bookmarkStart w:id="316" w:name="_Toc258934003"/>
      <w:bookmarkStart w:id="317" w:name="_Toc323121197"/>
      <w:bookmarkStart w:id="318" w:name="_Toc448137130"/>
      <w:bookmarkStart w:id="319" w:name="_Toc468277515"/>
      <w:r w:rsidRPr="00241AEB">
        <w:rPr>
          <w:rFonts w:ascii="Calibri" w:eastAsia="Calibri" w:hAnsi="Calibri" w:cs="Times New Roman"/>
          <w:b/>
          <w:bCs/>
        </w:rPr>
        <w:t xml:space="preserve">Tablica </w:t>
      </w:r>
      <w:r w:rsidR="000B3499" w:rsidRPr="00241AEB">
        <w:rPr>
          <w:rFonts w:ascii="Calibri" w:eastAsia="Calibri" w:hAnsi="Calibri" w:cs="Times New Roman"/>
          <w:b/>
          <w:bCs/>
        </w:rPr>
        <w:fldChar w:fldCharType="begin"/>
      </w:r>
      <w:r w:rsidR="000B3499" w:rsidRPr="00241AEB">
        <w:rPr>
          <w:rFonts w:ascii="Calibri" w:eastAsia="Calibri" w:hAnsi="Calibri" w:cs="Times New Roman"/>
          <w:b/>
          <w:bCs/>
        </w:rPr>
        <w:instrText xml:space="preserve"> STYLEREF 1 \s </w:instrText>
      </w:r>
      <w:r w:rsidR="000B3499" w:rsidRPr="00241AEB">
        <w:rPr>
          <w:rFonts w:ascii="Calibri" w:eastAsia="Calibri" w:hAnsi="Calibri" w:cs="Times New Roman"/>
          <w:b/>
          <w:bCs/>
        </w:rPr>
        <w:fldChar w:fldCharType="separate"/>
      </w:r>
      <w:r w:rsidR="009C319B">
        <w:rPr>
          <w:rFonts w:ascii="Calibri" w:eastAsia="Calibri" w:hAnsi="Calibri" w:cs="Times New Roman"/>
          <w:b/>
          <w:bCs/>
          <w:noProof/>
        </w:rPr>
        <w:t>7</w:t>
      </w:r>
      <w:r w:rsidR="000B3499" w:rsidRPr="00241AEB">
        <w:rPr>
          <w:rFonts w:ascii="Calibri" w:eastAsia="Calibri" w:hAnsi="Calibri" w:cs="Times New Roman"/>
          <w:b/>
          <w:bCs/>
        </w:rPr>
        <w:fldChar w:fldCharType="end"/>
      </w:r>
      <w:r w:rsidR="000B3499" w:rsidRPr="00241AEB">
        <w:rPr>
          <w:rFonts w:ascii="Calibri" w:eastAsia="Calibri" w:hAnsi="Calibri" w:cs="Times New Roman"/>
          <w:b/>
          <w:bCs/>
        </w:rPr>
        <w:t>.</w:t>
      </w:r>
      <w:r w:rsidR="000B3499" w:rsidRPr="00241AEB">
        <w:rPr>
          <w:rFonts w:ascii="Calibri" w:eastAsia="Calibri" w:hAnsi="Calibri" w:cs="Times New Roman"/>
          <w:b/>
          <w:bCs/>
        </w:rPr>
        <w:fldChar w:fldCharType="begin"/>
      </w:r>
      <w:r w:rsidR="000B3499" w:rsidRPr="00241AEB">
        <w:rPr>
          <w:rFonts w:ascii="Calibri" w:eastAsia="Calibri" w:hAnsi="Calibri" w:cs="Times New Roman"/>
          <w:b/>
          <w:bCs/>
        </w:rPr>
        <w:instrText xml:space="preserve"> SEQ Tablica \* ARABIC \s 1 </w:instrText>
      </w:r>
      <w:r w:rsidR="000B3499" w:rsidRPr="00241AEB">
        <w:rPr>
          <w:rFonts w:ascii="Calibri" w:eastAsia="Calibri" w:hAnsi="Calibri" w:cs="Times New Roman"/>
          <w:b/>
          <w:bCs/>
        </w:rPr>
        <w:fldChar w:fldCharType="separate"/>
      </w:r>
      <w:r w:rsidR="009C319B">
        <w:rPr>
          <w:rFonts w:ascii="Calibri" w:eastAsia="Calibri" w:hAnsi="Calibri" w:cs="Times New Roman"/>
          <w:b/>
          <w:bCs/>
          <w:noProof/>
        </w:rPr>
        <w:t>3</w:t>
      </w:r>
      <w:r w:rsidR="000B3499" w:rsidRPr="00241AEB">
        <w:rPr>
          <w:rFonts w:ascii="Calibri" w:eastAsia="Calibri" w:hAnsi="Calibri" w:cs="Times New Roman"/>
          <w:b/>
          <w:bCs/>
        </w:rPr>
        <w:fldChar w:fldCharType="end"/>
      </w:r>
      <w:bookmarkEnd w:id="312"/>
      <w:r w:rsidRPr="00241AEB">
        <w:rPr>
          <w:rFonts w:ascii="Calibri" w:eastAsia="Calibri" w:hAnsi="Calibri" w:cs="Times New Roman"/>
          <w:b/>
          <w:bCs/>
        </w:rPr>
        <w:t xml:space="preserve"> </w:t>
      </w:r>
      <w:r w:rsidR="002E1CFE" w:rsidRPr="00241AEB">
        <w:rPr>
          <w:rFonts w:ascii="Calibri" w:eastAsia="Calibri" w:hAnsi="Calibri" w:cs="Times New Roman"/>
          <w:bCs/>
        </w:rPr>
        <w:t>Kontrolni inventar</w:t>
      </w:r>
      <w:r w:rsidR="002E1CFE" w:rsidRPr="00241AEB">
        <w:rPr>
          <w:rFonts w:ascii="Calibri" w:eastAsia="Calibri" w:hAnsi="Calibri" w:cs="Times New Roman"/>
          <w:b/>
          <w:bCs/>
        </w:rPr>
        <w:t xml:space="preserve"> </w:t>
      </w:r>
      <w:r w:rsidR="002E1CFE" w:rsidRPr="00241AEB">
        <w:rPr>
          <w:rFonts w:ascii="Calibri" w:eastAsia="Calibri" w:hAnsi="Calibri" w:cs="Times New Roman"/>
        </w:rPr>
        <w:t>emisije</w:t>
      </w:r>
      <w:r w:rsidRPr="00241AEB">
        <w:rPr>
          <w:rFonts w:ascii="Calibri" w:eastAsia="Calibri" w:hAnsi="Calibri" w:cs="Times New Roman"/>
        </w:rPr>
        <w:t xml:space="preserve"> CO</w:t>
      </w:r>
      <w:r w:rsidRPr="00241AEB">
        <w:rPr>
          <w:rFonts w:ascii="Calibri" w:eastAsia="Calibri" w:hAnsi="Calibri" w:cs="Times New Roman"/>
          <w:vertAlign w:val="subscript"/>
        </w:rPr>
        <w:t>2</w:t>
      </w:r>
      <w:r w:rsidRPr="00241AEB">
        <w:rPr>
          <w:rFonts w:ascii="Calibri" w:eastAsia="Calibri" w:hAnsi="Calibri" w:cs="Times New Roman"/>
        </w:rPr>
        <w:t xml:space="preserve"> sektora promet</w:t>
      </w:r>
      <w:bookmarkEnd w:id="313"/>
      <w:bookmarkEnd w:id="314"/>
      <w:bookmarkEnd w:id="315"/>
      <w:bookmarkEnd w:id="316"/>
      <w:bookmarkEnd w:id="317"/>
      <w:bookmarkEnd w:id="318"/>
      <w:r w:rsidR="002E1CFE" w:rsidRPr="00241AEB">
        <w:rPr>
          <w:rFonts w:ascii="Calibri" w:eastAsia="Calibri" w:hAnsi="Calibri" w:cs="Times New Roman"/>
        </w:rPr>
        <w:t xml:space="preserve"> za 2015. godinu</w:t>
      </w:r>
      <w:bookmarkEnd w:id="319"/>
    </w:p>
    <w:tbl>
      <w:tblPr>
        <w:tblW w:w="4942" w:type="pct"/>
        <w:tblInd w:w="108" w:type="dxa"/>
        <w:tblLook w:val="04A0" w:firstRow="1" w:lastRow="0" w:firstColumn="1" w:lastColumn="0" w:noHBand="0" w:noVBand="1"/>
      </w:tblPr>
      <w:tblGrid>
        <w:gridCol w:w="1728"/>
        <w:gridCol w:w="2455"/>
        <w:gridCol w:w="1926"/>
        <w:gridCol w:w="1646"/>
        <w:gridCol w:w="1205"/>
      </w:tblGrid>
      <w:tr w:rsidR="006516FA" w:rsidRPr="00241AEB" w14:paraId="43117926" w14:textId="77777777" w:rsidTr="006516FA">
        <w:trPr>
          <w:trHeight w:val="56"/>
        </w:trPr>
        <w:tc>
          <w:tcPr>
            <w:tcW w:w="941" w:type="pct"/>
            <w:tcBorders>
              <w:top w:val="nil"/>
              <w:left w:val="nil"/>
              <w:bottom w:val="nil"/>
              <w:right w:val="nil"/>
            </w:tcBorders>
            <w:shd w:val="clear" w:color="auto" w:fill="auto"/>
            <w:noWrap/>
            <w:hideMark/>
          </w:tcPr>
          <w:p w14:paraId="04464F90" w14:textId="77777777" w:rsidR="006516FA" w:rsidRPr="00241AEB" w:rsidRDefault="006516FA" w:rsidP="00E92750">
            <w:pPr>
              <w:spacing w:after="0" w:line="240" w:lineRule="auto"/>
              <w:rPr>
                <w:rFonts w:ascii="Calibri" w:eastAsia="Times New Roman" w:hAnsi="Calibri" w:cs="Calibri"/>
                <w:color w:val="000000"/>
                <w:sz w:val="18"/>
                <w:szCs w:val="18"/>
                <w:lang w:eastAsia="hr-HR"/>
              </w:rPr>
            </w:pPr>
          </w:p>
        </w:tc>
        <w:tc>
          <w:tcPr>
            <w:tcW w:w="4059" w:type="pct"/>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8670402" w14:textId="77777777" w:rsidR="006516FA" w:rsidRPr="00241AEB" w:rsidRDefault="006516FA" w:rsidP="00E92750">
            <w:pPr>
              <w:spacing w:after="0" w:line="240" w:lineRule="auto"/>
              <w:jc w:val="center"/>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PROMET - Emisija (t CO</w:t>
            </w:r>
            <w:r w:rsidRPr="00241AEB">
              <w:rPr>
                <w:rFonts w:ascii="Calibri" w:eastAsia="Times New Roman" w:hAnsi="Calibri" w:cs="Calibri"/>
                <w:b/>
                <w:bCs/>
                <w:color w:val="000000"/>
                <w:sz w:val="18"/>
                <w:szCs w:val="18"/>
                <w:vertAlign w:val="subscript"/>
                <w:lang w:eastAsia="hr-HR"/>
              </w:rPr>
              <w:t>2</w:t>
            </w:r>
            <w:r w:rsidRPr="00241AEB">
              <w:rPr>
                <w:rFonts w:ascii="Calibri" w:eastAsia="Times New Roman" w:hAnsi="Calibri" w:cs="Calibri"/>
                <w:b/>
                <w:bCs/>
                <w:color w:val="000000"/>
                <w:sz w:val="18"/>
                <w:szCs w:val="18"/>
                <w:lang w:eastAsia="hr-HR"/>
              </w:rPr>
              <w:t>)</w:t>
            </w:r>
          </w:p>
        </w:tc>
      </w:tr>
      <w:tr w:rsidR="006516FA" w:rsidRPr="00241AEB" w14:paraId="714F2B84" w14:textId="77777777" w:rsidTr="006516FA">
        <w:trPr>
          <w:trHeight w:val="108"/>
        </w:trPr>
        <w:tc>
          <w:tcPr>
            <w:tcW w:w="941" w:type="pct"/>
            <w:tcBorders>
              <w:top w:val="single" w:sz="4" w:space="0" w:color="auto"/>
              <w:left w:val="single" w:sz="4" w:space="0" w:color="auto"/>
              <w:bottom w:val="single" w:sz="4" w:space="0" w:color="auto"/>
              <w:right w:val="single" w:sz="4" w:space="0" w:color="auto"/>
            </w:tcBorders>
            <w:shd w:val="clear" w:color="000000" w:fill="D9D9D9"/>
            <w:hideMark/>
          </w:tcPr>
          <w:p w14:paraId="10617808" w14:textId="77777777" w:rsidR="006516FA" w:rsidRPr="00241AEB" w:rsidRDefault="006516FA" w:rsidP="00E92750">
            <w:pPr>
              <w:spacing w:after="0" w:line="240" w:lineRule="auto"/>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UKUPNO</w:t>
            </w:r>
          </w:p>
        </w:tc>
        <w:tc>
          <w:tcPr>
            <w:tcW w:w="1376" w:type="pct"/>
            <w:tcBorders>
              <w:top w:val="nil"/>
              <w:left w:val="nil"/>
              <w:bottom w:val="nil"/>
              <w:right w:val="nil"/>
            </w:tcBorders>
            <w:shd w:val="clear" w:color="000000" w:fill="D9D9D9"/>
            <w:vAlign w:val="bottom"/>
            <w:hideMark/>
          </w:tcPr>
          <w:p w14:paraId="06467A7D" w14:textId="38F94347" w:rsidR="006516FA" w:rsidRPr="00241AEB" w:rsidRDefault="006516FA" w:rsidP="00E92750">
            <w:pPr>
              <w:spacing w:after="0" w:line="240" w:lineRule="auto"/>
              <w:jc w:val="center"/>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Vozila u vlasništvu i korištenju Grada</w:t>
            </w:r>
          </w:p>
        </w:tc>
        <w:tc>
          <w:tcPr>
            <w:tcW w:w="1081" w:type="pct"/>
            <w:tcBorders>
              <w:top w:val="nil"/>
              <w:left w:val="single" w:sz="4" w:space="0" w:color="auto"/>
              <w:bottom w:val="single" w:sz="4" w:space="0" w:color="auto"/>
              <w:right w:val="single" w:sz="4" w:space="0" w:color="auto"/>
            </w:tcBorders>
            <w:shd w:val="clear" w:color="000000" w:fill="D9D9D9"/>
            <w:hideMark/>
          </w:tcPr>
          <w:p w14:paraId="58D5CDFF" w14:textId="77777777" w:rsidR="006516FA" w:rsidRPr="00241AEB" w:rsidRDefault="006516FA" w:rsidP="00E92750">
            <w:pPr>
              <w:spacing w:after="0" w:line="240" w:lineRule="auto"/>
              <w:jc w:val="center"/>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Javni prijevoz</w:t>
            </w:r>
          </w:p>
        </w:tc>
        <w:tc>
          <w:tcPr>
            <w:tcW w:w="924" w:type="pct"/>
            <w:tcBorders>
              <w:top w:val="nil"/>
              <w:left w:val="nil"/>
              <w:bottom w:val="single" w:sz="4" w:space="0" w:color="auto"/>
              <w:right w:val="single" w:sz="4" w:space="0" w:color="auto"/>
            </w:tcBorders>
            <w:shd w:val="clear" w:color="000000" w:fill="D9D9D9"/>
            <w:hideMark/>
          </w:tcPr>
          <w:p w14:paraId="1D4C9F82" w14:textId="77777777" w:rsidR="006516FA" w:rsidRPr="00241AEB" w:rsidRDefault="006516FA" w:rsidP="00E92750">
            <w:pPr>
              <w:spacing w:after="0" w:line="240" w:lineRule="auto"/>
              <w:jc w:val="center"/>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Osobna i komercijalna vozila</w:t>
            </w:r>
          </w:p>
        </w:tc>
        <w:tc>
          <w:tcPr>
            <w:tcW w:w="678" w:type="pct"/>
            <w:tcBorders>
              <w:top w:val="nil"/>
              <w:left w:val="nil"/>
              <w:bottom w:val="single" w:sz="4" w:space="0" w:color="auto"/>
              <w:right w:val="single" w:sz="4" w:space="0" w:color="auto"/>
            </w:tcBorders>
            <w:shd w:val="clear" w:color="000000" w:fill="D9D9D9"/>
            <w:hideMark/>
          </w:tcPr>
          <w:p w14:paraId="1F8FF8F9" w14:textId="77777777" w:rsidR="006516FA" w:rsidRPr="00241AEB" w:rsidRDefault="006516FA" w:rsidP="00E92750">
            <w:pPr>
              <w:spacing w:after="0" w:line="240" w:lineRule="auto"/>
              <w:jc w:val="center"/>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Ukupno</w:t>
            </w:r>
          </w:p>
        </w:tc>
      </w:tr>
      <w:tr w:rsidR="006516FA" w:rsidRPr="00241AEB" w14:paraId="7B4612B6" w14:textId="77777777" w:rsidTr="006516FA">
        <w:trPr>
          <w:trHeight w:val="56"/>
        </w:trPr>
        <w:tc>
          <w:tcPr>
            <w:tcW w:w="941" w:type="pct"/>
            <w:tcBorders>
              <w:top w:val="nil"/>
              <w:left w:val="single" w:sz="4" w:space="0" w:color="auto"/>
              <w:bottom w:val="single" w:sz="4" w:space="0" w:color="auto"/>
              <w:right w:val="single" w:sz="4" w:space="0" w:color="auto"/>
            </w:tcBorders>
            <w:shd w:val="clear" w:color="auto" w:fill="auto"/>
            <w:noWrap/>
            <w:hideMark/>
          </w:tcPr>
          <w:p w14:paraId="0545569A" w14:textId="77777777" w:rsidR="006516FA" w:rsidRPr="00241AEB" w:rsidRDefault="006516FA" w:rsidP="00E92750">
            <w:pPr>
              <w:spacing w:after="0" w:line="240" w:lineRule="auto"/>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Motorni benzin</w:t>
            </w:r>
          </w:p>
        </w:tc>
        <w:tc>
          <w:tcPr>
            <w:tcW w:w="1376" w:type="pct"/>
            <w:tcBorders>
              <w:top w:val="single" w:sz="4" w:space="0" w:color="auto"/>
              <w:left w:val="nil"/>
              <w:bottom w:val="single" w:sz="4" w:space="0" w:color="auto"/>
              <w:right w:val="single" w:sz="4" w:space="0" w:color="auto"/>
            </w:tcBorders>
            <w:shd w:val="clear" w:color="auto" w:fill="auto"/>
            <w:hideMark/>
          </w:tcPr>
          <w:p w14:paraId="5017F7C9" w14:textId="77777777" w:rsidR="006516FA" w:rsidRPr="00241AEB" w:rsidRDefault="006516FA"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439,23</w:t>
            </w:r>
          </w:p>
        </w:tc>
        <w:tc>
          <w:tcPr>
            <w:tcW w:w="1081" w:type="pct"/>
            <w:tcBorders>
              <w:top w:val="nil"/>
              <w:left w:val="nil"/>
              <w:bottom w:val="single" w:sz="4" w:space="0" w:color="auto"/>
              <w:right w:val="single" w:sz="4" w:space="0" w:color="auto"/>
            </w:tcBorders>
            <w:shd w:val="clear" w:color="auto" w:fill="auto"/>
            <w:hideMark/>
          </w:tcPr>
          <w:p w14:paraId="4289A972" w14:textId="77777777" w:rsidR="006516FA" w:rsidRPr="00241AEB" w:rsidRDefault="006516FA"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w:t>
            </w:r>
          </w:p>
        </w:tc>
        <w:tc>
          <w:tcPr>
            <w:tcW w:w="924" w:type="pct"/>
            <w:tcBorders>
              <w:top w:val="nil"/>
              <w:left w:val="nil"/>
              <w:bottom w:val="single" w:sz="4" w:space="0" w:color="auto"/>
              <w:right w:val="single" w:sz="4" w:space="0" w:color="auto"/>
            </w:tcBorders>
            <w:shd w:val="clear" w:color="auto" w:fill="auto"/>
            <w:hideMark/>
          </w:tcPr>
          <w:p w14:paraId="36364292" w14:textId="123E2E4C"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371 </w:t>
            </w:r>
            <w:r w:rsidR="006516FA" w:rsidRPr="00241AEB">
              <w:rPr>
                <w:rFonts w:ascii="Calibri" w:eastAsia="Times New Roman" w:hAnsi="Calibri" w:cs="Calibri"/>
                <w:color w:val="000000"/>
                <w:sz w:val="18"/>
                <w:szCs w:val="18"/>
                <w:lang w:eastAsia="hr-HR"/>
              </w:rPr>
              <w:t>838,77</w:t>
            </w:r>
          </w:p>
        </w:tc>
        <w:tc>
          <w:tcPr>
            <w:tcW w:w="678" w:type="pct"/>
            <w:tcBorders>
              <w:top w:val="nil"/>
              <w:left w:val="nil"/>
              <w:bottom w:val="single" w:sz="4" w:space="0" w:color="auto"/>
              <w:right w:val="single" w:sz="4" w:space="0" w:color="auto"/>
            </w:tcBorders>
            <w:shd w:val="clear" w:color="auto" w:fill="auto"/>
            <w:hideMark/>
          </w:tcPr>
          <w:p w14:paraId="5AA4B1CE" w14:textId="165ADED9"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372 </w:t>
            </w:r>
            <w:r w:rsidR="006516FA" w:rsidRPr="00241AEB">
              <w:rPr>
                <w:rFonts w:ascii="Calibri" w:eastAsia="Times New Roman" w:hAnsi="Calibri" w:cs="Calibri"/>
                <w:color w:val="000000"/>
                <w:sz w:val="18"/>
                <w:szCs w:val="18"/>
                <w:lang w:eastAsia="hr-HR"/>
              </w:rPr>
              <w:t>278,01</w:t>
            </w:r>
          </w:p>
        </w:tc>
      </w:tr>
      <w:tr w:rsidR="006516FA" w:rsidRPr="00241AEB" w14:paraId="1144A0E4" w14:textId="77777777" w:rsidTr="006516FA">
        <w:trPr>
          <w:trHeight w:val="56"/>
        </w:trPr>
        <w:tc>
          <w:tcPr>
            <w:tcW w:w="941" w:type="pct"/>
            <w:tcBorders>
              <w:top w:val="nil"/>
              <w:left w:val="single" w:sz="4" w:space="0" w:color="auto"/>
              <w:bottom w:val="single" w:sz="4" w:space="0" w:color="auto"/>
              <w:right w:val="single" w:sz="4" w:space="0" w:color="auto"/>
            </w:tcBorders>
            <w:shd w:val="clear" w:color="auto" w:fill="auto"/>
            <w:noWrap/>
            <w:hideMark/>
          </w:tcPr>
          <w:p w14:paraId="4A48B904" w14:textId="77777777" w:rsidR="006516FA" w:rsidRPr="00241AEB" w:rsidRDefault="006516FA" w:rsidP="00E92750">
            <w:pPr>
              <w:spacing w:after="0" w:line="240" w:lineRule="auto"/>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Dizel</w:t>
            </w:r>
          </w:p>
        </w:tc>
        <w:tc>
          <w:tcPr>
            <w:tcW w:w="1376" w:type="pct"/>
            <w:tcBorders>
              <w:top w:val="nil"/>
              <w:left w:val="nil"/>
              <w:bottom w:val="single" w:sz="4" w:space="0" w:color="auto"/>
              <w:right w:val="single" w:sz="4" w:space="0" w:color="auto"/>
            </w:tcBorders>
            <w:shd w:val="clear" w:color="auto" w:fill="auto"/>
            <w:hideMark/>
          </w:tcPr>
          <w:p w14:paraId="62EEB3AE" w14:textId="13D86C67"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9 </w:t>
            </w:r>
            <w:r w:rsidR="006516FA" w:rsidRPr="00241AEB">
              <w:rPr>
                <w:rFonts w:ascii="Calibri" w:eastAsia="Times New Roman" w:hAnsi="Calibri" w:cs="Calibri"/>
                <w:color w:val="000000"/>
                <w:sz w:val="18"/>
                <w:szCs w:val="18"/>
                <w:lang w:eastAsia="hr-HR"/>
              </w:rPr>
              <w:t>470,62</w:t>
            </w:r>
          </w:p>
        </w:tc>
        <w:tc>
          <w:tcPr>
            <w:tcW w:w="1081" w:type="pct"/>
            <w:tcBorders>
              <w:top w:val="nil"/>
              <w:left w:val="nil"/>
              <w:bottom w:val="single" w:sz="4" w:space="0" w:color="auto"/>
              <w:right w:val="single" w:sz="4" w:space="0" w:color="auto"/>
            </w:tcBorders>
            <w:shd w:val="clear" w:color="auto" w:fill="auto"/>
            <w:hideMark/>
          </w:tcPr>
          <w:p w14:paraId="7A700342" w14:textId="377B08C5"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25 </w:t>
            </w:r>
            <w:r w:rsidR="006516FA" w:rsidRPr="00241AEB">
              <w:rPr>
                <w:rFonts w:ascii="Calibri" w:eastAsia="Times New Roman" w:hAnsi="Calibri" w:cs="Calibri"/>
                <w:color w:val="000000"/>
                <w:sz w:val="18"/>
                <w:szCs w:val="18"/>
                <w:lang w:eastAsia="hr-HR"/>
              </w:rPr>
              <w:t>685,17</w:t>
            </w:r>
          </w:p>
        </w:tc>
        <w:tc>
          <w:tcPr>
            <w:tcW w:w="924" w:type="pct"/>
            <w:tcBorders>
              <w:top w:val="nil"/>
              <w:left w:val="nil"/>
              <w:bottom w:val="single" w:sz="4" w:space="0" w:color="auto"/>
              <w:right w:val="single" w:sz="4" w:space="0" w:color="auto"/>
            </w:tcBorders>
            <w:shd w:val="clear" w:color="auto" w:fill="auto"/>
            <w:hideMark/>
          </w:tcPr>
          <w:p w14:paraId="3639EE24" w14:textId="63A5998F"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635 </w:t>
            </w:r>
            <w:r w:rsidR="006516FA" w:rsidRPr="00241AEB">
              <w:rPr>
                <w:rFonts w:ascii="Calibri" w:eastAsia="Times New Roman" w:hAnsi="Calibri" w:cs="Calibri"/>
                <w:color w:val="000000"/>
                <w:sz w:val="18"/>
                <w:szCs w:val="18"/>
                <w:lang w:eastAsia="hr-HR"/>
              </w:rPr>
              <w:t>886,83</w:t>
            </w:r>
          </w:p>
        </w:tc>
        <w:tc>
          <w:tcPr>
            <w:tcW w:w="678" w:type="pct"/>
            <w:tcBorders>
              <w:top w:val="nil"/>
              <w:left w:val="nil"/>
              <w:bottom w:val="single" w:sz="4" w:space="0" w:color="auto"/>
              <w:right w:val="single" w:sz="4" w:space="0" w:color="auto"/>
            </w:tcBorders>
            <w:shd w:val="clear" w:color="auto" w:fill="auto"/>
            <w:hideMark/>
          </w:tcPr>
          <w:p w14:paraId="6771BBF5" w14:textId="1FA66003"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671 </w:t>
            </w:r>
            <w:r w:rsidR="006516FA" w:rsidRPr="00241AEB">
              <w:rPr>
                <w:rFonts w:ascii="Calibri" w:eastAsia="Times New Roman" w:hAnsi="Calibri" w:cs="Calibri"/>
                <w:color w:val="000000"/>
                <w:sz w:val="18"/>
                <w:szCs w:val="18"/>
                <w:lang w:eastAsia="hr-HR"/>
              </w:rPr>
              <w:t>042,61</w:t>
            </w:r>
          </w:p>
        </w:tc>
      </w:tr>
      <w:tr w:rsidR="006516FA" w:rsidRPr="00241AEB" w14:paraId="155A0875" w14:textId="77777777" w:rsidTr="006516FA">
        <w:trPr>
          <w:trHeight w:val="56"/>
        </w:trPr>
        <w:tc>
          <w:tcPr>
            <w:tcW w:w="941" w:type="pct"/>
            <w:tcBorders>
              <w:top w:val="nil"/>
              <w:left w:val="single" w:sz="4" w:space="0" w:color="auto"/>
              <w:bottom w:val="single" w:sz="4" w:space="0" w:color="auto"/>
              <w:right w:val="single" w:sz="4" w:space="0" w:color="auto"/>
            </w:tcBorders>
            <w:shd w:val="clear" w:color="auto" w:fill="auto"/>
            <w:noWrap/>
            <w:hideMark/>
          </w:tcPr>
          <w:p w14:paraId="10DCFA1C" w14:textId="77777777" w:rsidR="006516FA" w:rsidRPr="00241AEB" w:rsidRDefault="006516FA" w:rsidP="00E92750">
            <w:pPr>
              <w:spacing w:after="0" w:line="240" w:lineRule="auto"/>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LPG</w:t>
            </w:r>
          </w:p>
        </w:tc>
        <w:tc>
          <w:tcPr>
            <w:tcW w:w="1376" w:type="pct"/>
            <w:tcBorders>
              <w:top w:val="nil"/>
              <w:left w:val="nil"/>
              <w:bottom w:val="single" w:sz="4" w:space="0" w:color="auto"/>
              <w:right w:val="single" w:sz="4" w:space="0" w:color="auto"/>
            </w:tcBorders>
            <w:shd w:val="clear" w:color="auto" w:fill="auto"/>
            <w:hideMark/>
          </w:tcPr>
          <w:p w14:paraId="0873CF41" w14:textId="3AD18E75" w:rsidR="006516FA" w:rsidRPr="00241AEB" w:rsidRDefault="001D7D90" w:rsidP="00E92750">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c>
          <w:tcPr>
            <w:tcW w:w="1081" w:type="pct"/>
            <w:tcBorders>
              <w:top w:val="nil"/>
              <w:left w:val="nil"/>
              <w:bottom w:val="single" w:sz="4" w:space="0" w:color="auto"/>
              <w:right w:val="single" w:sz="4" w:space="0" w:color="auto"/>
            </w:tcBorders>
            <w:shd w:val="clear" w:color="auto" w:fill="auto"/>
            <w:hideMark/>
          </w:tcPr>
          <w:p w14:paraId="5DE2A43D" w14:textId="47C288CD" w:rsidR="006516FA" w:rsidRPr="00241AEB" w:rsidRDefault="001D7D90" w:rsidP="00E92750">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c>
          <w:tcPr>
            <w:tcW w:w="924" w:type="pct"/>
            <w:tcBorders>
              <w:top w:val="nil"/>
              <w:left w:val="nil"/>
              <w:bottom w:val="single" w:sz="4" w:space="0" w:color="auto"/>
              <w:right w:val="single" w:sz="4" w:space="0" w:color="auto"/>
            </w:tcBorders>
            <w:shd w:val="clear" w:color="auto" w:fill="auto"/>
            <w:hideMark/>
          </w:tcPr>
          <w:p w14:paraId="5AC397C4" w14:textId="7C8B6ADE"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28 </w:t>
            </w:r>
            <w:r w:rsidR="006516FA" w:rsidRPr="00241AEB">
              <w:rPr>
                <w:rFonts w:ascii="Calibri" w:eastAsia="Times New Roman" w:hAnsi="Calibri" w:cs="Calibri"/>
                <w:color w:val="000000"/>
                <w:sz w:val="18"/>
                <w:szCs w:val="18"/>
                <w:lang w:eastAsia="hr-HR"/>
              </w:rPr>
              <w:t>042,65</w:t>
            </w:r>
          </w:p>
        </w:tc>
        <w:tc>
          <w:tcPr>
            <w:tcW w:w="678" w:type="pct"/>
            <w:tcBorders>
              <w:top w:val="nil"/>
              <w:left w:val="nil"/>
              <w:bottom w:val="single" w:sz="4" w:space="0" w:color="auto"/>
              <w:right w:val="single" w:sz="4" w:space="0" w:color="auto"/>
            </w:tcBorders>
            <w:shd w:val="clear" w:color="auto" w:fill="auto"/>
            <w:hideMark/>
          </w:tcPr>
          <w:p w14:paraId="1CA231B7" w14:textId="09F95525"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28 </w:t>
            </w:r>
            <w:r w:rsidR="006516FA" w:rsidRPr="00241AEB">
              <w:rPr>
                <w:rFonts w:ascii="Calibri" w:eastAsia="Times New Roman" w:hAnsi="Calibri" w:cs="Calibri"/>
                <w:color w:val="000000"/>
                <w:sz w:val="18"/>
                <w:szCs w:val="18"/>
                <w:lang w:eastAsia="hr-HR"/>
              </w:rPr>
              <w:t>042,65</w:t>
            </w:r>
          </w:p>
        </w:tc>
      </w:tr>
      <w:tr w:rsidR="006516FA" w:rsidRPr="00241AEB" w14:paraId="1C2AB4DC" w14:textId="77777777" w:rsidTr="006516FA">
        <w:trPr>
          <w:trHeight w:val="56"/>
        </w:trPr>
        <w:tc>
          <w:tcPr>
            <w:tcW w:w="941" w:type="pct"/>
            <w:tcBorders>
              <w:top w:val="nil"/>
              <w:left w:val="single" w:sz="4" w:space="0" w:color="auto"/>
              <w:bottom w:val="single" w:sz="4" w:space="0" w:color="auto"/>
              <w:right w:val="single" w:sz="4" w:space="0" w:color="auto"/>
            </w:tcBorders>
            <w:shd w:val="clear" w:color="auto" w:fill="auto"/>
            <w:noWrap/>
            <w:hideMark/>
          </w:tcPr>
          <w:p w14:paraId="3A033537" w14:textId="77777777" w:rsidR="006516FA" w:rsidRPr="00241AEB" w:rsidRDefault="006516FA" w:rsidP="00E92750">
            <w:pPr>
              <w:spacing w:after="0" w:line="240" w:lineRule="auto"/>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Stlačeni prirodni plin</w:t>
            </w:r>
          </w:p>
        </w:tc>
        <w:tc>
          <w:tcPr>
            <w:tcW w:w="1376" w:type="pct"/>
            <w:tcBorders>
              <w:top w:val="nil"/>
              <w:left w:val="nil"/>
              <w:bottom w:val="single" w:sz="4" w:space="0" w:color="auto"/>
              <w:right w:val="single" w:sz="4" w:space="0" w:color="auto"/>
            </w:tcBorders>
            <w:shd w:val="clear" w:color="auto" w:fill="auto"/>
            <w:hideMark/>
          </w:tcPr>
          <w:p w14:paraId="281D481D" w14:textId="77777777" w:rsidR="006516FA" w:rsidRPr="00241AEB" w:rsidRDefault="006516FA"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55,82</w:t>
            </w:r>
          </w:p>
        </w:tc>
        <w:tc>
          <w:tcPr>
            <w:tcW w:w="1081" w:type="pct"/>
            <w:tcBorders>
              <w:top w:val="nil"/>
              <w:left w:val="nil"/>
              <w:bottom w:val="single" w:sz="4" w:space="0" w:color="auto"/>
              <w:right w:val="single" w:sz="4" w:space="0" w:color="auto"/>
            </w:tcBorders>
            <w:shd w:val="clear" w:color="auto" w:fill="auto"/>
            <w:hideMark/>
          </w:tcPr>
          <w:p w14:paraId="06643ECE" w14:textId="0C27BADD"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6 </w:t>
            </w:r>
            <w:r w:rsidR="006516FA" w:rsidRPr="00241AEB">
              <w:rPr>
                <w:rFonts w:ascii="Calibri" w:eastAsia="Times New Roman" w:hAnsi="Calibri" w:cs="Calibri"/>
                <w:color w:val="000000"/>
                <w:sz w:val="18"/>
                <w:szCs w:val="18"/>
                <w:lang w:eastAsia="hr-HR"/>
              </w:rPr>
              <w:t>109,80</w:t>
            </w:r>
          </w:p>
        </w:tc>
        <w:tc>
          <w:tcPr>
            <w:tcW w:w="924" w:type="pct"/>
            <w:tcBorders>
              <w:top w:val="nil"/>
              <w:left w:val="nil"/>
              <w:bottom w:val="single" w:sz="4" w:space="0" w:color="auto"/>
              <w:right w:val="single" w:sz="4" w:space="0" w:color="auto"/>
            </w:tcBorders>
            <w:shd w:val="clear" w:color="auto" w:fill="auto"/>
            <w:hideMark/>
          </w:tcPr>
          <w:p w14:paraId="4ECA1623" w14:textId="0D07045B" w:rsidR="006516FA" w:rsidRPr="00241AEB" w:rsidRDefault="001D7D90" w:rsidP="00E92750">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c>
          <w:tcPr>
            <w:tcW w:w="678" w:type="pct"/>
            <w:tcBorders>
              <w:top w:val="nil"/>
              <w:left w:val="nil"/>
              <w:bottom w:val="single" w:sz="4" w:space="0" w:color="auto"/>
              <w:right w:val="single" w:sz="4" w:space="0" w:color="auto"/>
            </w:tcBorders>
            <w:shd w:val="clear" w:color="auto" w:fill="auto"/>
            <w:hideMark/>
          </w:tcPr>
          <w:p w14:paraId="39C02A7C" w14:textId="7193ED29"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6 </w:t>
            </w:r>
            <w:r w:rsidR="006516FA" w:rsidRPr="00241AEB">
              <w:rPr>
                <w:rFonts w:ascii="Calibri" w:eastAsia="Times New Roman" w:hAnsi="Calibri" w:cs="Calibri"/>
                <w:color w:val="000000"/>
                <w:sz w:val="18"/>
                <w:szCs w:val="18"/>
                <w:lang w:eastAsia="hr-HR"/>
              </w:rPr>
              <w:t>165,62</w:t>
            </w:r>
          </w:p>
        </w:tc>
      </w:tr>
      <w:tr w:rsidR="006516FA" w:rsidRPr="00241AEB" w14:paraId="60F18699" w14:textId="77777777" w:rsidTr="006516FA">
        <w:trPr>
          <w:trHeight w:val="56"/>
        </w:trPr>
        <w:tc>
          <w:tcPr>
            <w:tcW w:w="941" w:type="pct"/>
            <w:tcBorders>
              <w:top w:val="nil"/>
              <w:left w:val="single" w:sz="4" w:space="0" w:color="auto"/>
              <w:bottom w:val="single" w:sz="4" w:space="0" w:color="auto"/>
              <w:right w:val="single" w:sz="4" w:space="0" w:color="auto"/>
            </w:tcBorders>
            <w:shd w:val="clear" w:color="auto" w:fill="auto"/>
            <w:noWrap/>
            <w:hideMark/>
          </w:tcPr>
          <w:p w14:paraId="2D691F49" w14:textId="77777777" w:rsidR="006516FA" w:rsidRPr="00241AEB" w:rsidRDefault="006516FA" w:rsidP="00E92750">
            <w:pPr>
              <w:spacing w:after="0" w:line="240" w:lineRule="auto"/>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Električna energija</w:t>
            </w:r>
          </w:p>
        </w:tc>
        <w:tc>
          <w:tcPr>
            <w:tcW w:w="1376" w:type="pct"/>
            <w:tcBorders>
              <w:top w:val="nil"/>
              <w:left w:val="nil"/>
              <w:bottom w:val="single" w:sz="4" w:space="0" w:color="auto"/>
              <w:right w:val="single" w:sz="4" w:space="0" w:color="auto"/>
            </w:tcBorders>
            <w:shd w:val="clear" w:color="auto" w:fill="auto"/>
            <w:hideMark/>
          </w:tcPr>
          <w:p w14:paraId="34E1F24F" w14:textId="40DB5ED3" w:rsidR="006516FA" w:rsidRPr="00241AEB" w:rsidRDefault="001D7D90" w:rsidP="00E92750">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c>
          <w:tcPr>
            <w:tcW w:w="1081" w:type="pct"/>
            <w:tcBorders>
              <w:top w:val="nil"/>
              <w:left w:val="nil"/>
              <w:bottom w:val="single" w:sz="4" w:space="0" w:color="auto"/>
              <w:right w:val="single" w:sz="4" w:space="0" w:color="auto"/>
            </w:tcBorders>
            <w:shd w:val="clear" w:color="auto" w:fill="auto"/>
            <w:hideMark/>
          </w:tcPr>
          <w:p w14:paraId="5B19A2C7" w14:textId="66D1D6B9"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23 </w:t>
            </w:r>
            <w:r w:rsidR="006516FA" w:rsidRPr="00241AEB">
              <w:rPr>
                <w:rFonts w:ascii="Calibri" w:eastAsia="Times New Roman" w:hAnsi="Calibri" w:cs="Calibri"/>
                <w:color w:val="000000"/>
                <w:sz w:val="18"/>
                <w:szCs w:val="18"/>
                <w:lang w:eastAsia="hr-HR"/>
              </w:rPr>
              <w:t>426,05</w:t>
            </w:r>
          </w:p>
        </w:tc>
        <w:tc>
          <w:tcPr>
            <w:tcW w:w="924" w:type="pct"/>
            <w:tcBorders>
              <w:top w:val="nil"/>
              <w:left w:val="nil"/>
              <w:bottom w:val="single" w:sz="4" w:space="0" w:color="auto"/>
              <w:right w:val="single" w:sz="4" w:space="0" w:color="auto"/>
            </w:tcBorders>
            <w:shd w:val="clear" w:color="auto" w:fill="auto"/>
            <w:hideMark/>
          </w:tcPr>
          <w:p w14:paraId="0186A395" w14:textId="613ECF67" w:rsidR="006516FA" w:rsidRPr="00241AEB" w:rsidRDefault="001D7D90" w:rsidP="00E92750">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c>
          <w:tcPr>
            <w:tcW w:w="678" w:type="pct"/>
            <w:tcBorders>
              <w:top w:val="nil"/>
              <w:left w:val="nil"/>
              <w:bottom w:val="single" w:sz="4" w:space="0" w:color="auto"/>
              <w:right w:val="single" w:sz="4" w:space="0" w:color="auto"/>
            </w:tcBorders>
            <w:shd w:val="clear" w:color="auto" w:fill="auto"/>
            <w:hideMark/>
          </w:tcPr>
          <w:p w14:paraId="253E4533" w14:textId="7FB42F2D" w:rsidR="006516FA" w:rsidRPr="00241AEB" w:rsidRDefault="00C63487" w:rsidP="00E92750">
            <w:pPr>
              <w:spacing w:after="0" w:line="240" w:lineRule="auto"/>
              <w:jc w:val="center"/>
              <w:rPr>
                <w:rFonts w:ascii="Calibri" w:eastAsia="Times New Roman" w:hAnsi="Calibri" w:cs="Calibri"/>
                <w:color w:val="000000"/>
                <w:sz w:val="18"/>
                <w:szCs w:val="18"/>
                <w:lang w:eastAsia="hr-HR"/>
              </w:rPr>
            </w:pPr>
            <w:r w:rsidRPr="00241AEB">
              <w:rPr>
                <w:rFonts w:ascii="Calibri" w:eastAsia="Times New Roman" w:hAnsi="Calibri" w:cs="Calibri"/>
                <w:color w:val="000000"/>
                <w:sz w:val="18"/>
                <w:szCs w:val="18"/>
                <w:lang w:eastAsia="hr-HR"/>
              </w:rPr>
              <w:t xml:space="preserve">23 </w:t>
            </w:r>
            <w:r w:rsidR="006516FA" w:rsidRPr="00241AEB">
              <w:rPr>
                <w:rFonts w:ascii="Calibri" w:eastAsia="Times New Roman" w:hAnsi="Calibri" w:cs="Calibri"/>
                <w:color w:val="000000"/>
                <w:sz w:val="18"/>
                <w:szCs w:val="18"/>
                <w:lang w:eastAsia="hr-HR"/>
              </w:rPr>
              <w:t>426,05</w:t>
            </w:r>
          </w:p>
        </w:tc>
      </w:tr>
      <w:tr w:rsidR="006516FA" w:rsidRPr="00241AEB" w14:paraId="77E2202D" w14:textId="77777777" w:rsidTr="006516FA">
        <w:trPr>
          <w:trHeight w:val="56"/>
        </w:trPr>
        <w:tc>
          <w:tcPr>
            <w:tcW w:w="941" w:type="pct"/>
            <w:tcBorders>
              <w:top w:val="nil"/>
              <w:left w:val="single" w:sz="4" w:space="0" w:color="auto"/>
              <w:bottom w:val="single" w:sz="4" w:space="0" w:color="auto"/>
              <w:right w:val="single" w:sz="4" w:space="0" w:color="auto"/>
            </w:tcBorders>
            <w:shd w:val="clear" w:color="000000" w:fill="D9D9D9"/>
            <w:noWrap/>
            <w:hideMark/>
          </w:tcPr>
          <w:p w14:paraId="2CC59574" w14:textId="77777777" w:rsidR="006516FA" w:rsidRPr="00241AEB" w:rsidRDefault="006516FA" w:rsidP="00E92750">
            <w:pPr>
              <w:spacing w:after="0" w:line="240" w:lineRule="auto"/>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Ukupno</w:t>
            </w:r>
          </w:p>
        </w:tc>
        <w:tc>
          <w:tcPr>
            <w:tcW w:w="1376" w:type="pct"/>
            <w:tcBorders>
              <w:top w:val="nil"/>
              <w:left w:val="nil"/>
              <w:bottom w:val="single" w:sz="4" w:space="0" w:color="auto"/>
              <w:right w:val="single" w:sz="4" w:space="0" w:color="auto"/>
            </w:tcBorders>
            <w:shd w:val="clear" w:color="000000" w:fill="D9D9D9"/>
            <w:hideMark/>
          </w:tcPr>
          <w:p w14:paraId="33035AA8" w14:textId="375474A1" w:rsidR="006516FA" w:rsidRPr="00241AEB" w:rsidRDefault="00C63487" w:rsidP="00E92750">
            <w:pPr>
              <w:spacing w:after="0" w:line="240" w:lineRule="auto"/>
              <w:jc w:val="center"/>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 xml:space="preserve">9 </w:t>
            </w:r>
            <w:r w:rsidR="006516FA" w:rsidRPr="00241AEB">
              <w:rPr>
                <w:rFonts w:ascii="Calibri" w:eastAsia="Times New Roman" w:hAnsi="Calibri" w:cs="Calibri"/>
                <w:b/>
                <w:bCs/>
                <w:color w:val="000000"/>
                <w:sz w:val="18"/>
                <w:szCs w:val="18"/>
                <w:lang w:eastAsia="hr-HR"/>
              </w:rPr>
              <w:t>965,68</w:t>
            </w:r>
          </w:p>
        </w:tc>
        <w:tc>
          <w:tcPr>
            <w:tcW w:w="1081" w:type="pct"/>
            <w:tcBorders>
              <w:top w:val="nil"/>
              <w:left w:val="nil"/>
              <w:bottom w:val="single" w:sz="4" w:space="0" w:color="auto"/>
              <w:right w:val="single" w:sz="4" w:space="0" w:color="auto"/>
            </w:tcBorders>
            <w:shd w:val="clear" w:color="000000" w:fill="D9D9D9"/>
            <w:hideMark/>
          </w:tcPr>
          <w:p w14:paraId="22B9BEDE" w14:textId="4D81D9BA" w:rsidR="006516FA" w:rsidRPr="00241AEB" w:rsidRDefault="00C63487" w:rsidP="00E92750">
            <w:pPr>
              <w:spacing w:after="0" w:line="240" w:lineRule="auto"/>
              <w:jc w:val="center"/>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 xml:space="preserve">55 </w:t>
            </w:r>
            <w:r w:rsidR="006516FA" w:rsidRPr="00241AEB">
              <w:rPr>
                <w:rFonts w:ascii="Calibri" w:eastAsia="Times New Roman" w:hAnsi="Calibri" w:cs="Calibri"/>
                <w:b/>
                <w:bCs/>
                <w:color w:val="000000"/>
                <w:sz w:val="18"/>
                <w:szCs w:val="18"/>
                <w:lang w:eastAsia="hr-HR"/>
              </w:rPr>
              <w:t>221,01</w:t>
            </w:r>
          </w:p>
        </w:tc>
        <w:tc>
          <w:tcPr>
            <w:tcW w:w="924" w:type="pct"/>
            <w:tcBorders>
              <w:top w:val="nil"/>
              <w:left w:val="nil"/>
              <w:bottom w:val="single" w:sz="4" w:space="0" w:color="auto"/>
              <w:right w:val="single" w:sz="4" w:space="0" w:color="auto"/>
            </w:tcBorders>
            <w:shd w:val="clear" w:color="000000" w:fill="D9D9D9"/>
            <w:hideMark/>
          </w:tcPr>
          <w:p w14:paraId="4ADC0A56" w14:textId="63F5A1CF" w:rsidR="006516FA" w:rsidRPr="00241AEB" w:rsidRDefault="00C63487" w:rsidP="00E92750">
            <w:pPr>
              <w:spacing w:after="0" w:line="240" w:lineRule="auto"/>
              <w:jc w:val="center"/>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 xml:space="preserve">1 035 </w:t>
            </w:r>
            <w:r w:rsidR="006516FA" w:rsidRPr="00241AEB">
              <w:rPr>
                <w:rFonts w:ascii="Calibri" w:eastAsia="Times New Roman" w:hAnsi="Calibri" w:cs="Calibri"/>
                <w:b/>
                <w:bCs/>
                <w:color w:val="000000"/>
                <w:sz w:val="18"/>
                <w:szCs w:val="18"/>
                <w:lang w:eastAsia="hr-HR"/>
              </w:rPr>
              <w:t>768,25</w:t>
            </w:r>
          </w:p>
        </w:tc>
        <w:tc>
          <w:tcPr>
            <w:tcW w:w="678" w:type="pct"/>
            <w:tcBorders>
              <w:top w:val="nil"/>
              <w:left w:val="nil"/>
              <w:bottom w:val="single" w:sz="4" w:space="0" w:color="auto"/>
              <w:right w:val="single" w:sz="4" w:space="0" w:color="auto"/>
            </w:tcBorders>
            <w:shd w:val="clear" w:color="000000" w:fill="D9D9D9"/>
            <w:hideMark/>
          </w:tcPr>
          <w:p w14:paraId="76856E37" w14:textId="58797A36" w:rsidR="006516FA" w:rsidRPr="00241AEB" w:rsidRDefault="00C63487" w:rsidP="00E92750">
            <w:pPr>
              <w:spacing w:after="0" w:line="240" w:lineRule="auto"/>
              <w:jc w:val="center"/>
              <w:rPr>
                <w:rFonts w:ascii="Calibri" w:eastAsia="Times New Roman" w:hAnsi="Calibri" w:cs="Calibri"/>
                <w:b/>
                <w:bCs/>
                <w:color w:val="000000"/>
                <w:sz w:val="18"/>
                <w:szCs w:val="18"/>
                <w:lang w:eastAsia="hr-HR"/>
              </w:rPr>
            </w:pPr>
            <w:r w:rsidRPr="00241AEB">
              <w:rPr>
                <w:rFonts w:ascii="Calibri" w:eastAsia="Times New Roman" w:hAnsi="Calibri" w:cs="Calibri"/>
                <w:b/>
                <w:bCs/>
                <w:color w:val="000000"/>
                <w:sz w:val="18"/>
                <w:szCs w:val="18"/>
                <w:lang w:eastAsia="hr-HR"/>
              </w:rPr>
              <w:t xml:space="preserve">1 100 </w:t>
            </w:r>
            <w:r w:rsidR="006516FA" w:rsidRPr="00241AEB">
              <w:rPr>
                <w:rFonts w:ascii="Calibri" w:eastAsia="Times New Roman" w:hAnsi="Calibri" w:cs="Calibri"/>
                <w:b/>
                <w:bCs/>
                <w:color w:val="000000"/>
                <w:sz w:val="18"/>
                <w:szCs w:val="18"/>
                <w:lang w:eastAsia="hr-HR"/>
              </w:rPr>
              <w:t>954,94</w:t>
            </w:r>
          </w:p>
        </w:tc>
      </w:tr>
    </w:tbl>
    <w:p w14:paraId="2850B76D" w14:textId="7ECA666A" w:rsidR="00853335" w:rsidRPr="00241AEB" w:rsidRDefault="00C63487" w:rsidP="00E92750">
      <w:pPr>
        <w:spacing w:before="240" w:line="240" w:lineRule="auto"/>
        <w:jc w:val="both"/>
        <w:rPr>
          <w:rFonts w:ascii="Calibri" w:eastAsia="Calibri" w:hAnsi="Calibri" w:cs="Times New Roman"/>
          <w:color w:val="000000"/>
        </w:rPr>
      </w:pPr>
      <w:r w:rsidRPr="00241AEB">
        <w:rPr>
          <w:rFonts w:ascii="Calibri" w:eastAsia="Calibri" w:hAnsi="Calibri" w:cs="Times New Roman"/>
        </w:rPr>
        <w:t>Ukupni Kontrolni inventar</w:t>
      </w:r>
      <w:r w:rsidR="00853335" w:rsidRPr="00241AEB">
        <w:rPr>
          <w:rFonts w:ascii="Calibri" w:eastAsia="Calibri" w:hAnsi="Calibri" w:cs="Times New Roman"/>
        </w:rPr>
        <w:t xml:space="preserve"> emisija CO</w:t>
      </w:r>
      <w:r w:rsidR="00853335" w:rsidRPr="00241AEB">
        <w:rPr>
          <w:rFonts w:ascii="Calibri" w:eastAsia="Calibri" w:hAnsi="Calibri" w:cs="Times New Roman"/>
          <w:vertAlign w:val="subscript"/>
        </w:rPr>
        <w:t>2</w:t>
      </w:r>
      <w:r w:rsidR="00853335" w:rsidRPr="00241AEB">
        <w:rPr>
          <w:rFonts w:ascii="Calibri" w:eastAsia="Calibri" w:hAnsi="Calibri" w:cs="Times New Roman"/>
        </w:rPr>
        <w:t xml:space="preserve"> </w:t>
      </w:r>
      <w:r w:rsidRPr="00241AEB">
        <w:rPr>
          <w:rFonts w:ascii="Calibri" w:eastAsia="Calibri" w:hAnsi="Calibri" w:cs="Times New Roman"/>
        </w:rPr>
        <w:t xml:space="preserve">iz </w:t>
      </w:r>
      <w:r w:rsidR="00853335" w:rsidRPr="00241AEB">
        <w:rPr>
          <w:rFonts w:ascii="Calibri" w:eastAsia="Calibri" w:hAnsi="Calibri" w:cs="Times New Roman"/>
          <w:color w:val="000000"/>
        </w:rPr>
        <w:t>sektora prom</w:t>
      </w:r>
      <w:r w:rsidR="00B13ABC" w:rsidRPr="00241AEB">
        <w:rPr>
          <w:rFonts w:ascii="Calibri" w:eastAsia="Calibri" w:hAnsi="Calibri" w:cs="Times New Roman"/>
          <w:color w:val="000000"/>
        </w:rPr>
        <w:t xml:space="preserve">et u </w:t>
      </w:r>
      <w:r w:rsidR="000F64C5" w:rsidRPr="00241AEB">
        <w:rPr>
          <w:rFonts w:ascii="Calibri" w:eastAsia="Calibri" w:hAnsi="Calibri" w:cs="Times New Roman"/>
          <w:color w:val="000000"/>
        </w:rPr>
        <w:t>2015</w:t>
      </w:r>
      <w:r w:rsidR="00B13ABC" w:rsidRPr="00241AEB">
        <w:rPr>
          <w:rFonts w:ascii="Calibri" w:eastAsia="Calibri" w:hAnsi="Calibri" w:cs="Times New Roman"/>
          <w:color w:val="000000"/>
        </w:rPr>
        <w:t>. godini iznosi</w:t>
      </w:r>
      <w:r w:rsidRPr="00241AEB">
        <w:rPr>
          <w:rFonts w:ascii="Calibri" w:eastAsia="Calibri" w:hAnsi="Calibri" w:cs="Times New Roman"/>
          <w:color w:val="000000"/>
        </w:rPr>
        <w:t>o</w:t>
      </w:r>
      <w:r w:rsidR="007A6297" w:rsidRPr="00241AEB">
        <w:rPr>
          <w:rFonts w:ascii="Calibri" w:eastAsia="Calibri" w:hAnsi="Calibri" w:cs="Times New Roman"/>
          <w:color w:val="000000"/>
        </w:rPr>
        <w:t xml:space="preserve"> je </w:t>
      </w:r>
      <w:r w:rsidR="006516FA" w:rsidRPr="00241AEB">
        <w:rPr>
          <w:rFonts w:ascii="Calibri" w:eastAsia="Calibri" w:hAnsi="Calibri" w:cs="Times New Roman"/>
          <w:color w:val="000000"/>
        </w:rPr>
        <w:t>1 100 954,9</w:t>
      </w:r>
      <w:r w:rsidR="002770D7" w:rsidRPr="00241AEB">
        <w:rPr>
          <w:rFonts w:ascii="Calibri" w:eastAsia="Calibri" w:hAnsi="Calibri" w:cs="Times New Roman"/>
          <w:color w:val="000000"/>
        </w:rPr>
        <w:t>4</w:t>
      </w:r>
      <w:r w:rsidR="00853335" w:rsidRPr="00241AEB">
        <w:rPr>
          <w:rFonts w:ascii="Calibri" w:eastAsia="Calibri" w:hAnsi="Calibri" w:cs="Times New Roman"/>
          <w:color w:val="000000"/>
        </w:rPr>
        <w:t xml:space="preserve"> </w:t>
      </w:r>
      <w:r w:rsidRPr="00241AEB">
        <w:rPr>
          <w:rFonts w:ascii="Calibri" w:eastAsia="Calibri" w:hAnsi="Calibri" w:cs="Arial"/>
          <w:bCs/>
          <w:color w:val="000000"/>
          <w:lang w:eastAsia="hr-HR"/>
        </w:rPr>
        <w:t xml:space="preserve">t, od čega </w:t>
      </w:r>
      <w:r w:rsidRPr="00241AEB">
        <w:rPr>
          <w:rFonts w:ascii="Calibri" w:eastAsia="Calibri" w:hAnsi="Calibri" w:cs="Times New Roman"/>
          <w:color w:val="000000"/>
        </w:rPr>
        <w:t>n</w:t>
      </w:r>
      <w:r w:rsidR="00853335" w:rsidRPr="00241AEB">
        <w:rPr>
          <w:rFonts w:ascii="Calibri" w:eastAsia="Calibri" w:hAnsi="Calibri" w:cs="Times New Roman"/>
          <w:color w:val="000000"/>
        </w:rPr>
        <w:t xml:space="preserve">ajveći udio čini emisija iz </w:t>
      </w:r>
      <w:r w:rsidR="002770D7" w:rsidRPr="00241AEB">
        <w:rPr>
          <w:rFonts w:ascii="Calibri" w:eastAsia="Calibri" w:hAnsi="Calibri" w:cs="Times New Roman"/>
          <w:color w:val="000000"/>
        </w:rPr>
        <w:t>dizela</w:t>
      </w:r>
      <w:r w:rsidR="00B13ABC" w:rsidRPr="00241AEB">
        <w:rPr>
          <w:rFonts w:ascii="Calibri" w:eastAsia="Calibri" w:hAnsi="Calibri" w:cs="Times New Roman"/>
          <w:color w:val="000000"/>
        </w:rPr>
        <w:t xml:space="preserve"> </w:t>
      </w:r>
      <w:r w:rsidR="00853335" w:rsidRPr="00241AEB">
        <w:rPr>
          <w:rFonts w:ascii="Calibri" w:eastAsia="Calibri" w:hAnsi="Calibri" w:cs="Times New Roman"/>
          <w:color w:val="000000"/>
        </w:rPr>
        <w:t xml:space="preserve">s udjelom </w:t>
      </w:r>
      <w:r w:rsidR="006516FA" w:rsidRPr="00241AEB">
        <w:rPr>
          <w:rFonts w:ascii="Calibri" w:eastAsia="Calibri" w:hAnsi="Calibri" w:cs="Times New Roman"/>
          <w:color w:val="000000"/>
        </w:rPr>
        <w:t>od 60,95</w:t>
      </w:r>
      <w:r w:rsidRPr="00241AEB">
        <w:rPr>
          <w:rFonts w:ascii="Calibri" w:eastAsia="Calibri" w:hAnsi="Calibri" w:cs="Times New Roman"/>
          <w:color w:val="000000"/>
        </w:rPr>
        <w:t>% te</w:t>
      </w:r>
      <w:r w:rsidR="002770D7" w:rsidRPr="00241AEB">
        <w:rPr>
          <w:rFonts w:ascii="Calibri" w:eastAsia="Calibri" w:hAnsi="Calibri" w:cs="Times New Roman"/>
          <w:color w:val="000000"/>
        </w:rPr>
        <w:t xml:space="preserve"> </w:t>
      </w:r>
      <w:r w:rsidR="00853335" w:rsidRPr="00241AEB">
        <w:rPr>
          <w:rFonts w:ascii="Calibri" w:eastAsia="Calibri" w:hAnsi="Calibri" w:cs="Times New Roman"/>
          <w:color w:val="000000"/>
        </w:rPr>
        <w:t>emisija i</w:t>
      </w:r>
      <w:r w:rsidR="002770D7" w:rsidRPr="00241AEB">
        <w:rPr>
          <w:rFonts w:ascii="Calibri" w:eastAsia="Calibri" w:hAnsi="Calibri" w:cs="Times New Roman"/>
          <w:color w:val="000000"/>
        </w:rPr>
        <w:t>z potrošnje motornog benzina</w:t>
      </w:r>
      <w:r w:rsidR="007D7F20" w:rsidRPr="00241AEB">
        <w:rPr>
          <w:rFonts w:ascii="Calibri" w:eastAsia="Calibri" w:hAnsi="Calibri" w:cs="Times New Roman"/>
          <w:color w:val="000000"/>
        </w:rPr>
        <w:t xml:space="preserve"> od</w:t>
      </w:r>
      <w:r w:rsidR="002F3FB6" w:rsidRPr="00241AEB">
        <w:rPr>
          <w:rFonts w:ascii="Calibri" w:eastAsia="Calibri" w:hAnsi="Calibri" w:cs="Times New Roman"/>
          <w:color w:val="000000"/>
        </w:rPr>
        <w:t xml:space="preserve"> </w:t>
      </w:r>
      <w:r w:rsidR="002770D7" w:rsidRPr="00241AEB">
        <w:rPr>
          <w:rFonts w:ascii="Calibri" w:eastAsia="Calibri" w:hAnsi="Calibri" w:cs="Times New Roman"/>
          <w:color w:val="000000"/>
        </w:rPr>
        <w:t>33,81</w:t>
      </w:r>
      <w:r w:rsidR="007D7F20" w:rsidRPr="00241AEB">
        <w:rPr>
          <w:rFonts w:ascii="Calibri" w:eastAsia="Calibri" w:hAnsi="Calibri" w:cs="Times New Roman"/>
          <w:color w:val="000000"/>
        </w:rPr>
        <w:t>%</w:t>
      </w:r>
      <w:r w:rsidR="002770D7" w:rsidRPr="00241AEB">
        <w:rPr>
          <w:rFonts w:ascii="Calibri" w:eastAsia="Calibri" w:hAnsi="Calibri" w:cs="Times New Roman"/>
          <w:color w:val="000000"/>
        </w:rPr>
        <w:t xml:space="preserve">, </w:t>
      </w:r>
      <w:r w:rsidR="002770D7" w:rsidRPr="00241AEB">
        <w:rPr>
          <w:rFonts w:ascii="Calibri" w:eastAsia="Calibri" w:hAnsi="Calibri" w:cs="Times New Roman"/>
          <w:color w:val="000000"/>
        </w:rPr>
        <w:fldChar w:fldCharType="begin"/>
      </w:r>
      <w:r w:rsidR="002770D7" w:rsidRPr="00241AEB">
        <w:rPr>
          <w:rFonts w:ascii="Calibri" w:eastAsia="Calibri" w:hAnsi="Calibri" w:cs="Times New Roman"/>
          <w:color w:val="000000"/>
        </w:rPr>
        <w:instrText xml:space="preserve"> REF _Ref465681850 \h  \* MERGEFORMAT </w:instrText>
      </w:r>
      <w:r w:rsidR="002770D7" w:rsidRPr="00241AEB">
        <w:rPr>
          <w:rFonts w:ascii="Calibri" w:eastAsia="Calibri" w:hAnsi="Calibri" w:cs="Times New Roman"/>
          <w:color w:val="000000"/>
        </w:rPr>
      </w:r>
      <w:r w:rsidR="002770D7" w:rsidRPr="00241AEB">
        <w:rPr>
          <w:rFonts w:ascii="Calibri" w:eastAsia="Calibri" w:hAnsi="Calibri" w:cs="Times New Roman"/>
          <w:color w:val="000000"/>
        </w:rPr>
        <w:fldChar w:fldCharType="separate"/>
      </w:r>
      <w:r w:rsidR="009C319B" w:rsidRPr="009C319B">
        <w:rPr>
          <w:rFonts w:ascii="Calibri" w:eastAsia="Calibri" w:hAnsi="Calibri" w:cs="Times New Roman"/>
          <w:b/>
          <w:bCs/>
        </w:rPr>
        <w:t xml:space="preserve">Slika </w:t>
      </w:r>
      <w:r w:rsidR="009C319B" w:rsidRPr="009C319B">
        <w:rPr>
          <w:rFonts w:ascii="Calibri" w:eastAsia="Calibri" w:hAnsi="Calibri" w:cs="Times New Roman"/>
          <w:b/>
          <w:bCs/>
          <w:noProof/>
        </w:rPr>
        <w:t>7.4</w:t>
      </w:r>
      <w:r w:rsidR="002770D7" w:rsidRPr="00241AEB">
        <w:rPr>
          <w:rFonts w:ascii="Calibri" w:eastAsia="Calibri" w:hAnsi="Calibri" w:cs="Times New Roman"/>
          <w:color w:val="000000"/>
        </w:rPr>
        <w:fldChar w:fldCharType="end"/>
      </w:r>
      <w:r w:rsidR="00853335" w:rsidRPr="00241AEB">
        <w:rPr>
          <w:rFonts w:ascii="Calibri" w:eastAsia="Calibri" w:hAnsi="Calibri" w:cs="Times New Roman"/>
          <w:color w:val="000000"/>
        </w:rPr>
        <w:t xml:space="preserve">. </w:t>
      </w:r>
      <w:r w:rsidRPr="00241AEB">
        <w:rPr>
          <w:rFonts w:ascii="Calibri" w:eastAsia="Calibri" w:hAnsi="Calibri" w:cs="Arial"/>
          <w:color w:val="000000"/>
          <w:lang w:eastAsia="hr-HR"/>
        </w:rPr>
        <w:t xml:space="preserve">Na </w:t>
      </w:r>
      <w:r w:rsidRPr="00241AEB">
        <w:rPr>
          <w:rFonts w:ascii="Calibri" w:eastAsia="Calibri" w:hAnsi="Calibri" w:cs="Arial"/>
          <w:color w:val="000000"/>
          <w:lang w:eastAsia="hr-HR"/>
        </w:rPr>
        <w:fldChar w:fldCharType="begin"/>
      </w:r>
      <w:r w:rsidRPr="00241AEB">
        <w:rPr>
          <w:rFonts w:ascii="Calibri" w:eastAsia="Calibri" w:hAnsi="Calibri" w:cs="Arial"/>
          <w:color w:val="000000"/>
          <w:lang w:eastAsia="hr-HR"/>
        </w:rPr>
        <w:instrText xml:space="preserve"> REF _Ref465681967 \h  \* MERGEFORMAT </w:instrText>
      </w:r>
      <w:r w:rsidRPr="00241AEB">
        <w:rPr>
          <w:rFonts w:ascii="Calibri" w:eastAsia="Calibri" w:hAnsi="Calibri" w:cs="Arial"/>
          <w:color w:val="000000"/>
          <w:lang w:eastAsia="hr-HR"/>
        </w:rPr>
      </w:r>
      <w:r w:rsidRPr="00241AEB">
        <w:rPr>
          <w:rFonts w:ascii="Calibri" w:eastAsia="Calibri" w:hAnsi="Calibri" w:cs="Arial"/>
          <w:color w:val="000000"/>
          <w:lang w:eastAsia="hr-HR"/>
        </w:rPr>
        <w:fldChar w:fldCharType="separate"/>
      </w:r>
      <w:r w:rsidR="00C61582">
        <w:rPr>
          <w:rFonts w:ascii="Calibri" w:eastAsia="Calibri" w:hAnsi="Calibri" w:cs="Times New Roman"/>
          <w:b/>
          <w:bCs/>
        </w:rPr>
        <w:t>Slici</w:t>
      </w:r>
      <w:r w:rsidR="009C319B" w:rsidRPr="009C319B">
        <w:rPr>
          <w:rFonts w:ascii="Calibri" w:eastAsia="Calibri" w:hAnsi="Calibri" w:cs="Times New Roman"/>
          <w:b/>
          <w:bCs/>
        </w:rPr>
        <w:t xml:space="preserve"> </w:t>
      </w:r>
      <w:r w:rsidR="009C319B" w:rsidRPr="009C319B">
        <w:rPr>
          <w:rFonts w:ascii="Calibri" w:eastAsia="Calibri" w:hAnsi="Calibri" w:cs="Times New Roman"/>
          <w:b/>
          <w:bCs/>
          <w:noProof/>
        </w:rPr>
        <w:t>7.5</w:t>
      </w:r>
      <w:r w:rsidRPr="00241AEB">
        <w:rPr>
          <w:rFonts w:ascii="Calibri" w:eastAsia="Calibri" w:hAnsi="Calibri" w:cs="Arial"/>
          <w:color w:val="000000"/>
          <w:lang w:eastAsia="hr-HR"/>
        </w:rPr>
        <w:fldChar w:fldCharType="end"/>
      </w:r>
      <w:r w:rsidRPr="00241AEB">
        <w:rPr>
          <w:rFonts w:ascii="Calibri" w:eastAsia="Calibri" w:hAnsi="Calibri" w:cs="Arial"/>
          <w:color w:val="000000"/>
          <w:lang w:eastAsia="hr-HR"/>
        </w:rPr>
        <w:t>. je vidljivo da ako promatramo</w:t>
      </w:r>
      <w:r w:rsidR="00853335" w:rsidRPr="00241AEB">
        <w:rPr>
          <w:rFonts w:ascii="Calibri" w:eastAsia="Calibri" w:hAnsi="Calibri" w:cs="Arial"/>
          <w:color w:val="000000"/>
          <w:lang w:eastAsia="hr-HR"/>
        </w:rPr>
        <w:t xml:space="preserve"> podsektore </w:t>
      </w:r>
      <w:r w:rsidRPr="00241AEB">
        <w:rPr>
          <w:rFonts w:ascii="Calibri" w:eastAsia="Calibri" w:hAnsi="Calibri" w:cs="Arial"/>
          <w:color w:val="000000"/>
          <w:lang w:eastAsia="hr-HR"/>
        </w:rPr>
        <w:t>najveći udio u ukupnom Kontrolnom inventaru</w:t>
      </w:r>
      <w:r w:rsidR="00853335" w:rsidRPr="00241AEB">
        <w:rPr>
          <w:rFonts w:ascii="Calibri" w:eastAsia="Calibri" w:hAnsi="Calibri" w:cs="Arial"/>
          <w:color w:val="000000"/>
          <w:lang w:eastAsia="hr-HR"/>
        </w:rPr>
        <w:t xml:space="preserve"> čini podsektor </w:t>
      </w:r>
      <w:r w:rsidR="007D7F20" w:rsidRPr="00241AEB">
        <w:rPr>
          <w:rFonts w:ascii="Calibri" w:eastAsia="Calibri" w:hAnsi="Calibri" w:cs="Arial"/>
          <w:color w:val="000000"/>
          <w:lang w:eastAsia="hr-HR"/>
        </w:rPr>
        <w:t xml:space="preserve">osobna i komercijalna vozila </w:t>
      </w:r>
      <w:r w:rsidRPr="00241AEB">
        <w:rPr>
          <w:rFonts w:ascii="Calibri" w:eastAsia="Calibri" w:hAnsi="Calibri" w:cs="Arial"/>
          <w:color w:val="000000"/>
          <w:lang w:eastAsia="hr-HR"/>
        </w:rPr>
        <w:t xml:space="preserve">od </w:t>
      </w:r>
      <w:r w:rsidR="002770D7" w:rsidRPr="00241AEB">
        <w:rPr>
          <w:rFonts w:ascii="Calibri" w:eastAsia="Calibri" w:hAnsi="Calibri" w:cs="Arial"/>
          <w:color w:val="000000"/>
          <w:lang w:eastAsia="hr-HR"/>
        </w:rPr>
        <w:t>94,08</w:t>
      </w:r>
      <w:r w:rsidR="007D7F20" w:rsidRPr="00241AEB">
        <w:rPr>
          <w:rFonts w:ascii="Calibri" w:eastAsia="Calibri" w:hAnsi="Calibri" w:cs="Arial"/>
          <w:color w:val="000000"/>
          <w:lang w:eastAsia="hr-HR"/>
        </w:rPr>
        <w:t>%</w:t>
      </w:r>
      <w:r w:rsidRPr="00241AEB">
        <w:rPr>
          <w:rFonts w:ascii="Calibri" w:eastAsia="Calibri" w:hAnsi="Calibri" w:cs="Arial"/>
          <w:color w:val="000000"/>
          <w:lang w:eastAsia="hr-HR"/>
        </w:rPr>
        <w:t>.</w:t>
      </w:r>
      <w:r w:rsidR="00482CFB" w:rsidRPr="00241AEB">
        <w:rPr>
          <w:rFonts w:ascii="Calibri" w:eastAsia="Calibri" w:hAnsi="Calibri" w:cs="Arial"/>
          <w:color w:val="000000"/>
          <w:lang w:eastAsia="hr-HR"/>
        </w:rPr>
        <w:t xml:space="preserve"> </w:t>
      </w:r>
    </w:p>
    <w:p w14:paraId="3B99AC03" w14:textId="42722CC2" w:rsidR="00853335" w:rsidRPr="00241AEB" w:rsidRDefault="006516FA" w:rsidP="00E92750">
      <w:pPr>
        <w:spacing w:after="0" w:line="240" w:lineRule="auto"/>
        <w:jc w:val="center"/>
        <w:rPr>
          <w:noProof/>
          <w:lang w:eastAsia="hr-HR"/>
        </w:rPr>
      </w:pPr>
      <w:r w:rsidRPr="00241AEB">
        <w:rPr>
          <w:noProof/>
          <w:lang w:eastAsia="hr-HR"/>
        </w:rPr>
        <w:drawing>
          <wp:inline distT="0" distB="0" distL="0" distR="0" wp14:anchorId="312BE64B" wp14:editId="18D6BA7A">
            <wp:extent cx="4495800" cy="2238375"/>
            <wp:effectExtent l="0" t="0" r="0" b="0"/>
            <wp:docPr id="47" name="Chart 47">
              <a:extLst xmlns:a="http://schemas.openxmlformats.org/drawingml/2006/main">
                <a:ext uri="{FF2B5EF4-FFF2-40B4-BE49-F238E27FC236}">
                  <a16:creationId xmlns:a16="http://schemas.microsoft.com/office/drawing/2014/main" id="{C564EA53-FFCF-4ABD-8ED2-5C60FA644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168B9A6" w14:textId="27E11C14" w:rsidR="00853335" w:rsidRPr="00882DAD" w:rsidRDefault="00853335" w:rsidP="00E92750">
      <w:pPr>
        <w:spacing w:line="240" w:lineRule="auto"/>
        <w:jc w:val="center"/>
        <w:rPr>
          <w:rFonts w:ascii="Calibri" w:eastAsia="Calibri" w:hAnsi="Calibri" w:cs="Times New Roman"/>
        </w:rPr>
      </w:pPr>
      <w:bookmarkStart w:id="320" w:name="_Ref465681850"/>
      <w:bookmarkStart w:id="321" w:name="_Toc317250195"/>
      <w:bookmarkStart w:id="322" w:name="_Toc323121175"/>
      <w:bookmarkStart w:id="323" w:name="_Toc448137104"/>
      <w:bookmarkStart w:id="324" w:name="_Toc468277471"/>
      <w:r w:rsidRPr="00882DAD">
        <w:rPr>
          <w:rFonts w:ascii="Calibri" w:eastAsia="Calibri" w:hAnsi="Calibri" w:cs="Times New Roman"/>
          <w:b/>
          <w:bCs/>
        </w:rPr>
        <w:t xml:space="preserve">Slika </w:t>
      </w:r>
      <w:r w:rsidRPr="00882DAD">
        <w:rPr>
          <w:rFonts w:ascii="Calibri" w:eastAsia="Calibri" w:hAnsi="Calibri" w:cs="Times New Roman"/>
          <w:b/>
          <w:bCs/>
        </w:rPr>
        <w:fldChar w:fldCharType="begin"/>
      </w:r>
      <w:r w:rsidRPr="00882DAD">
        <w:rPr>
          <w:rFonts w:ascii="Calibri" w:eastAsia="Calibri" w:hAnsi="Calibri" w:cs="Times New Roman"/>
          <w:b/>
          <w:bCs/>
        </w:rPr>
        <w:instrText xml:space="preserve"> STYLEREF 1 \s </w:instrText>
      </w:r>
      <w:r w:rsidRPr="00882DAD">
        <w:rPr>
          <w:rFonts w:ascii="Calibri" w:eastAsia="Calibri" w:hAnsi="Calibri" w:cs="Times New Roman"/>
          <w:b/>
          <w:bCs/>
        </w:rPr>
        <w:fldChar w:fldCharType="separate"/>
      </w:r>
      <w:r w:rsidR="001D3D58">
        <w:rPr>
          <w:rFonts w:ascii="Calibri" w:eastAsia="Calibri" w:hAnsi="Calibri" w:cs="Times New Roman"/>
          <w:b/>
          <w:bCs/>
          <w:noProof/>
        </w:rPr>
        <w:t>7</w:t>
      </w:r>
      <w:r w:rsidRPr="00882DAD">
        <w:rPr>
          <w:rFonts w:ascii="Calibri" w:eastAsia="Calibri" w:hAnsi="Calibri" w:cs="Times New Roman"/>
          <w:b/>
          <w:bCs/>
        </w:rPr>
        <w:fldChar w:fldCharType="end"/>
      </w:r>
      <w:r w:rsidRPr="00882DAD">
        <w:rPr>
          <w:rFonts w:ascii="Calibri" w:eastAsia="Calibri" w:hAnsi="Calibri" w:cs="Times New Roman"/>
          <w:b/>
          <w:bCs/>
        </w:rPr>
        <w:t>.</w:t>
      </w:r>
      <w:r w:rsidRPr="00882DAD">
        <w:rPr>
          <w:rFonts w:ascii="Calibri" w:eastAsia="Calibri" w:hAnsi="Calibri" w:cs="Times New Roman"/>
          <w:b/>
          <w:bCs/>
        </w:rPr>
        <w:fldChar w:fldCharType="begin"/>
      </w:r>
      <w:r w:rsidRPr="00882DAD">
        <w:rPr>
          <w:rFonts w:ascii="Calibri" w:eastAsia="Calibri" w:hAnsi="Calibri" w:cs="Times New Roman"/>
          <w:b/>
          <w:bCs/>
        </w:rPr>
        <w:instrText xml:space="preserve"> SEQ Slika \* ARABIC \s 1 </w:instrText>
      </w:r>
      <w:r w:rsidRPr="00882DAD">
        <w:rPr>
          <w:rFonts w:ascii="Calibri" w:eastAsia="Calibri" w:hAnsi="Calibri" w:cs="Times New Roman"/>
          <w:b/>
          <w:bCs/>
        </w:rPr>
        <w:fldChar w:fldCharType="separate"/>
      </w:r>
      <w:r w:rsidR="001D3D58">
        <w:rPr>
          <w:rFonts w:ascii="Calibri" w:eastAsia="Calibri" w:hAnsi="Calibri" w:cs="Times New Roman"/>
          <w:b/>
          <w:bCs/>
          <w:noProof/>
        </w:rPr>
        <w:t>4</w:t>
      </w:r>
      <w:r w:rsidRPr="00882DAD">
        <w:rPr>
          <w:rFonts w:ascii="Calibri" w:eastAsia="Calibri" w:hAnsi="Calibri" w:cs="Times New Roman"/>
          <w:b/>
          <w:bCs/>
        </w:rPr>
        <w:fldChar w:fldCharType="end"/>
      </w:r>
      <w:bookmarkEnd w:id="320"/>
      <w:r w:rsidRPr="00882DAD">
        <w:rPr>
          <w:rFonts w:ascii="Calibri" w:eastAsia="Calibri" w:hAnsi="Calibri" w:cs="Times New Roman"/>
          <w:b/>
          <w:bCs/>
        </w:rPr>
        <w:t xml:space="preserve"> </w:t>
      </w:r>
      <w:r w:rsidRPr="00882DAD">
        <w:rPr>
          <w:rFonts w:ascii="Calibri" w:eastAsia="Calibri" w:hAnsi="Calibri" w:cs="Times New Roman"/>
        </w:rPr>
        <w:t>Udio pojedi</w:t>
      </w:r>
      <w:r w:rsidR="00245AA2" w:rsidRPr="00882DAD">
        <w:rPr>
          <w:rFonts w:ascii="Calibri" w:eastAsia="Calibri" w:hAnsi="Calibri" w:cs="Times New Roman"/>
        </w:rPr>
        <w:t xml:space="preserve">nog energenta u ukupnom Kontrolnom inventaru </w:t>
      </w:r>
      <w:r w:rsidRPr="00882DAD">
        <w:rPr>
          <w:rFonts w:ascii="Calibri" w:eastAsia="Calibri" w:hAnsi="Calibri" w:cs="Times New Roman"/>
        </w:rPr>
        <w:t>CO</w:t>
      </w:r>
      <w:r w:rsidRPr="00882DAD">
        <w:rPr>
          <w:rFonts w:ascii="Calibri" w:eastAsia="Calibri" w:hAnsi="Calibri" w:cs="Times New Roman"/>
          <w:vertAlign w:val="subscript"/>
        </w:rPr>
        <w:t>2</w:t>
      </w:r>
      <w:r w:rsidRPr="00882DAD">
        <w:rPr>
          <w:rFonts w:ascii="Calibri" w:eastAsia="Calibri" w:hAnsi="Calibri" w:cs="Times New Roman"/>
        </w:rPr>
        <w:t xml:space="preserve"> iz sektora promet</w:t>
      </w:r>
      <w:bookmarkEnd w:id="321"/>
      <w:bookmarkEnd w:id="322"/>
      <w:bookmarkEnd w:id="323"/>
      <w:r w:rsidR="00245AA2" w:rsidRPr="00882DAD">
        <w:rPr>
          <w:rFonts w:ascii="Calibri" w:eastAsia="Calibri" w:hAnsi="Calibri" w:cs="Times New Roman"/>
        </w:rPr>
        <w:t xml:space="preserve"> za 2015. godinu</w:t>
      </w:r>
      <w:bookmarkEnd w:id="324"/>
    </w:p>
    <w:p w14:paraId="79A6BE83" w14:textId="5B28D6E2" w:rsidR="00853335" w:rsidRPr="00241AEB" w:rsidRDefault="006516FA" w:rsidP="00E92750">
      <w:pPr>
        <w:spacing w:after="0" w:line="240" w:lineRule="auto"/>
        <w:ind w:firstLine="708"/>
        <w:jc w:val="center"/>
        <w:rPr>
          <w:noProof/>
          <w:lang w:eastAsia="hr-HR"/>
        </w:rPr>
      </w:pPr>
      <w:r w:rsidRPr="00241AEB">
        <w:rPr>
          <w:noProof/>
          <w:lang w:eastAsia="hr-HR"/>
        </w:rPr>
        <w:lastRenderedPageBreak/>
        <w:drawing>
          <wp:inline distT="0" distB="0" distL="0" distR="0" wp14:anchorId="48C88ED1" wp14:editId="7881688F">
            <wp:extent cx="4591050" cy="2536166"/>
            <wp:effectExtent l="0" t="0" r="0" b="0"/>
            <wp:docPr id="54" name="Chart 54">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CE7A40D" w14:textId="71ABCA58" w:rsidR="00853335" w:rsidRPr="00882DAD" w:rsidRDefault="00853335" w:rsidP="00E92750">
      <w:pPr>
        <w:spacing w:line="240" w:lineRule="auto"/>
        <w:jc w:val="center"/>
        <w:rPr>
          <w:rFonts w:ascii="Calibri" w:eastAsia="Calibri" w:hAnsi="Calibri" w:cs="Times New Roman"/>
        </w:rPr>
      </w:pPr>
      <w:bookmarkStart w:id="325" w:name="_Ref465681967"/>
      <w:bookmarkStart w:id="326" w:name="_Toc317250196"/>
      <w:bookmarkStart w:id="327" w:name="_Toc323121176"/>
      <w:bookmarkStart w:id="328" w:name="_Toc448137105"/>
      <w:bookmarkStart w:id="329" w:name="_Toc468277472"/>
      <w:r w:rsidRPr="00882DAD">
        <w:rPr>
          <w:rFonts w:ascii="Calibri" w:eastAsia="Calibri" w:hAnsi="Calibri" w:cs="Times New Roman"/>
          <w:b/>
          <w:bCs/>
        </w:rPr>
        <w:t xml:space="preserve">Slika </w:t>
      </w:r>
      <w:r w:rsidRPr="00882DAD">
        <w:rPr>
          <w:rFonts w:ascii="Calibri" w:eastAsia="Calibri" w:hAnsi="Calibri" w:cs="Times New Roman"/>
          <w:b/>
          <w:bCs/>
        </w:rPr>
        <w:fldChar w:fldCharType="begin"/>
      </w:r>
      <w:r w:rsidRPr="00882DAD">
        <w:rPr>
          <w:rFonts w:ascii="Calibri" w:eastAsia="Calibri" w:hAnsi="Calibri" w:cs="Times New Roman"/>
          <w:b/>
          <w:bCs/>
        </w:rPr>
        <w:instrText xml:space="preserve"> STYLEREF 1 \s </w:instrText>
      </w:r>
      <w:r w:rsidRPr="00882DAD">
        <w:rPr>
          <w:rFonts w:ascii="Calibri" w:eastAsia="Calibri" w:hAnsi="Calibri" w:cs="Times New Roman"/>
          <w:b/>
          <w:bCs/>
        </w:rPr>
        <w:fldChar w:fldCharType="separate"/>
      </w:r>
      <w:r w:rsidR="00571676" w:rsidRPr="00882DAD">
        <w:rPr>
          <w:rFonts w:ascii="Calibri" w:eastAsia="Calibri" w:hAnsi="Calibri" w:cs="Times New Roman"/>
          <w:b/>
          <w:bCs/>
          <w:noProof/>
        </w:rPr>
        <w:t>7</w:t>
      </w:r>
      <w:r w:rsidRPr="00882DAD">
        <w:rPr>
          <w:rFonts w:ascii="Calibri" w:eastAsia="Calibri" w:hAnsi="Calibri" w:cs="Times New Roman"/>
          <w:b/>
          <w:bCs/>
        </w:rPr>
        <w:fldChar w:fldCharType="end"/>
      </w:r>
      <w:r w:rsidRPr="00882DAD">
        <w:rPr>
          <w:rFonts w:ascii="Calibri" w:eastAsia="Calibri" w:hAnsi="Calibri" w:cs="Times New Roman"/>
          <w:b/>
          <w:bCs/>
        </w:rPr>
        <w:t>.</w:t>
      </w:r>
      <w:r w:rsidRPr="00882DAD">
        <w:rPr>
          <w:rFonts w:ascii="Calibri" w:eastAsia="Calibri" w:hAnsi="Calibri" w:cs="Times New Roman"/>
          <w:b/>
          <w:bCs/>
        </w:rPr>
        <w:fldChar w:fldCharType="begin"/>
      </w:r>
      <w:r w:rsidRPr="00882DAD">
        <w:rPr>
          <w:rFonts w:ascii="Calibri" w:eastAsia="Calibri" w:hAnsi="Calibri" w:cs="Times New Roman"/>
          <w:b/>
          <w:bCs/>
        </w:rPr>
        <w:instrText xml:space="preserve"> SEQ Slika \* ARABIC \s 1 </w:instrText>
      </w:r>
      <w:r w:rsidRPr="00882DAD">
        <w:rPr>
          <w:rFonts w:ascii="Calibri" w:eastAsia="Calibri" w:hAnsi="Calibri" w:cs="Times New Roman"/>
          <w:b/>
          <w:bCs/>
        </w:rPr>
        <w:fldChar w:fldCharType="separate"/>
      </w:r>
      <w:r w:rsidR="00571676" w:rsidRPr="00882DAD">
        <w:rPr>
          <w:rFonts w:ascii="Calibri" w:eastAsia="Calibri" w:hAnsi="Calibri" w:cs="Times New Roman"/>
          <w:b/>
          <w:bCs/>
          <w:noProof/>
        </w:rPr>
        <w:t>5</w:t>
      </w:r>
      <w:r w:rsidRPr="00882DAD">
        <w:rPr>
          <w:rFonts w:ascii="Calibri" w:eastAsia="Calibri" w:hAnsi="Calibri" w:cs="Times New Roman"/>
          <w:b/>
          <w:bCs/>
        </w:rPr>
        <w:fldChar w:fldCharType="end"/>
      </w:r>
      <w:bookmarkEnd w:id="325"/>
      <w:r w:rsidRPr="00882DAD">
        <w:rPr>
          <w:rFonts w:ascii="Calibri" w:eastAsia="Calibri" w:hAnsi="Calibri" w:cs="Times New Roman"/>
          <w:b/>
          <w:bCs/>
        </w:rPr>
        <w:t xml:space="preserve"> </w:t>
      </w:r>
      <w:r w:rsidRPr="00882DAD">
        <w:rPr>
          <w:rFonts w:ascii="Calibri" w:eastAsia="Calibri" w:hAnsi="Calibri" w:cs="Times New Roman"/>
        </w:rPr>
        <w:t>Udio pojedinog podsektora</w:t>
      </w:r>
      <w:r w:rsidR="002770D7" w:rsidRPr="00882DAD">
        <w:rPr>
          <w:rFonts w:ascii="Calibri" w:eastAsia="Calibri" w:hAnsi="Calibri" w:cs="Times New Roman"/>
        </w:rPr>
        <w:t xml:space="preserve"> sektora promet</w:t>
      </w:r>
      <w:r w:rsidR="00245AA2" w:rsidRPr="00882DAD">
        <w:rPr>
          <w:rFonts w:ascii="Calibri" w:eastAsia="Calibri" w:hAnsi="Calibri" w:cs="Times New Roman"/>
        </w:rPr>
        <w:t xml:space="preserve"> u ukupnom Kontrolnom inventaru emisija </w:t>
      </w:r>
      <w:r w:rsidRPr="00882DAD">
        <w:rPr>
          <w:rFonts w:ascii="Calibri" w:eastAsia="Calibri" w:hAnsi="Calibri" w:cs="Times New Roman"/>
        </w:rPr>
        <w:t>CO</w:t>
      </w:r>
      <w:r w:rsidRPr="00882DAD">
        <w:rPr>
          <w:rFonts w:ascii="Calibri" w:eastAsia="Calibri" w:hAnsi="Calibri" w:cs="Times New Roman"/>
          <w:vertAlign w:val="subscript"/>
        </w:rPr>
        <w:t>2</w:t>
      </w:r>
      <w:r w:rsidRPr="00882DAD">
        <w:rPr>
          <w:rFonts w:ascii="Calibri" w:eastAsia="Calibri" w:hAnsi="Calibri" w:cs="Times New Roman"/>
        </w:rPr>
        <w:t xml:space="preserve"> </w:t>
      </w:r>
      <w:bookmarkEnd w:id="326"/>
      <w:bookmarkEnd w:id="327"/>
      <w:bookmarkEnd w:id="328"/>
      <w:r w:rsidR="00245AA2" w:rsidRPr="00882DAD">
        <w:rPr>
          <w:rFonts w:ascii="Calibri" w:eastAsia="Calibri" w:hAnsi="Calibri" w:cs="Times New Roman"/>
        </w:rPr>
        <w:t>za 2015. godinu</w:t>
      </w:r>
      <w:bookmarkEnd w:id="329"/>
    </w:p>
    <w:p w14:paraId="6ECDDD94" w14:textId="552F0DFE" w:rsidR="00910170" w:rsidRPr="00241AEB" w:rsidRDefault="005E2D5A" w:rsidP="00E92750">
      <w:pPr>
        <w:pStyle w:val="Heading2"/>
        <w:spacing w:after="240"/>
      </w:pPr>
      <w:bookmarkStart w:id="330" w:name="_Toc251920772"/>
      <w:bookmarkStart w:id="331" w:name="_Toc260042174"/>
      <w:bookmarkStart w:id="332" w:name="_Toc294180608"/>
      <w:bookmarkStart w:id="333" w:name="_Toc329344480"/>
      <w:bookmarkStart w:id="334" w:name="_Toc468345387"/>
      <w:bookmarkEnd w:id="311"/>
      <w:r w:rsidRPr="00241AEB">
        <w:t>Kontrolni i</w:t>
      </w:r>
      <w:r w:rsidR="00910170" w:rsidRPr="00241AEB">
        <w:t>nventar emisija CO</w:t>
      </w:r>
      <w:r w:rsidR="00910170" w:rsidRPr="00241AEB">
        <w:rPr>
          <w:vertAlign w:val="subscript"/>
        </w:rPr>
        <w:t>2</w:t>
      </w:r>
      <w:r w:rsidR="00910170" w:rsidRPr="00241AEB">
        <w:t xml:space="preserve"> iz sektora javne rasvjete</w:t>
      </w:r>
      <w:bookmarkEnd w:id="330"/>
      <w:bookmarkEnd w:id="331"/>
      <w:bookmarkEnd w:id="332"/>
      <w:bookmarkEnd w:id="333"/>
      <w:r w:rsidR="00992C35" w:rsidRPr="00241AEB">
        <w:t xml:space="preserve"> Grada Zagreba u 2015. godini</w:t>
      </w:r>
      <w:bookmarkEnd w:id="334"/>
    </w:p>
    <w:p w14:paraId="585A0841" w14:textId="7A20DEA5" w:rsidR="00992C35" w:rsidRPr="00241AEB" w:rsidRDefault="00992C35" w:rsidP="00E92750">
      <w:pPr>
        <w:spacing w:line="240" w:lineRule="auto"/>
        <w:jc w:val="both"/>
        <w:rPr>
          <w:rFonts w:cstheme="minorHAnsi"/>
        </w:rPr>
      </w:pPr>
      <w:bookmarkStart w:id="335" w:name="_Toc248427236"/>
      <w:bookmarkStart w:id="336" w:name="_Toc251924026"/>
      <w:bookmarkStart w:id="337" w:name="_Toc258934004"/>
      <w:bookmarkStart w:id="338" w:name="_Toc294180694"/>
      <w:bookmarkStart w:id="339" w:name="_Toc294180970"/>
      <w:bookmarkStart w:id="340" w:name="_Toc329344556"/>
      <w:r w:rsidRPr="00241AEB">
        <w:rPr>
          <w:rFonts w:cstheme="minorHAnsi"/>
        </w:rPr>
        <w:t>Emisije CO</w:t>
      </w:r>
      <w:r w:rsidRPr="00241AEB">
        <w:rPr>
          <w:rFonts w:cstheme="minorHAnsi"/>
          <w:vertAlign w:val="subscript"/>
        </w:rPr>
        <w:t>2</w:t>
      </w:r>
      <w:r w:rsidRPr="00241AEB">
        <w:rPr>
          <w:rFonts w:cstheme="minorHAnsi"/>
        </w:rPr>
        <w:t xml:space="preserve"> sektora javne rasvjete Grada Zagreba obuhvaćaju emisije iz električne i plinske mreže javne rasvjete. Udio plinske u ukupnoj mreži javne rasvjete Grada je gotovo zanemariv. </w:t>
      </w:r>
    </w:p>
    <w:p w14:paraId="1C88E8FA" w14:textId="225E28F5" w:rsidR="00992C35" w:rsidRPr="00241AEB" w:rsidRDefault="005D4657" w:rsidP="00E92750">
      <w:pPr>
        <w:spacing w:line="240" w:lineRule="auto"/>
        <w:jc w:val="both"/>
        <w:rPr>
          <w:rFonts w:cstheme="minorHAnsi"/>
        </w:rPr>
      </w:pPr>
      <w:r w:rsidRPr="00241AEB">
        <w:rPr>
          <w:rFonts w:cstheme="minorHAnsi"/>
        </w:rPr>
        <w:t xml:space="preserve">U </w:t>
      </w:r>
      <w:r w:rsidR="00992C35" w:rsidRPr="00241AEB">
        <w:rPr>
          <w:rFonts w:cstheme="minorHAnsi"/>
        </w:rPr>
        <w:fldChar w:fldCharType="begin"/>
      </w:r>
      <w:r w:rsidR="00992C35" w:rsidRPr="00241AEB">
        <w:rPr>
          <w:rFonts w:cstheme="minorHAnsi"/>
        </w:rPr>
        <w:instrText xml:space="preserve"> REF _Ref465412821 \h </w:instrText>
      </w:r>
      <w:r w:rsidRPr="00241AEB">
        <w:rPr>
          <w:rFonts w:cstheme="minorHAnsi"/>
        </w:rPr>
        <w:instrText xml:space="preserve"> \* MERGEFORMAT </w:instrText>
      </w:r>
      <w:r w:rsidR="00992C35" w:rsidRPr="00241AEB">
        <w:rPr>
          <w:rFonts w:cstheme="minorHAnsi"/>
        </w:rPr>
      </w:r>
      <w:r w:rsidR="00992C35" w:rsidRPr="00241AEB">
        <w:rPr>
          <w:rFonts w:cstheme="minorHAnsi"/>
        </w:rPr>
        <w:fldChar w:fldCharType="separate"/>
      </w:r>
      <w:r w:rsidR="00571676">
        <w:rPr>
          <w:rFonts w:ascii="Calibri" w:eastAsia="Calibri" w:hAnsi="Calibri" w:cs="Times New Roman"/>
          <w:b/>
          <w:bCs/>
        </w:rPr>
        <w:t>Tablici</w:t>
      </w:r>
      <w:r w:rsidR="009C319B" w:rsidRPr="00241AEB">
        <w:rPr>
          <w:rFonts w:ascii="Calibri" w:eastAsia="Calibri" w:hAnsi="Calibri" w:cs="Times New Roman"/>
          <w:b/>
          <w:bCs/>
        </w:rPr>
        <w:t xml:space="preserve"> </w:t>
      </w:r>
      <w:r w:rsidR="009C319B">
        <w:rPr>
          <w:rFonts w:ascii="Calibri" w:eastAsia="Calibri" w:hAnsi="Calibri" w:cs="Times New Roman"/>
          <w:b/>
          <w:bCs/>
          <w:noProof/>
        </w:rPr>
        <w:t>7</w:t>
      </w:r>
      <w:r w:rsidR="009C319B" w:rsidRPr="00241AEB">
        <w:rPr>
          <w:rFonts w:ascii="Calibri" w:eastAsia="Calibri" w:hAnsi="Calibri" w:cs="Times New Roman"/>
          <w:b/>
          <w:bCs/>
          <w:noProof/>
        </w:rPr>
        <w:t>.</w:t>
      </w:r>
      <w:r w:rsidR="009C319B">
        <w:rPr>
          <w:rFonts w:ascii="Calibri" w:eastAsia="Calibri" w:hAnsi="Calibri" w:cs="Times New Roman"/>
          <w:b/>
          <w:bCs/>
          <w:noProof/>
        </w:rPr>
        <w:t>4</w:t>
      </w:r>
      <w:r w:rsidR="00992C35" w:rsidRPr="00241AEB">
        <w:rPr>
          <w:rFonts w:cstheme="minorHAnsi"/>
        </w:rPr>
        <w:fldChar w:fldCharType="end"/>
      </w:r>
      <w:r w:rsidR="00992C35" w:rsidRPr="00241AEB">
        <w:rPr>
          <w:rFonts w:cstheme="minorHAnsi"/>
        </w:rPr>
        <w:t xml:space="preserve"> dane su potrošnje električne energije</w:t>
      </w:r>
      <w:r w:rsidRPr="00241AEB">
        <w:rPr>
          <w:rFonts w:cstheme="minorHAnsi"/>
        </w:rPr>
        <w:t xml:space="preserve"> i plina </w:t>
      </w:r>
      <w:r w:rsidR="00CB3A85" w:rsidRPr="00241AEB">
        <w:rPr>
          <w:rFonts w:cstheme="minorHAnsi"/>
        </w:rPr>
        <w:t>i pripadajući Kontrolni inventar</w:t>
      </w:r>
      <w:r w:rsidR="00992C35" w:rsidRPr="00241AEB">
        <w:rPr>
          <w:rFonts w:cstheme="minorHAnsi"/>
        </w:rPr>
        <w:t xml:space="preserve"> emisije CO</w:t>
      </w:r>
      <w:r w:rsidR="00992C35" w:rsidRPr="00241AEB">
        <w:rPr>
          <w:rFonts w:cstheme="minorHAnsi"/>
          <w:vertAlign w:val="subscript"/>
        </w:rPr>
        <w:t>2</w:t>
      </w:r>
      <w:r w:rsidR="00992C35" w:rsidRPr="00241AEB">
        <w:rPr>
          <w:rFonts w:cstheme="minorHAnsi"/>
        </w:rPr>
        <w:t xml:space="preserve"> za električ</w:t>
      </w:r>
      <w:r w:rsidRPr="00241AEB">
        <w:rPr>
          <w:rFonts w:cstheme="minorHAnsi"/>
        </w:rPr>
        <w:t>nu i plinsku mrežu javne rasvjete</w:t>
      </w:r>
      <w:r w:rsidR="00CB3A85" w:rsidRPr="00241AEB">
        <w:rPr>
          <w:rFonts w:cstheme="minorHAnsi"/>
        </w:rPr>
        <w:t xml:space="preserve"> u 2015. godini</w:t>
      </w:r>
      <w:r w:rsidR="00992C35" w:rsidRPr="00241AEB">
        <w:rPr>
          <w:rFonts w:cstheme="minorHAnsi"/>
        </w:rPr>
        <w:t>.</w:t>
      </w:r>
    </w:p>
    <w:p w14:paraId="48560546" w14:textId="2FCEBA34" w:rsidR="00910170" w:rsidRPr="00241AEB" w:rsidRDefault="00910170" w:rsidP="00E92750">
      <w:pPr>
        <w:spacing w:after="0" w:line="240" w:lineRule="auto"/>
        <w:jc w:val="both"/>
        <w:rPr>
          <w:rFonts w:ascii="Calibri" w:eastAsia="Calibri" w:hAnsi="Calibri" w:cs="Times New Roman"/>
        </w:rPr>
      </w:pPr>
      <w:bookmarkStart w:id="341" w:name="_Ref465412821"/>
      <w:bookmarkStart w:id="342" w:name="_Toc468277516"/>
      <w:r w:rsidRPr="00241AEB">
        <w:rPr>
          <w:rFonts w:ascii="Calibri" w:eastAsia="Calibri" w:hAnsi="Calibri" w:cs="Times New Roman"/>
          <w:b/>
          <w:bCs/>
        </w:rPr>
        <w:t xml:space="preserve">Tablica </w:t>
      </w:r>
      <w:r w:rsidR="000B3499" w:rsidRPr="00241AEB">
        <w:rPr>
          <w:rFonts w:ascii="Calibri" w:eastAsia="Calibri" w:hAnsi="Calibri" w:cs="Times New Roman"/>
          <w:b/>
          <w:bCs/>
        </w:rPr>
        <w:fldChar w:fldCharType="begin"/>
      </w:r>
      <w:r w:rsidR="000B3499" w:rsidRPr="00241AEB">
        <w:rPr>
          <w:rFonts w:ascii="Calibri" w:eastAsia="Calibri" w:hAnsi="Calibri" w:cs="Times New Roman"/>
          <w:b/>
          <w:bCs/>
        </w:rPr>
        <w:instrText xml:space="preserve"> STYLEREF 1 \s </w:instrText>
      </w:r>
      <w:r w:rsidR="000B3499" w:rsidRPr="00241AEB">
        <w:rPr>
          <w:rFonts w:ascii="Calibri" w:eastAsia="Calibri" w:hAnsi="Calibri" w:cs="Times New Roman"/>
          <w:b/>
          <w:bCs/>
        </w:rPr>
        <w:fldChar w:fldCharType="separate"/>
      </w:r>
      <w:r w:rsidR="009C319B">
        <w:rPr>
          <w:rFonts w:ascii="Calibri" w:eastAsia="Calibri" w:hAnsi="Calibri" w:cs="Times New Roman"/>
          <w:b/>
          <w:bCs/>
          <w:noProof/>
        </w:rPr>
        <w:t>7</w:t>
      </w:r>
      <w:r w:rsidR="000B3499" w:rsidRPr="00241AEB">
        <w:rPr>
          <w:rFonts w:ascii="Calibri" w:eastAsia="Calibri" w:hAnsi="Calibri" w:cs="Times New Roman"/>
          <w:b/>
          <w:bCs/>
        </w:rPr>
        <w:fldChar w:fldCharType="end"/>
      </w:r>
      <w:r w:rsidR="000B3499" w:rsidRPr="00241AEB">
        <w:rPr>
          <w:rFonts w:ascii="Calibri" w:eastAsia="Calibri" w:hAnsi="Calibri" w:cs="Times New Roman"/>
          <w:b/>
          <w:bCs/>
        </w:rPr>
        <w:t>.</w:t>
      </w:r>
      <w:r w:rsidR="000B3499" w:rsidRPr="00241AEB">
        <w:rPr>
          <w:rFonts w:ascii="Calibri" w:eastAsia="Calibri" w:hAnsi="Calibri" w:cs="Times New Roman"/>
          <w:b/>
          <w:bCs/>
        </w:rPr>
        <w:fldChar w:fldCharType="begin"/>
      </w:r>
      <w:r w:rsidR="000B3499" w:rsidRPr="00241AEB">
        <w:rPr>
          <w:rFonts w:ascii="Calibri" w:eastAsia="Calibri" w:hAnsi="Calibri" w:cs="Times New Roman"/>
          <w:b/>
          <w:bCs/>
        </w:rPr>
        <w:instrText xml:space="preserve"> SEQ Tablica \* ARABIC \s 1 </w:instrText>
      </w:r>
      <w:r w:rsidR="000B3499" w:rsidRPr="00241AEB">
        <w:rPr>
          <w:rFonts w:ascii="Calibri" w:eastAsia="Calibri" w:hAnsi="Calibri" w:cs="Times New Roman"/>
          <w:b/>
          <w:bCs/>
        </w:rPr>
        <w:fldChar w:fldCharType="separate"/>
      </w:r>
      <w:r w:rsidR="009C319B">
        <w:rPr>
          <w:rFonts w:ascii="Calibri" w:eastAsia="Calibri" w:hAnsi="Calibri" w:cs="Times New Roman"/>
          <w:b/>
          <w:bCs/>
          <w:noProof/>
        </w:rPr>
        <w:t>4</w:t>
      </w:r>
      <w:r w:rsidR="000B3499" w:rsidRPr="00241AEB">
        <w:rPr>
          <w:rFonts w:ascii="Calibri" w:eastAsia="Calibri" w:hAnsi="Calibri" w:cs="Times New Roman"/>
          <w:b/>
          <w:bCs/>
        </w:rPr>
        <w:fldChar w:fldCharType="end"/>
      </w:r>
      <w:bookmarkEnd w:id="341"/>
      <w:r w:rsidRPr="00241AEB">
        <w:rPr>
          <w:rFonts w:ascii="Calibri" w:eastAsia="Calibri" w:hAnsi="Calibri" w:cs="Times New Roman"/>
          <w:b/>
          <w:bCs/>
        </w:rPr>
        <w:t xml:space="preserve"> </w:t>
      </w:r>
      <w:r w:rsidRPr="00241AEB">
        <w:rPr>
          <w:rFonts w:ascii="Calibri" w:eastAsia="Calibri" w:hAnsi="Calibri" w:cs="Times New Roman"/>
        </w:rPr>
        <w:t>Potrošnja električne energije</w:t>
      </w:r>
      <w:r w:rsidR="00787921" w:rsidRPr="00241AEB">
        <w:rPr>
          <w:rFonts w:ascii="Calibri" w:eastAsia="Calibri" w:hAnsi="Calibri" w:cs="Times New Roman"/>
        </w:rPr>
        <w:t xml:space="preserve"> i plina</w:t>
      </w:r>
      <w:r w:rsidRPr="00241AEB">
        <w:rPr>
          <w:rFonts w:ascii="Calibri" w:eastAsia="Calibri" w:hAnsi="Calibri" w:cs="Times New Roman"/>
        </w:rPr>
        <w:t xml:space="preserve"> i </w:t>
      </w:r>
      <w:bookmarkEnd w:id="335"/>
      <w:bookmarkEnd w:id="336"/>
      <w:bookmarkEnd w:id="337"/>
      <w:bookmarkEnd w:id="338"/>
      <w:bookmarkEnd w:id="339"/>
      <w:bookmarkEnd w:id="340"/>
      <w:r w:rsidR="00CB3A85" w:rsidRPr="00241AEB">
        <w:rPr>
          <w:rFonts w:ascii="Calibri" w:eastAsia="Calibri" w:hAnsi="Calibri" w:cs="Times New Roman"/>
        </w:rPr>
        <w:t>pripadajući Kontrolni inventar</w:t>
      </w:r>
      <w:r w:rsidR="005D4657" w:rsidRPr="00241AEB">
        <w:rPr>
          <w:rFonts w:ascii="Calibri" w:eastAsia="Calibri" w:hAnsi="Calibri" w:cs="Times New Roman"/>
        </w:rPr>
        <w:t xml:space="preserve"> emisije CO</w:t>
      </w:r>
      <w:r w:rsidR="005D4657" w:rsidRPr="00241AEB">
        <w:rPr>
          <w:rFonts w:ascii="Calibri" w:eastAsia="Calibri" w:hAnsi="Calibri" w:cs="Times New Roman"/>
          <w:vertAlign w:val="subscript"/>
        </w:rPr>
        <w:t>2</w:t>
      </w:r>
      <w:r w:rsidR="00CB3A85" w:rsidRPr="00241AEB">
        <w:rPr>
          <w:rFonts w:ascii="Calibri" w:eastAsia="Calibri" w:hAnsi="Calibri" w:cs="Times New Roman"/>
          <w:vertAlign w:val="subscript"/>
        </w:rPr>
        <w:t xml:space="preserve"> </w:t>
      </w:r>
      <w:r w:rsidR="00CB3A85" w:rsidRPr="00241AEB">
        <w:rPr>
          <w:rFonts w:ascii="Calibri" w:eastAsia="Calibri" w:hAnsi="Calibri" w:cs="Times New Roman"/>
        </w:rPr>
        <w:t>u 2015. godini</w:t>
      </w:r>
      <w:bookmarkEnd w:id="342"/>
    </w:p>
    <w:tbl>
      <w:tblPr>
        <w:tblW w:w="5037" w:type="pct"/>
        <w:tblInd w:w="108" w:type="dxa"/>
        <w:tblLayout w:type="fixed"/>
        <w:tblLook w:val="04A0" w:firstRow="1" w:lastRow="0" w:firstColumn="1" w:lastColumn="0" w:noHBand="0" w:noVBand="1"/>
      </w:tblPr>
      <w:tblGrid>
        <w:gridCol w:w="1381"/>
        <w:gridCol w:w="1110"/>
        <w:gridCol w:w="829"/>
        <w:gridCol w:w="967"/>
        <w:gridCol w:w="829"/>
        <w:gridCol w:w="1661"/>
        <w:gridCol w:w="1353"/>
        <w:gridCol w:w="997"/>
      </w:tblGrid>
      <w:tr w:rsidR="001E2BE6" w:rsidRPr="00241AEB" w14:paraId="54C99C45" w14:textId="77777777" w:rsidTr="001E2BE6">
        <w:trPr>
          <w:trHeight w:val="131"/>
        </w:trPr>
        <w:tc>
          <w:tcPr>
            <w:tcW w:w="757"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4650F059" w14:textId="77777777" w:rsidR="00BA0568" w:rsidRPr="00241AEB" w:rsidRDefault="00BA0568" w:rsidP="00E92750">
            <w:pPr>
              <w:spacing w:after="0" w:line="240" w:lineRule="auto"/>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 </w:t>
            </w:r>
          </w:p>
        </w:tc>
        <w:tc>
          <w:tcPr>
            <w:tcW w:w="1061" w:type="pct"/>
            <w:gridSpan w:val="2"/>
            <w:tcBorders>
              <w:top w:val="single" w:sz="4" w:space="0" w:color="auto"/>
              <w:left w:val="nil"/>
              <w:bottom w:val="single" w:sz="4" w:space="0" w:color="auto"/>
              <w:right w:val="single" w:sz="4" w:space="0" w:color="000000"/>
            </w:tcBorders>
            <w:shd w:val="clear" w:color="000000" w:fill="D9D9D9"/>
            <w:hideMark/>
          </w:tcPr>
          <w:p w14:paraId="2A21608C"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Potrošnja električne energije</w:t>
            </w:r>
          </w:p>
        </w:tc>
        <w:tc>
          <w:tcPr>
            <w:tcW w:w="984" w:type="pct"/>
            <w:gridSpan w:val="2"/>
            <w:tcBorders>
              <w:top w:val="single" w:sz="4" w:space="0" w:color="auto"/>
              <w:left w:val="nil"/>
              <w:bottom w:val="single" w:sz="4" w:space="0" w:color="auto"/>
              <w:right w:val="single" w:sz="4" w:space="0" w:color="000000"/>
            </w:tcBorders>
            <w:shd w:val="clear" w:color="000000" w:fill="D9D9D9"/>
            <w:hideMark/>
          </w:tcPr>
          <w:p w14:paraId="5D81A902"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Potrošnja plina</w:t>
            </w:r>
          </w:p>
        </w:tc>
        <w:tc>
          <w:tcPr>
            <w:tcW w:w="910" w:type="pct"/>
            <w:tcBorders>
              <w:top w:val="single" w:sz="4" w:space="0" w:color="auto"/>
              <w:left w:val="nil"/>
              <w:bottom w:val="single" w:sz="4" w:space="0" w:color="auto"/>
              <w:right w:val="single" w:sz="4" w:space="0" w:color="auto"/>
            </w:tcBorders>
            <w:shd w:val="clear" w:color="000000" w:fill="D9D9D9"/>
            <w:hideMark/>
          </w:tcPr>
          <w:p w14:paraId="523D9CE0"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Emisija električne energije</w:t>
            </w:r>
          </w:p>
        </w:tc>
        <w:tc>
          <w:tcPr>
            <w:tcW w:w="741" w:type="pct"/>
            <w:tcBorders>
              <w:top w:val="single" w:sz="4" w:space="0" w:color="auto"/>
              <w:left w:val="nil"/>
              <w:bottom w:val="single" w:sz="4" w:space="0" w:color="auto"/>
              <w:right w:val="single" w:sz="4" w:space="0" w:color="auto"/>
            </w:tcBorders>
            <w:shd w:val="clear" w:color="000000" w:fill="D9D9D9"/>
            <w:hideMark/>
          </w:tcPr>
          <w:p w14:paraId="20B80D7A"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Emisija prirodni plin</w:t>
            </w:r>
          </w:p>
        </w:tc>
        <w:tc>
          <w:tcPr>
            <w:tcW w:w="546" w:type="pct"/>
            <w:tcBorders>
              <w:top w:val="single" w:sz="4" w:space="0" w:color="auto"/>
              <w:left w:val="nil"/>
              <w:bottom w:val="single" w:sz="4" w:space="0" w:color="auto"/>
              <w:right w:val="single" w:sz="4" w:space="0" w:color="auto"/>
            </w:tcBorders>
            <w:shd w:val="clear" w:color="000000" w:fill="D9D9D9"/>
            <w:noWrap/>
            <w:hideMark/>
          </w:tcPr>
          <w:p w14:paraId="4FE9BB77"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Emisija</w:t>
            </w:r>
          </w:p>
        </w:tc>
      </w:tr>
      <w:tr w:rsidR="001E2BE6" w:rsidRPr="00241AEB" w14:paraId="4816080E" w14:textId="77777777" w:rsidTr="00E41E96">
        <w:trPr>
          <w:trHeight w:val="70"/>
        </w:trPr>
        <w:tc>
          <w:tcPr>
            <w:tcW w:w="757" w:type="pct"/>
            <w:vMerge/>
            <w:tcBorders>
              <w:top w:val="single" w:sz="4" w:space="0" w:color="auto"/>
              <w:left w:val="single" w:sz="4" w:space="0" w:color="auto"/>
              <w:bottom w:val="single" w:sz="4" w:space="0" w:color="auto"/>
              <w:right w:val="single" w:sz="4" w:space="0" w:color="auto"/>
            </w:tcBorders>
            <w:vAlign w:val="center"/>
            <w:hideMark/>
          </w:tcPr>
          <w:p w14:paraId="557CED50" w14:textId="77777777" w:rsidR="00BA0568" w:rsidRPr="00241AEB" w:rsidRDefault="00BA0568" w:rsidP="00E92750">
            <w:pPr>
              <w:spacing w:after="0" w:line="240" w:lineRule="auto"/>
              <w:rPr>
                <w:rFonts w:ascii="Calibri" w:eastAsia="Times New Roman" w:hAnsi="Calibri" w:cs="Calibri"/>
                <w:b/>
                <w:bCs/>
                <w:sz w:val="20"/>
                <w:szCs w:val="20"/>
                <w:lang w:eastAsia="hr-HR"/>
              </w:rPr>
            </w:pPr>
          </w:p>
        </w:tc>
        <w:tc>
          <w:tcPr>
            <w:tcW w:w="608" w:type="pct"/>
            <w:tcBorders>
              <w:top w:val="nil"/>
              <w:left w:val="nil"/>
              <w:bottom w:val="single" w:sz="4" w:space="0" w:color="auto"/>
              <w:right w:val="single" w:sz="4" w:space="0" w:color="auto"/>
            </w:tcBorders>
            <w:shd w:val="clear" w:color="000000" w:fill="D9D9D9"/>
            <w:hideMark/>
          </w:tcPr>
          <w:p w14:paraId="34A905A2"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kWh</w:t>
            </w:r>
          </w:p>
        </w:tc>
        <w:tc>
          <w:tcPr>
            <w:tcW w:w="454" w:type="pct"/>
            <w:tcBorders>
              <w:top w:val="nil"/>
              <w:left w:val="nil"/>
              <w:bottom w:val="single" w:sz="4" w:space="0" w:color="auto"/>
              <w:right w:val="single" w:sz="4" w:space="0" w:color="auto"/>
            </w:tcBorders>
            <w:shd w:val="clear" w:color="000000" w:fill="D9D9D9"/>
            <w:hideMark/>
          </w:tcPr>
          <w:p w14:paraId="5349DD16"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TJ</w:t>
            </w:r>
          </w:p>
        </w:tc>
        <w:tc>
          <w:tcPr>
            <w:tcW w:w="530" w:type="pct"/>
            <w:tcBorders>
              <w:top w:val="nil"/>
              <w:left w:val="nil"/>
              <w:bottom w:val="single" w:sz="4" w:space="0" w:color="auto"/>
              <w:right w:val="single" w:sz="4" w:space="0" w:color="auto"/>
            </w:tcBorders>
            <w:shd w:val="clear" w:color="000000" w:fill="D9D9D9"/>
            <w:hideMark/>
          </w:tcPr>
          <w:p w14:paraId="53B36889" w14:textId="6284A222" w:rsidR="00BA0568" w:rsidRPr="00241AEB" w:rsidRDefault="000A79E1" w:rsidP="00E92750">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m</w:t>
            </w:r>
            <w:r w:rsidRPr="000A79E1">
              <w:rPr>
                <w:rFonts w:ascii="Calibri" w:eastAsia="Times New Roman" w:hAnsi="Calibri" w:cs="Calibri"/>
                <w:b/>
                <w:bCs/>
                <w:sz w:val="20"/>
                <w:szCs w:val="20"/>
                <w:vertAlign w:val="superscript"/>
                <w:lang w:eastAsia="hr-HR"/>
              </w:rPr>
              <w:t>3</w:t>
            </w:r>
          </w:p>
        </w:tc>
        <w:tc>
          <w:tcPr>
            <w:tcW w:w="454" w:type="pct"/>
            <w:tcBorders>
              <w:top w:val="nil"/>
              <w:left w:val="nil"/>
              <w:bottom w:val="single" w:sz="4" w:space="0" w:color="auto"/>
              <w:right w:val="single" w:sz="4" w:space="0" w:color="auto"/>
            </w:tcBorders>
            <w:shd w:val="clear" w:color="000000" w:fill="D9D9D9"/>
            <w:hideMark/>
          </w:tcPr>
          <w:p w14:paraId="24BE3DEB"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TJ</w:t>
            </w:r>
          </w:p>
        </w:tc>
        <w:tc>
          <w:tcPr>
            <w:tcW w:w="910" w:type="pct"/>
            <w:tcBorders>
              <w:top w:val="nil"/>
              <w:left w:val="nil"/>
              <w:bottom w:val="single" w:sz="4" w:space="0" w:color="auto"/>
              <w:right w:val="single" w:sz="4" w:space="0" w:color="auto"/>
            </w:tcBorders>
            <w:shd w:val="clear" w:color="000000" w:fill="D9D9D9"/>
            <w:noWrap/>
            <w:hideMark/>
          </w:tcPr>
          <w:p w14:paraId="315A144C"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t CO</w:t>
            </w:r>
            <w:r w:rsidRPr="00241AEB">
              <w:rPr>
                <w:rFonts w:ascii="Calibri" w:eastAsia="Times New Roman" w:hAnsi="Calibri" w:cs="Calibri"/>
                <w:b/>
                <w:bCs/>
                <w:sz w:val="20"/>
                <w:szCs w:val="20"/>
                <w:vertAlign w:val="subscript"/>
                <w:lang w:eastAsia="hr-HR"/>
              </w:rPr>
              <w:t>2</w:t>
            </w:r>
          </w:p>
        </w:tc>
        <w:tc>
          <w:tcPr>
            <w:tcW w:w="741" w:type="pct"/>
            <w:tcBorders>
              <w:top w:val="nil"/>
              <w:left w:val="nil"/>
              <w:bottom w:val="single" w:sz="4" w:space="0" w:color="auto"/>
              <w:right w:val="single" w:sz="4" w:space="0" w:color="auto"/>
            </w:tcBorders>
            <w:shd w:val="clear" w:color="000000" w:fill="D9D9D9"/>
            <w:noWrap/>
            <w:hideMark/>
          </w:tcPr>
          <w:p w14:paraId="67C97CBA"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t CO</w:t>
            </w:r>
            <w:r w:rsidRPr="00241AEB">
              <w:rPr>
                <w:rFonts w:ascii="Calibri" w:eastAsia="Times New Roman" w:hAnsi="Calibri" w:cs="Calibri"/>
                <w:b/>
                <w:bCs/>
                <w:sz w:val="20"/>
                <w:szCs w:val="20"/>
                <w:vertAlign w:val="subscript"/>
                <w:lang w:eastAsia="hr-HR"/>
              </w:rPr>
              <w:t>2</w:t>
            </w:r>
          </w:p>
        </w:tc>
        <w:tc>
          <w:tcPr>
            <w:tcW w:w="546" w:type="pct"/>
            <w:tcBorders>
              <w:top w:val="nil"/>
              <w:left w:val="nil"/>
              <w:bottom w:val="single" w:sz="4" w:space="0" w:color="auto"/>
              <w:right w:val="single" w:sz="4" w:space="0" w:color="auto"/>
            </w:tcBorders>
            <w:shd w:val="clear" w:color="000000" w:fill="D9D9D9"/>
            <w:noWrap/>
            <w:hideMark/>
          </w:tcPr>
          <w:p w14:paraId="37C2D299" w14:textId="77777777" w:rsidR="00BA0568" w:rsidRPr="00241AEB" w:rsidRDefault="00BA0568" w:rsidP="00E92750">
            <w:pPr>
              <w:spacing w:after="0" w:line="240" w:lineRule="auto"/>
              <w:jc w:val="center"/>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t CO</w:t>
            </w:r>
            <w:r w:rsidRPr="00241AEB">
              <w:rPr>
                <w:rFonts w:ascii="Calibri" w:eastAsia="Times New Roman" w:hAnsi="Calibri" w:cs="Calibri"/>
                <w:b/>
                <w:bCs/>
                <w:sz w:val="20"/>
                <w:szCs w:val="20"/>
                <w:vertAlign w:val="subscript"/>
                <w:lang w:eastAsia="hr-HR"/>
              </w:rPr>
              <w:t>2</w:t>
            </w:r>
          </w:p>
        </w:tc>
      </w:tr>
      <w:tr w:rsidR="00887C5A" w:rsidRPr="00241AEB" w14:paraId="1DF461F8" w14:textId="77777777" w:rsidTr="00E41E96">
        <w:trPr>
          <w:trHeight w:val="300"/>
        </w:trPr>
        <w:tc>
          <w:tcPr>
            <w:tcW w:w="757" w:type="pct"/>
            <w:tcBorders>
              <w:top w:val="nil"/>
              <w:left w:val="single" w:sz="4" w:space="0" w:color="auto"/>
              <w:bottom w:val="single" w:sz="4" w:space="0" w:color="auto"/>
              <w:right w:val="single" w:sz="4" w:space="0" w:color="auto"/>
            </w:tcBorders>
            <w:shd w:val="clear" w:color="000000" w:fill="D9D9D9"/>
            <w:hideMark/>
          </w:tcPr>
          <w:p w14:paraId="103FDE13" w14:textId="77777777" w:rsidR="00BA0568" w:rsidRPr="00241AEB" w:rsidRDefault="00BA0568" w:rsidP="00E92750">
            <w:pPr>
              <w:spacing w:after="0" w:line="240" w:lineRule="auto"/>
              <w:rPr>
                <w:rFonts w:ascii="Calibri" w:eastAsia="Times New Roman" w:hAnsi="Calibri" w:cs="Calibri"/>
                <w:b/>
                <w:bCs/>
                <w:sz w:val="20"/>
                <w:szCs w:val="20"/>
                <w:lang w:eastAsia="hr-HR"/>
              </w:rPr>
            </w:pPr>
            <w:r w:rsidRPr="00241AEB">
              <w:rPr>
                <w:rFonts w:ascii="Calibri" w:eastAsia="Times New Roman" w:hAnsi="Calibri" w:cs="Calibri"/>
                <w:b/>
                <w:bCs/>
                <w:sz w:val="20"/>
                <w:szCs w:val="20"/>
                <w:lang w:eastAsia="hr-HR"/>
              </w:rPr>
              <w:t>Sektor javna rasvjeta</w:t>
            </w:r>
          </w:p>
        </w:tc>
        <w:tc>
          <w:tcPr>
            <w:tcW w:w="608" w:type="pct"/>
            <w:tcBorders>
              <w:top w:val="nil"/>
              <w:left w:val="nil"/>
              <w:bottom w:val="single" w:sz="4" w:space="0" w:color="auto"/>
              <w:right w:val="single" w:sz="4" w:space="0" w:color="auto"/>
            </w:tcBorders>
            <w:shd w:val="clear" w:color="auto" w:fill="auto"/>
            <w:noWrap/>
            <w:hideMark/>
          </w:tcPr>
          <w:p w14:paraId="7D374256" w14:textId="3C2F9E00" w:rsidR="00BA0568" w:rsidRPr="00241AEB" w:rsidRDefault="00887C5A" w:rsidP="00E92750">
            <w:pPr>
              <w:spacing w:after="0" w:line="240" w:lineRule="auto"/>
              <w:jc w:val="center"/>
              <w:rPr>
                <w:rFonts w:ascii="Calibri" w:eastAsia="Times New Roman" w:hAnsi="Calibri" w:cs="Calibri"/>
                <w:sz w:val="20"/>
                <w:szCs w:val="20"/>
                <w:lang w:eastAsia="hr-HR"/>
              </w:rPr>
            </w:pPr>
            <w:r w:rsidRPr="00241AEB">
              <w:rPr>
                <w:rFonts w:ascii="Calibri" w:eastAsia="Times New Roman" w:hAnsi="Calibri" w:cs="Calibri"/>
                <w:sz w:val="20"/>
                <w:szCs w:val="20"/>
                <w:lang w:eastAsia="hr-HR"/>
              </w:rPr>
              <w:t xml:space="preserve">81 294 </w:t>
            </w:r>
            <w:r w:rsidR="00BA0568" w:rsidRPr="00241AEB">
              <w:rPr>
                <w:rFonts w:ascii="Calibri" w:eastAsia="Times New Roman" w:hAnsi="Calibri" w:cs="Calibri"/>
                <w:sz w:val="20"/>
                <w:szCs w:val="20"/>
                <w:lang w:eastAsia="hr-HR"/>
              </w:rPr>
              <w:t>000</w:t>
            </w:r>
          </w:p>
        </w:tc>
        <w:tc>
          <w:tcPr>
            <w:tcW w:w="454" w:type="pct"/>
            <w:tcBorders>
              <w:top w:val="nil"/>
              <w:left w:val="nil"/>
              <w:bottom w:val="single" w:sz="4" w:space="0" w:color="auto"/>
              <w:right w:val="single" w:sz="4" w:space="0" w:color="auto"/>
            </w:tcBorders>
            <w:shd w:val="clear" w:color="auto" w:fill="auto"/>
            <w:hideMark/>
          </w:tcPr>
          <w:p w14:paraId="4BF8C95D" w14:textId="77777777" w:rsidR="00BA0568" w:rsidRPr="00241AEB" w:rsidRDefault="00BA0568" w:rsidP="00E92750">
            <w:pPr>
              <w:spacing w:after="0" w:line="240" w:lineRule="auto"/>
              <w:jc w:val="center"/>
              <w:rPr>
                <w:rFonts w:ascii="Calibri" w:eastAsia="Times New Roman" w:hAnsi="Calibri" w:cs="Calibri"/>
                <w:sz w:val="20"/>
                <w:szCs w:val="20"/>
                <w:lang w:eastAsia="hr-HR"/>
              </w:rPr>
            </w:pPr>
            <w:r w:rsidRPr="00241AEB">
              <w:rPr>
                <w:rFonts w:ascii="Calibri" w:eastAsia="Times New Roman" w:hAnsi="Calibri" w:cs="Calibri"/>
                <w:sz w:val="20"/>
                <w:szCs w:val="20"/>
                <w:lang w:eastAsia="hr-HR"/>
              </w:rPr>
              <w:t>292,66</w:t>
            </w:r>
          </w:p>
        </w:tc>
        <w:tc>
          <w:tcPr>
            <w:tcW w:w="530" w:type="pct"/>
            <w:tcBorders>
              <w:top w:val="nil"/>
              <w:left w:val="nil"/>
              <w:bottom w:val="single" w:sz="4" w:space="0" w:color="auto"/>
              <w:right w:val="single" w:sz="4" w:space="0" w:color="auto"/>
            </w:tcBorders>
            <w:shd w:val="clear" w:color="auto" w:fill="auto"/>
            <w:hideMark/>
          </w:tcPr>
          <w:p w14:paraId="2251D2D3" w14:textId="7FA8120F" w:rsidR="00BA0568" w:rsidRPr="00241AEB" w:rsidRDefault="00887C5A" w:rsidP="00E92750">
            <w:pPr>
              <w:spacing w:after="0" w:line="240" w:lineRule="auto"/>
              <w:jc w:val="center"/>
              <w:rPr>
                <w:rFonts w:ascii="Calibri" w:eastAsia="Times New Roman" w:hAnsi="Calibri" w:cs="Calibri"/>
                <w:sz w:val="20"/>
                <w:szCs w:val="20"/>
                <w:lang w:eastAsia="hr-HR"/>
              </w:rPr>
            </w:pPr>
            <w:r w:rsidRPr="00241AEB">
              <w:rPr>
                <w:rFonts w:ascii="Calibri" w:eastAsia="Times New Roman" w:hAnsi="Calibri" w:cs="Calibri"/>
                <w:sz w:val="20"/>
                <w:szCs w:val="20"/>
                <w:lang w:eastAsia="hr-HR"/>
              </w:rPr>
              <w:t>304 860</w:t>
            </w:r>
          </w:p>
        </w:tc>
        <w:tc>
          <w:tcPr>
            <w:tcW w:w="454" w:type="pct"/>
            <w:tcBorders>
              <w:top w:val="nil"/>
              <w:left w:val="nil"/>
              <w:bottom w:val="single" w:sz="4" w:space="0" w:color="auto"/>
              <w:right w:val="single" w:sz="4" w:space="0" w:color="auto"/>
            </w:tcBorders>
            <w:shd w:val="clear" w:color="auto" w:fill="auto"/>
            <w:hideMark/>
          </w:tcPr>
          <w:p w14:paraId="38119A8E" w14:textId="77777777" w:rsidR="00BA0568" w:rsidRPr="00241AEB" w:rsidRDefault="00BA0568" w:rsidP="00E92750">
            <w:pPr>
              <w:spacing w:after="0" w:line="240" w:lineRule="auto"/>
              <w:jc w:val="center"/>
              <w:rPr>
                <w:rFonts w:ascii="Calibri" w:eastAsia="Times New Roman" w:hAnsi="Calibri" w:cs="Calibri"/>
                <w:sz w:val="20"/>
                <w:szCs w:val="20"/>
                <w:lang w:eastAsia="hr-HR"/>
              </w:rPr>
            </w:pPr>
            <w:r w:rsidRPr="00241AEB">
              <w:rPr>
                <w:rFonts w:ascii="Calibri" w:eastAsia="Times New Roman" w:hAnsi="Calibri" w:cs="Calibri"/>
                <w:sz w:val="20"/>
                <w:szCs w:val="20"/>
                <w:lang w:eastAsia="hr-HR"/>
              </w:rPr>
              <w:t>10,42</w:t>
            </w:r>
          </w:p>
        </w:tc>
        <w:tc>
          <w:tcPr>
            <w:tcW w:w="910" w:type="pct"/>
            <w:tcBorders>
              <w:top w:val="nil"/>
              <w:left w:val="nil"/>
              <w:bottom w:val="single" w:sz="4" w:space="0" w:color="auto"/>
              <w:right w:val="single" w:sz="4" w:space="0" w:color="auto"/>
            </w:tcBorders>
            <w:shd w:val="clear" w:color="auto" w:fill="auto"/>
            <w:hideMark/>
          </w:tcPr>
          <w:p w14:paraId="16631261" w14:textId="6BCC82C1" w:rsidR="00BA0568" w:rsidRPr="00241AEB" w:rsidRDefault="001D3D58" w:rsidP="00E92750">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26 </w:t>
            </w:r>
            <w:r w:rsidR="00BA0568" w:rsidRPr="00241AEB">
              <w:rPr>
                <w:rFonts w:ascii="Calibri" w:eastAsia="Times New Roman" w:hAnsi="Calibri" w:cs="Calibri"/>
                <w:sz w:val="20"/>
                <w:szCs w:val="20"/>
                <w:lang w:eastAsia="hr-HR"/>
              </w:rPr>
              <w:t>827,02</w:t>
            </w:r>
          </w:p>
        </w:tc>
        <w:tc>
          <w:tcPr>
            <w:tcW w:w="741" w:type="pct"/>
            <w:tcBorders>
              <w:top w:val="nil"/>
              <w:left w:val="nil"/>
              <w:bottom w:val="single" w:sz="4" w:space="0" w:color="auto"/>
              <w:right w:val="single" w:sz="4" w:space="0" w:color="auto"/>
            </w:tcBorders>
            <w:shd w:val="clear" w:color="auto" w:fill="auto"/>
            <w:hideMark/>
          </w:tcPr>
          <w:p w14:paraId="71C4D014" w14:textId="77777777" w:rsidR="00BA0568" w:rsidRPr="00241AEB" w:rsidRDefault="00BA0568" w:rsidP="00E92750">
            <w:pPr>
              <w:spacing w:after="0" w:line="240" w:lineRule="auto"/>
              <w:jc w:val="center"/>
              <w:rPr>
                <w:rFonts w:ascii="Calibri" w:eastAsia="Times New Roman" w:hAnsi="Calibri" w:cs="Calibri"/>
                <w:sz w:val="20"/>
                <w:szCs w:val="20"/>
                <w:lang w:eastAsia="hr-HR"/>
              </w:rPr>
            </w:pPr>
            <w:r w:rsidRPr="00241AEB">
              <w:rPr>
                <w:rFonts w:ascii="Calibri" w:eastAsia="Times New Roman" w:hAnsi="Calibri" w:cs="Calibri"/>
                <w:sz w:val="20"/>
                <w:szCs w:val="20"/>
                <w:lang w:eastAsia="hr-HR"/>
              </w:rPr>
              <w:t>584,82</w:t>
            </w:r>
          </w:p>
        </w:tc>
        <w:tc>
          <w:tcPr>
            <w:tcW w:w="546" w:type="pct"/>
            <w:tcBorders>
              <w:top w:val="nil"/>
              <w:left w:val="nil"/>
              <w:bottom w:val="single" w:sz="4" w:space="0" w:color="auto"/>
              <w:right w:val="single" w:sz="4" w:space="0" w:color="auto"/>
            </w:tcBorders>
            <w:shd w:val="clear" w:color="auto" w:fill="auto"/>
            <w:hideMark/>
          </w:tcPr>
          <w:p w14:paraId="266F7BFD" w14:textId="2C8A7DCC" w:rsidR="00BA0568" w:rsidRPr="00241AEB" w:rsidRDefault="00BA0568" w:rsidP="00E92750">
            <w:pPr>
              <w:spacing w:after="0" w:line="240" w:lineRule="auto"/>
              <w:jc w:val="center"/>
              <w:rPr>
                <w:rFonts w:ascii="Calibri" w:eastAsia="Times New Roman" w:hAnsi="Calibri" w:cs="Calibri"/>
                <w:sz w:val="20"/>
                <w:szCs w:val="20"/>
                <w:lang w:eastAsia="hr-HR"/>
              </w:rPr>
            </w:pPr>
            <w:r w:rsidRPr="00241AEB">
              <w:rPr>
                <w:rFonts w:ascii="Calibri" w:eastAsia="Times New Roman" w:hAnsi="Calibri" w:cs="Calibri"/>
                <w:sz w:val="20"/>
                <w:szCs w:val="20"/>
                <w:lang w:eastAsia="hr-HR"/>
              </w:rPr>
              <w:t>27</w:t>
            </w:r>
            <w:r w:rsidR="00887C5A" w:rsidRPr="00241AEB">
              <w:rPr>
                <w:rFonts w:ascii="Calibri" w:eastAsia="Times New Roman" w:hAnsi="Calibri" w:cs="Calibri"/>
                <w:sz w:val="20"/>
                <w:szCs w:val="20"/>
                <w:lang w:eastAsia="hr-HR"/>
              </w:rPr>
              <w:t xml:space="preserve"> </w:t>
            </w:r>
            <w:r w:rsidRPr="00241AEB">
              <w:rPr>
                <w:rFonts w:ascii="Calibri" w:eastAsia="Times New Roman" w:hAnsi="Calibri" w:cs="Calibri"/>
                <w:sz w:val="20"/>
                <w:szCs w:val="20"/>
                <w:lang w:eastAsia="hr-HR"/>
              </w:rPr>
              <w:t>411,84</w:t>
            </w:r>
          </w:p>
        </w:tc>
      </w:tr>
    </w:tbl>
    <w:p w14:paraId="1346B235" w14:textId="46DB5F9B" w:rsidR="0067747E" w:rsidRPr="00241AEB" w:rsidRDefault="00CB3A85" w:rsidP="00E92750">
      <w:pPr>
        <w:spacing w:before="240" w:after="0" w:line="240" w:lineRule="auto"/>
        <w:jc w:val="both"/>
        <w:rPr>
          <w:rFonts w:ascii="Century Gothic" w:hAnsi="Century Gothic"/>
        </w:rPr>
      </w:pPr>
      <w:r w:rsidRPr="00241AEB">
        <w:rPr>
          <w:rFonts w:eastAsia="Calibri" w:cstheme="minorHAnsi"/>
        </w:rPr>
        <w:t>Ukupni Kontrolni inventar</w:t>
      </w:r>
      <w:r w:rsidR="005D4657" w:rsidRPr="00241AEB">
        <w:rPr>
          <w:rFonts w:eastAsia="Calibri" w:cstheme="minorHAnsi"/>
        </w:rPr>
        <w:t xml:space="preserve"> emisija </w:t>
      </w:r>
      <w:r w:rsidRPr="00241AEB">
        <w:rPr>
          <w:rFonts w:eastAsia="Calibri" w:cstheme="minorHAnsi"/>
        </w:rPr>
        <w:t>CO</w:t>
      </w:r>
      <w:r w:rsidRPr="00241AEB">
        <w:rPr>
          <w:rFonts w:eastAsia="Calibri" w:cstheme="minorHAnsi"/>
          <w:vertAlign w:val="subscript"/>
        </w:rPr>
        <w:t>2</w:t>
      </w:r>
      <w:r w:rsidRPr="00241AEB">
        <w:rPr>
          <w:rFonts w:eastAsia="Calibri" w:cstheme="minorHAnsi"/>
        </w:rPr>
        <w:t xml:space="preserve"> iz </w:t>
      </w:r>
      <w:r w:rsidR="005D4657" w:rsidRPr="00241AEB">
        <w:rPr>
          <w:rFonts w:eastAsia="Calibri" w:cstheme="minorHAnsi"/>
        </w:rPr>
        <w:t>sektora javn</w:t>
      </w:r>
      <w:r w:rsidR="002E7A50" w:rsidRPr="00241AEB">
        <w:rPr>
          <w:rFonts w:eastAsia="Calibri" w:cstheme="minorHAnsi"/>
        </w:rPr>
        <w:t>a</w:t>
      </w:r>
      <w:r w:rsidR="00992C35" w:rsidRPr="00241AEB">
        <w:rPr>
          <w:rFonts w:eastAsia="Calibri" w:cstheme="minorHAnsi"/>
        </w:rPr>
        <w:t xml:space="preserve"> rasvjeta</w:t>
      </w:r>
      <w:r w:rsidRPr="00241AEB">
        <w:rPr>
          <w:rFonts w:eastAsia="Calibri" w:cstheme="minorHAnsi"/>
        </w:rPr>
        <w:t xml:space="preserve"> u 2015. godini</w:t>
      </w:r>
      <w:r w:rsidR="00992C35" w:rsidRPr="00241AEB">
        <w:rPr>
          <w:rFonts w:eastAsia="Calibri" w:cstheme="minorHAnsi"/>
        </w:rPr>
        <w:t xml:space="preserve"> iznosi </w:t>
      </w:r>
      <w:r w:rsidR="005D4657" w:rsidRPr="00241AEB">
        <w:rPr>
          <w:rFonts w:eastAsia="Calibri" w:cstheme="minorHAnsi"/>
          <w:color w:val="000000"/>
          <w:lang w:eastAsia="hr-HR"/>
        </w:rPr>
        <w:t>27</w:t>
      </w:r>
      <w:r w:rsidR="002E7A50" w:rsidRPr="00241AEB">
        <w:rPr>
          <w:rFonts w:eastAsia="Calibri" w:cstheme="minorHAnsi"/>
          <w:color w:val="000000"/>
          <w:lang w:eastAsia="hr-HR"/>
        </w:rPr>
        <w:t xml:space="preserve"> </w:t>
      </w:r>
      <w:r w:rsidR="005D4657" w:rsidRPr="00241AEB">
        <w:rPr>
          <w:rFonts w:eastAsia="Calibri" w:cstheme="minorHAnsi"/>
          <w:color w:val="000000"/>
          <w:lang w:eastAsia="hr-HR"/>
        </w:rPr>
        <w:t>411,84</w:t>
      </w:r>
      <w:r w:rsidR="00992C35" w:rsidRPr="00241AEB">
        <w:rPr>
          <w:rFonts w:eastAsia="Calibri" w:cstheme="minorHAnsi"/>
          <w:color w:val="000000"/>
          <w:lang w:eastAsia="hr-HR"/>
        </w:rPr>
        <w:t xml:space="preserve"> </w:t>
      </w:r>
      <w:r w:rsidR="00992C35" w:rsidRPr="00241AEB">
        <w:rPr>
          <w:rFonts w:eastAsia="Calibri" w:cstheme="minorHAnsi"/>
        </w:rPr>
        <w:t>t CO</w:t>
      </w:r>
      <w:r w:rsidR="00992C35" w:rsidRPr="00241AEB">
        <w:rPr>
          <w:rFonts w:eastAsia="Calibri" w:cstheme="minorHAnsi"/>
          <w:vertAlign w:val="subscript"/>
        </w:rPr>
        <w:t>2</w:t>
      </w:r>
      <w:r w:rsidR="00992C35" w:rsidRPr="00241AEB">
        <w:rPr>
          <w:rFonts w:eastAsia="Calibri" w:cstheme="minorHAnsi"/>
        </w:rPr>
        <w:t xml:space="preserve">, od čega </w:t>
      </w:r>
      <w:r w:rsidRPr="00241AEB">
        <w:rPr>
          <w:rFonts w:eastAsia="Calibri" w:cstheme="minorHAnsi"/>
        </w:rPr>
        <w:t xml:space="preserve">je </w:t>
      </w:r>
      <w:r w:rsidR="00992C35" w:rsidRPr="00241AEB">
        <w:rPr>
          <w:rFonts w:eastAsia="Calibri" w:cstheme="minorHAnsi"/>
        </w:rPr>
        <w:t>udio e</w:t>
      </w:r>
      <w:r w:rsidR="005D4657" w:rsidRPr="00241AEB">
        <w:rPr>
          <w:rFonts w:eastAsia="Calibri" w:cstheme="minorHAnsi"/>
        </w:rPr>
        <w:t xml:space="preserve">misija plinske rasvjete iznosi </w:t>
      </w:r>
      <w:r w:rsidRPr="00241AEB">
        <w:rPr>
          <w:rFonts w:eastAsia="Calibri" w:cstheme="minorHAnsi"/>
        </w:rPr>
        <w:t xml:space="preserve">svega </w:t>
      </w:r>
      <w:r w:rsidR="005D4657" w:rsidRPr="00241AEB">
        <w:rPr>
          <w:rFonts w:eastAsia="Calibri" w:cstheme="minorHAnsi"/>
        </w:rPr>
        <w:t>2,13%.</w:t>
      </w:r>
      <w:bookmarkStart w:id="343" w:name="_Toc251052169"/>
      <w:bookmarkStart w:id="344" w:name="_Toc251052170"/>
      <w:bookmarkStart w:id="345" w:name="_Toc251052171"/>
      <w:bookmarkStart w:id="346" w:name="_Toc251052172"/>
      <w:bookmarkEnd w:id="343"/>
      <w:bookmarkEnd w:id="344"/>
      <w:bookmarkEnd w:id="345"/>
      <w:bookmarkEnd w:id="346"/>
      <w:r w:rsidR="006438FE" w:rsidRPr="00241AEB">
        <w:rPr>
          <w:rFonts w:eastAsia="Times New Roman"/>
          <w:b/>
        </w:rPr>
        <w:br w:type="page"/>
      </w:r>
    </w:p>
    <w:p w14:paraId="2529AC1F" w14:textId="4A4FA135" w:rsidR="0067747E" w:rsidRPr="00241AEB" w:rsidRDefault="005E2D5A" w:rsidP="00E92750">
      <w:pPr>
        <w:pStyle w:val="Heading2"/>
        <w:spacing w:after="240"/>
      </w:pPr>
      <w:bookmarkStart w:id="347" w:name="_Toc258238935"/>
      <w:bookmarkStart w:id="348" w:name="_Toc468345388"/>
      <w:r w:rsidRPr="00241AEB">
        <w:lastRenderedPageBreak/>
        <w:t>Ukupni Kontrolni</w:t>
      </w:r>
      <w:r w:rsidR="0067747E" w:rsidRPr="00241AEB">
        <w:t xml:space="preserve"> inventar emisija CO</w:t>
      </w:r>
      <w:r w:rsidR="0067747E" w:rsidRPr="00241AEB">
        <w:rPr>
          <w:vertAlign w:val="subscript"/>
        </w:rPr>
        <w:t>2</w:t>
      </w:r>
      <w:r w:rsidR="0067747E" w:rsidRPr="00241AEB">
        <w:t xml:space="preserve"> Grada Zagreba</w:t>
      </w:r>
      <w:bookmarkEnd w:id="347"/>
      <w:bookmarkEnd w:id="348"/>
    </w:p>
    <w:p w14:paraId="4DD1D370" w14:textId="6A2AF1CB" w:rsidR="0067747E" w:rsidRPr="00241AEB" w:rsidRDefault="00963C77" w:rsidP="00E92750">
      <w:pPr>
        <w:spacing w:line="240" w:lineRule="auto"/>
        <w:jc w:val="both"/>
        <w:rPr>
          <w:rFonts w:cstheme="minorHAnsi"/>
        </w:rPr>
      </w:pPr>
      <w:r w:rsidRPr="00241AEB">
        <w:rPr>
          <w:rFonts w:cstheme="minorHAnsi"/>
          <w:color w:val="333333"/>
        </w:rPr>
        <w:t>Kontrolni i</w:t>
      </w:r>
      <w:r w:rsidR="0067747E" w:rsidRPr="00241AEB">
        <w:rPr>
          <w:rFonts w:cstheme="minorHAnsi"/>
        </w:rPr>
        <w:t>nventar emisija CO</w:t>
      </w:r>
      <w:r w:rsidR="0067747E" w:rsidRPr="00241AEB">
        <w:rPr>
          <w:rFonts w:cstheme="minorHAnsi"/>
          <w:vertAlign w:val="subscript"/>
        </w:rPr>
        <w:t>2</w:t>
      </w:r>
      <w:r w:rsidR="007E54BF" w:rsidRPr="00241AEB">
        <w:rPr>
          <w:rFonts w:cstheme="minorHAnsi"/>
        </w:rPr>
        <w:t xml:space="preserve"> Grada Zagreba za 2015</w:t>
      </w:r>
      <w:r w:rsidR="0067747E" w:rsidRPr="00241AEB">
        <w:rPr>
          <w:rFonts w:cstheme="minorHAnsi"/>
        </w:rPr>
        <w:t>. godinu obuhvaća emisije CO</w:t>
      </w:r>
      <w:r w:rsidR="0067747E" w:rsidRPr="00241AEB">
        <w:rPr>
          <w:rFonts w:cstheme="minorHAnsi"/>
          <w:vertAlign w:val="subscript"/>
        </w:rPr>
        <w:t>2</w:t>
      </w:r>
      <w:r w:rsidR="0067747E" w:rsidRPr="00241AEB">
        <w:rPr>
          <w:rFonts w:cstheme="minorHAnsi"/>
        </w:rPr>
        <w:t xml:space="preserve"> iz sektora zgradarstva, prometa i javne rasvjete bazirane na energetski</w:t>
      </w:r>
      <w:r w:rsidR="00F41208" w:rsidRPr="00241AEB">
        <w:rPr>
          <w:rFonts w:cstheme="minorHAnsi"/>
        </w:rPr>
        <w:t xml:space="preserve">m potrošnjama pojedinih sektora, </w:t>
      </w:r>
      <w:r w:rsidR="00F41208" w:rsidRPr="00241AEB">
        <w:rPr>
          <w:rFonts w:cstheme="minorHAnsi"/>
          <w:b/>
        </w:rPr>
        <w:fldChar w:fldCharType="begin"/>
      </w:r>
      <w:r w:rsidR="00F41208" w:rsidRPr="00241AEB">
        <w:rPr>
          <w:rFonts w:cstheme="minorHAnsi"/>
          <w:b/>
        </w:rPr>
        <w:instrText xml:space="preserve"> REF _Ref466037735 \h  \* MERGEFORMAT </w:instrText>
      </w:r>
      <w:r w:rsidR="00F41208" w:rsidRPr="00241AEB">
        <w:rPr>
          <w:rFonts w:cstheme="minorHAnsi"/>
          <w:b/>
        </w:rPr>
      </w:r>
      <w:r w:rsidR="00F41208" w:rsidRPr="00241AEB">
        <w:rPr>
          <w:rFonts w:cstheme="minorHAnsi"/>
          <w:b/>
        </w:rPr>
        <w:fldChar w:fldCharType="separate"/>
      </w:r>
      <w:r w:rsidR="009C319B" w:rsidRPr="00241AEB">
        <w:rPr>
          <w:rFonts w:ascii="Calibri" w:eastAsia="Calibri" w:hAnsi="Calibri" w:cs="Times New Roman"/>
          <w:b/>
          <w:bCs/>
        </w:rPr>
        <w:t xml:space="preserve">Tablica </w:t>
      </w:r>
      <w:r w:rsidR="009C319B">
        <w:rPr>
          <w:rFonts w:ascii="Calibri" w:eastAsia="Calibri" w:hAnsi="Calibri" w:cs="Times New Roman"/>
          <w:b/>
          <w:bCs/>
          <w:noProof/>
        </w:rPr>
        <w:t>7</w:t>
      </w:r>
      <w:r w:rsidR="009C319B" w:rsidRPr="00241AEB">
        <w:rPr>
          <w:rFonts w:ascii="Calibri" w:eastAsia="Calibri" w:hAnsi="Calibri" w:cs="Times New Roman"/>
          <w:b/>
          <w:bCs/>
          <w:noProof/>
        </w:rPr>
        <w:t>.</w:t>
      </w:r>
      <w:r w:rsidR="009C319B">
        <w:rPr>
          <w:rFonts w:ascii="Calibri" w:eastAsia="Calibri" w:hAnsi="Calibri" w:cs="Times New Roman"/>
          <w:b/>
          <w:bCs/>
          <w:noProof/>
        </w:rPr>
        <w:t>5</w:t>
      </w:r>
      <w:r w:rsidR="00F41208" w:rsidRPr="00241AEB">
        <w:rPr>
          <w:rFonts w:cstheme="minorHAnsi"/>
          <w:b/>
        </w:rPr>
        <w:fldChar w:fldCharType="end"/>
      </w:r>
      <w:r w:rsidR="00F41208" w:rsidRPr="00241AEB">
        <w:rPr>
          <w:rFonts w:cstheme="minorHAnsi"/>
        </w:rPr>
        <w:t xml:space="preserve"> </w:t>
      </w:r>
      <w:r w:rsidR="0067747E" w:rsidRPr="00241AEB">
        <w:rPr>
          <w:rFonts w:cstheme="minorHAnsi"/>
        </w:rPr>
        <w:t xml:space="preserve">i </w:t>
      </w:r>
      <w:r w:rsidR="00F41208" w:rsidRPr="00241AEB">
        <w:rPr>
          <w:rFonts w:cstheme="minorHAnsi"/>
          <w:b/>
        </w:rPr>
        <w:fldChar w:fldCharType="begin"/>
      </w:r>
      <w:r w:rsidR="00F41208" w:rsidRPr="00241AEB">
        <w:rPr>
          <w:rFonts w:cstheme="minorHAnsi"/>
          <w:b/>
        </w:rPr>
        <w:instrText xml:space="preserve"> REF _Ref466038029 \h  \* MERGEFORMAT </w:instrText>
      </w:r>
      <w:r w:rsidR="00F41208" w:rsidRPr="00241AEB">
        <w:rPr>
          <w:rFonts w:cstheme="minorHAnsi"/>
          <w:b/>
        </w:rPr>
      </w:r>
      <w:r w:rsidR="00F41208" w:rsidRPr="00241AEB">
        <w:rPr>
          <w:rFonts w:cstheme="minorHAnsi"/>
          <w:b/>
        </w:rPr>
        <w:fldChar w:fldCharType="separate"/>
      </w:r>
      <w:r w:rsidR="009C319B" w:rsidRPr="009C319B">
        <w:rPr>
          <w:rFonts w:eastAsia="Calibri"/>
          <w:b/>
          <w:bCs/>
        </w:rPr>
        <w:t xml:space="preserve">Slika </w:t>
      </w:r>
      <w:r w:rsidR="009C319B" w:rsidRPr="009C319B">
        <w:rPr>
          <w:rFonts w:eastAsia="Calibri"/>
          <w:b/>
          <w:bCs/>
          <w:noProof/>
        </w:rPr>
        <w:t>7.6</w:t>
      </w:r>
      <w:r w:rsidR="00F41208" w:rsidRPr="00241AEB">
        <w:rPr>
          <w:rFonts w:cstheme="minorHAnsi"/>
          <w:b/>
        </w:rPr>
        <w:fldChar w:fldCharType="end"/>
      </w:r>
      <w:r w:rsidR="0067747E" w:rsidRPr="00241AEB">
        <w:rPr>
          <w:rFonts w:cstheme="minorHAnsi"/>
        </w:rPr>
        <w:t>.</w:t>
      </w:r>
    </w:p>
    <w:p w14:paraId="4AC42E39" w14:textId="5DCDAED7" w:rsidR="0067747E" w:rsidRPr="00241AEB" w:rsidRDefault="00484EC2" w:rsidP="00E92750">
      <w:pPr>
        <w:spacing w:after="0" w:line="240" w:lineRule="auto"/>
        <w:rPr>
          <w:rFonts w:ascii="Century Gothic" w:hAnsi="Century Gothic"/>
        </w:rPr>
      </w:pPr>
      <w:bookmarkStart w:id="349" w:name="_Ref466037735"/>
      <w:bookmarkStart w:id="350" w:name="_Toc468277517"/>
      <w:r w:rsidRPr="00241AEB">
        <w:rPr>
          <w:rFonts w:ascii="Calibri" w:eastAsia="Calibri" w:hAnsi="Calibri" w:cs="Times New Roman"/>
          <w:b/>
          <w:bCs/>
        </w:rPr>
        <w:t xml:space="preserve">Tablica </w:t>
      </w:r>
      <w:r w:rsidRPr="00241AEB">
        <w:rPr>
          <w:rFonts w:ascii="Calibri" w:eastAsia="Calibri" w:hAnsi="Calibri" w:cs="Times New Roman"/>
          <w:b/>
          <w:bCs/>
        </w:rPr>
        <w:fldChar w:fldCharType="begin"/>
      </w:r>
      <w:r w:rsidRPr="00241AEB">
        <w:rPr>
          <w:rFonts w:ascii="Calibri" w:eastAsia="Calibri" w:hAnsi="Calibri" w:cs="Times New Roman"/>
          <w:b/>
          <w:bCs/>
        </w:rPr>
        <w:instrText xml:space="preserve"> STYLEREF 1 \s </w:instrText>
      </w:r>
      <w:r w:rsidRPr="00241AEB">
        <w:rPr>
          <w:rFonts w:ascii="Calibri" w:eastAsia="Calibri" w:hAnsi="Calibri" w:cs="Times New Roman"/>
          <w:b/>
          <w:bCs/>
        </w:rPr>
        <w:fldChar w:fldCharType="separate"/>
      </w:r>
      <w:r w:rsidR="009C319B">
        <w:rPr>
          <w:rFonts w:ascii="Calibri" w:eastAsia="Calibri" w:hAnsi="Calibri" w:cs="Times New Roman"/>
          <w:b/>
          <w:bCs/>
          <w:noProof/>
        </w:rPr>
        <w:t>7</w:t>
      </w:r>
      <w:r w:rsidRPr="00241AEB">
        <w:rPr>
          <w:rFonts w:ascii="Calibri" w:eastAsia="Calibri" w:hAnsi="Calibri" w:cs="Times New Roman"/>
          <w:b/>
          <w:bCs/>
        </w:rPr>
        <w:fldChar w:fldCharType="end"/>
      </w:r>
      <w:r w:rsidRPr="00241AEB">
        <w:rPr>
          <w:rFonts w:ascii="Calibri" w:eastAsia="Calibri" w:hAnsi="Calibri" w:cs="Times New Roman"/>
          <w:b/>
          <w:bCs/>
        </w:rPr>
        <w:t>.</w:t>
      </w:r>
      <w:r w:rsidRPr="00241AEB">
        <w:rPr>
          <w:rFonts w:ascii="Calibri" w:eastAsia="Calibri" w:hAnsi="Calibri" w:cs="Times New Roman"/>
          <w:b/>
          <w:bCs/>
        </w:rPr>
        <w:fldChar w:fldCharType="begin"/>
      </w:r>
      <w:r w:rsidRPr="00241AEB">
        <w:rPr>
          <w:rFonts w:ascii="Calibri" w:eastAsia="Calibri" w:hAnsi="Calibri" w:cs="Times New Roman"/>
          <w:b/>
          <w:bCs/>
        </w:rPr>
        <w:instrText xml:space="preserve"> SEQ Tablica \* ARABIC \s 1 </w:instrText>
      </w:r>
      <w:r w:rsidRPr="00241AEB">
        <w:rPr>
          <w:rFonts w:ascii="Calibri" w:eastAsia="Calibri" w:hAnsi="Calibri" w:cs="Times New Roman"/>
          <w:b/>
          <w:bCs/>
        </w:rPr>
        <w:fldChar w:fldCharType="separate"/>
      </w:r>
      <w:r w:rsidR="009C319B">
        <w:rPr>
          <w:rFonts w:ascii="Calibri" w:eastAsia="Calibri" w:hAnsi="Calibri" w:cs="Times New Roman"/>
          <w:b/>
          <w:bCs/>
          <w:noProof/>
        </w:rPr>
        <w:t>5</w:t>
      </w:r>
      <w:r w:rsidRPr="00241AEB">
        <w:rPr>
          <w:rFonts w:ascii="Calibri" w:eastAsia="Calibri" w:hAnsi="Calibri" w:cs="Times New Roman"/>
          <w:b/>
          <w:bCs/>
        </w:rPr>
        <w:fldChar w:fldCharType="end"/>
      </w:r>
      <w:bookmarkStart w:id="351" w:name="_Toc258239087"/>
      <w:bookmarkEnd w:id="349"/>
      <w:r w:rsidRPr="00241AEB">
        <w:rPr>
          <w:rFonts w:ascii="Century Gothic" w:hAnsi="Century Gothic"/>
        </w:rPr>
        <w:t xml:space="preserve"> </w:t>
      </w:r>
      <w:r w:rsidR="0067747E" w:rsidRPr="00241AEB">
        <w:t>Podjela energetske potrošnje pojedinih sektora po energentima</w:t>
      </w:r>
      <w:bookmarkEnd w:id="351"/>
      <w:r w:rsidR="00963C77" w:rsidRPr="00241AEB">
        <w:t xml:space="preserve"> u 2015. godini</w:t>
      </w:r>
      <w:bookmarkEnd w:id="350"/>
    </w:p>
    <w:tbl>
      <w:tblPr>
        <w:tblW w:w="5172" w:type="pct"/>
        <w:tblLayout w:type="fixed"/>
        <w:tblLook w:val="04A0" w:firstRow="1" w:lastRow="0" w:firstColumn="1" w:lastColumn="0" w:noHBand="0" w:noVBand="1"/>
      </w:tblPr>
      <w:tblGrid>
        <w:gridCol w:w="2084"/>
        <w:gridCol w:w="1479"/>
        <w:gridCol w:w="1078"/>
        <w:gridCol w:w="1275"/>
        <w:gridCol w:w="1792"/>
        <w:gridCol w:w="1664"/>
      </w:tblGrid>
      <w:tr w:rsidR="00E6654B" w:rsidRPr="00E6654B" w14:paraId="53CB09BB" w14:textId="77777777" w:rsidTr="00E6654B">
        <w:trPr>
          <w:trHeight w:val="240"/>
        </w:trPr>
        <w:tc>
          <w:tcPr>
            <w:tcW w:w="1112"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412C0A5" w14:textId="77777777" w:rsidR="00E6654B" w:rsidRPr="00E6654B" w:rsidRDefault="00E6654B" w:rsidP="00E6654B">
            <w:pPr>
              <w:spacing w:after="0" w:line="240" w:lineRule="auto"/>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Energent</w:t>
            </w:r>
          </w:p>
        </w:tc>
        <w:tc>
          <w:tcPr>
            <w:tcW w:w="2999" w:type="pct"/>
            <w:gridSpan w:val="4"/>
            <w:tcBorders>
              <w:top w:val="single" w:sz="4" w:space="0" w:color="auto"/>
              <w:left w:val="nil"/>
              <w:bottom w:val="single" w:sz="4" w:space="0" w:color="auto"/>
              <w:right w:val="single" w:sz="4" w:space="0" w:color="auto"/>
            </w:tcBorders>
            <w:shd w:val="clear" w:color="000000" w:fill="D9D9D9"/>
            <w:noWrap/>
            <w:vAlign w:val="bottom"/>
            <w:hideMark/>
          </w:tcPr>
          <w:p w14:paraId="4E754C5D"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Potrošnja goriva TJ</w:t>
            </w:r>
          </w:p>
        </w:tc>
        <w:tc>
          <w:tcPr>
            <w:tcW w:w="888" w:type="pct"/>
            <w:tcBorders>
              <w:top w:val="single" w:sz="4" w:space="0" w:color="auto"/>
              <w:left w:val="nil"/>
              <w:bottom w:val="single" w:sz="4" w:space="0" w:color="auto"/>
              <w:right w:val="single" w:sz="4" w:space="0" w:color="auto"/>
            </w:tcBorders>
            <w:shd w:val="clear" w:color="000000" w:fill="D9D9D9"/>
            <w:vAlign w:val="bottom"/>
            <w:hideMark/>
          </w:tcPr>
          <w:p w14:paraId="04FF5E23"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w:t>
            </w:r>
          </w:p>
        </w:tc>
      </w:tr>
      <w:tr w:rsidR="00E6654B" w:rsidRPr="00E6654B" w14:paraId="4410FA36" w14:textId="77777777" w:rsidTr="00E6654B">
        <w:trPr>
          <w:trHeight w:val="240"/>
        </w:trPr>
        <w:tc>
          <w:tcPr>
            <w:tcW w:w="1112" w:type="pct"/>
            <w:vMerge/>
            <w:tcBorders>
              <w:top w:val="single" w:sz="4" w:space="0" w:color="auto"/>
              <w:left w:val="single" w:sz="4" w:space="0" w:color="auto"/>
              <w:bottom w:val="single" w:sz="4" w:space="0" w:color="000000"/>
              <w:right w:val="single" w:sz="4" w:space="0" w:color="auto"/>
            </w:tcBorders>
            <w:vAlign w:val="center"/>
            <w:hideMark/>
          </w:tcPr>
          <w:p w14:paraId="2F411A6F" w14:textId="77777777" w:rsidR="00E6654B" w:rsidRPr="00E6654B" w:rsidRDefault="00E6654B" w:rsidP="00E6654B">
            <w:pPr>
              <w:spacing w:after="0" w:line="240" w:lineRule="auto"/>
              <w:rPr>
                <w:rFonts w:ascii="Calibri" w:eastAsia="Times New Roman" w:hAnsi="Calibri" w:cs="Times New Roman"/>
                <w:b/>
                <w:bCs/>
                <w:color w:val="000000"/>
                <w:sz w:val="18"/>
                <w:szCs w:val="18"/>
                <w:lang w:eastAsia="hr-HR"/>
              </w:rPr>
            </w:pPr>
          </w:p>
        </w:tc>
        <w:tc>
          <w:tcPr>
            <w:tcW w:w="789" w:type="pct"/>
            <w:tcBorders>
              <w:top w:val="nil"/>
              <w:left w:val="nil"/>
              <w:bottom w:val="single" w:sz="4" w:space="0" w:color="auto"/>
              <w:right w:val="single" w:sz="4" w:space="0" w:color="auto"/>
            </w:tcBorders>
            <w:shd w:val="clear" w:color="000000" w:fill="D9D9D9"/>
            <w:vAlign w:val="bottom"/>
            <w:hideMark/>
          </w:tcPr>
          <w:p w14:paraId="6F9FE372"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Promet</w:t>
            </w:r>
          </w:p>
        </w:tc>
        <w:tc>
          <w:tcPr>
            <w:tcW w:w="575" w:type="pct"/>
            <w:tcBorders>
              <w:top w:val="nil"/>
              <w:left w:val="nil"/>
              <w:bottom w:val="single" w:sz="4" w:space="0" w:color="auto"/>
              <w:right w:val="single" w:sz="4" w:space="0" w:color="auto"/>
            </w:tcBorders>
            <w:shd w:val="clear" w:color="000000" w:fill="D9D9D9"/>
            <w:vAlign w:val="bottom"/>
            <w:hideMark/>
          </w:tcPr>
          <w:p w14:paraId="63E5856C"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Javna rasvjeta</w:t>
            </w:r>
          </w:p>
        </w:tc>
        <w:tc>
          <w:tcPr>
            <w:tcW w:w="680" w:type="pct"/>
            <w:tcBorders>
              <w:top w:val="nil"/>
              <w:left w:val="nil"/>
              <w:bottom w:val="single" w:sz="4" w:space="0" w:color="auto"/>
              <w:right w:val="single" w:sz="4" w:space="0" w:color="auto"/>
            </w:tcBorders>
            <w:shd w:val="clear" w:color="000000" w:fill="D9D9D9"/>
            <w:noWrap/>
            <w:vAlign w:val="bottom"/>
            <w:hideMark/>
          </w:tcPr>
          <w:p w14:paraId="773C678F"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Zgradarstvo</w:t>
            </w:r>
          </w:p>
        </w:tc>
        <w:tc>
          <w:tcPr>
            <w:tcW w:w="956" w:type="pct"/>
            <w:tcBorders>
              <w:top w:val="nil"/>
              <w:left w:val="nil"/>
              <w:bottom w:val="single" w:sz="4" w:space="0" w:color="auto"/>
              <w:right w:val="single" w:sz="4" w:space="0" w:color="auto"/>
            </w:tcBorders>
            <w:shd w:val="clear" w:color="000000" w:fill="D9D9D9"/>
            <w:noWrap/>
            <w:vAlign w:val="bottom"/>
            <w:hideMark/>
          </w:tcPr>
          <w:p w14:paraId="635DC54B"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Ukupno po energentima</w:t>
            </w:r>
          </w:p>
        </w:tc>
        <w:tc>
          <w:tcPr>
            <w:tcW w:w="888" w:type="pct"/>
            <w:tcBorders>
              <w:top w:val="nil"/>
              <w:left w:val="nil"/>
              <w:bottom w:val="single" w:sz="4" w:space="0" w:color="auto"/>
              <w:right w:val="single" w:sz="4" w:space="0" w:color="auto"/>
            </w:tcBorders>
            <w:shd w:val="clear" w:color="000000" w:fill="D9D9D9"/>
            <w:vAlign w:val="bottom"/>
            <w:hideMark/>
          </w:tcPr>
          <w:p w14:paraId="1F66C143"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Udio po energentima</w:t>
            </w:r>
          </w:p>
        </w:tc>
      </w:tr>
      <w:tr w:rsidR="00E6654B" w:rsidRPr="00E6654B" w14:paraId="5F00A654"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5A5BBF69"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Dizel</w:t>
            </w:r>
          </w:p>
        </w:tc>
        <w:tc>
          <w:tcPr>
            <w:tcW w:w="789" w:type="pct"/>
            <w:tcBorders>
              <w:top w:val="nil"/>
              <w:left w:val="nil"/>
              <w:bottom w:val="single" w:sz="4" w:space="0" w:color="auto"/>
              <w:right w:val="single" w:sz="4" w:space="0" w:color="auto"/>
            </w:tcBorders>
            <w:shd w:val="clear" w:color="auto" w:fill="auto"/>
            <w:noWrap/>
            <w:vAlign w:val="bottom"/>
            <w:hideMark/>
          </w:tcPr>
          <w:p w14:paraId="0CCAF82A" w14:textId="11C53CC1"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9 </w:t>
            </w:r>
            <w:r w:rsidR="00E6654B" w:rsidRPr="00E6654B">
              <w:rPr>
                <w:rFonts w:ascii="Calibri" w:eastAsia="Times New Roman" w:hAnsi="Calibri" w:cs="Times New Roman"/>
                <w:color w:val="000000"/>
                <w:sz w:val="18"/>
                <w:szCs w:val="18"/>
                <w:lang w:eastAsia="hr-HR"/>
              </w:rPr>
              <w:t>079,38</w:t>
            </w:r>
          </w:p>
        </w:tc>
        <w:tc>
          <w:tcPr>
            <w:tcW w:w="575" w:type="pct"/>
            <w:tcBorders>
              <w:top w:val="nil"/>
              <w:left w:val="nil"/>
              <w:bottom w:val="single" w:sz="4" w:space="0" w:color="auto"/>
              <w:right w:val="single" w:sz="4" w:space="0" w:color="auto"/>
            </w:tcBorders>
            <w:shd w:val="clear" w:color="auto" w:fill="auto"/>
            <w:noWrap/>
            <w:vAlign w:val="bottom"/>
            <w:hideMark/>
          </w:tcPr>
          <w:p w14:paraId="619F0EA4"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2E0189F0"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956" w:type="pct"/>
            <w:tcBorders>
              <w:top w:val="nil"/>
              <w:left w:val="nil"/>
              <w:bottom w:val="single" w:sz="4" w:space="0" w:color="auto"/>
              <w:right w:val="single" w:sz="4" w:space="0" w:color="auto"/>
            </w:tcBorders>
            <w:shd w:val="clear" w:color="auto" w:fill="auto"/>
            <w:noWrap/>
            <w:vAlign w:val="bottom"/>
            <w:hideMark/>
          </w:tcPr>
          <w:p w14:paraId="0C15864C" w14:textId="00123836"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9 </w:t>
            </w:r>
            <w:r w:rsidR="00E6654B" w:rsidRPr="00E6654B">
              <w:rPr>
                <w:rFonts w:ascii="Calibri" w:eastAsia="Times New Roman" w:hAnsi="Calibri" w:cs="Times New Roman"/>
                <w:color w:val="000000"/>
                <w:sz w:val="18"/>
                <w:szCs w:val="18"/>
                <w:lang w:eastAsia="hr-HR"/>
              </w:rPr>
              <w:t>079,38</w:t>
            </w:r>
          </w:p>
        </w:tc>
        <w:tc>
          <w:tcPr>
            <w:tcW w:w="888" w:type="pct"/>
            <w:tcBorders>
              <w:top w:val="nil"/>
              <w:left w:val="nil"/>
              <w:bottom w:val="single" w:sz="4" w:space="0" w:color="auto"/>
              <w:right w:val="single" w:sz="4" w:space="0" w:color="auto"/>
            </w:tcBorders>
            <w:shd w:val="clear" w:color="auto" w:fill="auto"/>
            <w:vAlign w:val="bottom"/>
            <w:hideMark/>
          </w:tcPr>
          <w:p w14:paraId="30CDB760"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20,97%</w:t>
            </w:r>
          </w:p>
        </w:tc>
      </w:tr>
      <w:tr w:rsidR="00E6654B" w:rsidRPr="00E6654B" w14:paraId="0201C201"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36F9D728"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Motorni benzin</w:t>
            </w:r>
          </w:p>
        </w:tc>
        <w:tc>
          <w:tcPr>
            <w:tcW w:w="789" w:type="pct"/>
            <w:tcBorders>
              <w:top w:val="nil"/>
              <w:left w:val="nil"/>
              <w:bottom w:val="single" w:sz="4" w:space="0" w:color="auto"/>
              <w:right w:val="single" w:sz="4" w:space="0" w:color="auto"/>
            </w:tcBorders>
            <w:shd w:val="clear" w:color="auto" w:fill="auto"/>
            <w:noWrap/>
            <w:vAlign w:val="bottom"/>
            <w:hideMark/>
          </w:tcPr>
          <w:p w14:paraId="29BFEFED" w14:textId="1D3CADA1"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5 </w:t>
            </w:r>
            <w:r w:rsidR="00E6654B" w:rsidRPr="00E6654B">
              <w:rPr>
                <w:rFonts w:ascii="Calibri" w:eastAsia="Times New Roman" w:hAnsi="Calibri" w:cs="Times New Roman"/>
                <w:color w:val="000000"/>
                <w:sz w:val="18"/>
                <w:szCs w:val="18"/>
                <w:lang w:eastAsia="hr-HR"/>
              </w:rPr>
              <w:t>312,56</w:t>
            </w:r>
          </w:p>
        </w:tc>
        <w:tc>
          <w:tcPr>
            <w:tcW w:w="575" w:type="pct"/>
            <w:tcBorders>
              <w:top w:val="nil"/>
              <w:left w:val="nil"/>
              <w:bottom w:val="single" w:sz="4" w:space="0" w:color="auto"/>
              <w:right w:val="single" w:sz="4" w:space="0" w:color="auto"/>
            </w:tcBorders>
            <w:shd w:val="clear" w:color="auto" w:fill="auto"/>
            <w:noWrap/>
            <w:vAlign w:val="bottom"/>
            <w:hideMark/>
          </w:tcPr>
          <w:p w14:paraId="43641B22"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7271BE7E"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956" w:type="pct"/>
            <w:tcBorders>
              <w:top w:val="nil"/>
              <w:left w:val="nil"/>
              <w:bottom w:val="single" w:sz="4" w:space="0" w:color="auto"/>
              <w:right w:val="single" w:sz="4" w:space="0" w:color="auto"/>
            </w:tcBorders>
            <w:shd w:val="clear" w:color="auto" w:fill="auto"/>
            <w:noWrap/>
            <w:vAlign w:val="bottom"/>
            <w:hideMark/>
          </w:tcPr>
          <w:p w14:paraId="10A5CB22" w14:textId="40E31C7A"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5 </w:t>
            </w:r>
            <w:r w:rsidR="00E6654B" w:rsidRPr="00E6654B">
              <w:rPr>
                <w:rFonts w:ascii="Calibri" w:eastAsia="Times New Roman" w:hAnsi="Calibri" w:cs="Times New Roman"/>
                <w:color w:val="000000"/>
                <w:sz w:val="18"/>
                <w:szCs w:val="18"/>
                <w:lang w:eastAsia="hr-HR"/>
              </w:rPr>
              <w:t>312,56</w:t>
            </w:r>
          </w:p>
        </w:tc>
        <w:tc>
          <w:tcPr>
            <w:tcW w:w="888" w:type="pct"/>
            <w:tcBorders>
              <w:top w:val="nil"/>
              <w:left w:val="nil"/>
              <w:bottom w:val="single" w:sz="4" w:space="0" w:color="auto"/>
              <w:right w:val="single" w:sz="4" w:space="0" w:color="auto"/>
            </w:tcBorders>
            <w:shd w:val="clear" w:color="auto" w:fill="auto"/>
            <w:vAlign w:val="bottom"/>
            <w:hideMark/>
          </w:tcPr>
          <w:p w14:paraId="436E856F"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12,27%</w:t>
            </w:r>
          </w:p>
        </w:tc>
      </w:tr>
      <w:tr w:rsidR="00E6654B" w:rsidRPr="00E6654B" w14:paraId="1907A2E4"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187C4934"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LPG</w:t>
            </w:r>
          </w:p>
        </w:tc>
        <w:tc>
          <w:tcPr>
            <w:tcW w:w="789" w:type="pct"/>
            <w:tcBorders>
              <w:top w:val="nil"/>
              <w:left w:val="nil"/>
              <w:bottom w:val="single" w:sz="4" w:space="0" w:color="auto"/>
              <w:right w:val="single" w:sz="4" w:space="0" w:color="auto"/>
            </w:tcBorders>
            <w:shd w:val="clear" w:color="auto" w:fill="auto"/>
            <w:noWrap/>
            <w:vAlign w:val="bottom"/>
            <w:hideMark/>
          </w:tcPr>
          <w:p w14:paraId="73110324"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444,73</w:t>
            </w:r>
          </w:p>
        </w:tc>
        <w:tc>
          <w:tcPr>
            <w:tcW w:w="575" w:type="pct"/>
            <w:tcBorders>
              <w:top w:val="nil"/>
              <w:left w:val="nil"/>
              <w:bottom w:val="single" w:sz="4" w:space="0" w:color="auto"/>
              <w:right w:val="single" w:sz="4" w:space="0" w:color="auto"/>
            </w:tcBorders>
            <w:shd w:val="clear" w:color="auto" w:fill="auto"/>
            <w:noWrap/>
            <w:vAlign w:val="bottom"/>
            <w:hideMark/>
          </w:tcPr>
          <w:p w14:paraId="6EB27635"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4F6DD274"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261,80</w:t>
            </w:r>
          </w:p>
        </w:tc>
        <w:tc>
          <w:tcPr>
            <w:tcW w:w="956" w:type="pct"/>
            <w:tcBorders>
              <w:top w:val="nil"/>
              <w:left w:val="nil"/>
              <w:bottom w:val="single" w:sz="4" w:space="0" w:color="auto"/>
              <w:right w:val="single" w:sz="4" w:space="0" w:color="auto"/>
            </w:tcBorders>
            <w:shd w:val="clear" w:color="auto" w:fill="auto"/>
            <w:noWrap/>
            <w:vAlign w:val="bottom"/>
            <w:hideMark/>
          </w:tcPr>
          <w:p w14:paraId="432F8814"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706,53</w:t>
            </w:r>
          </w:p>
        </w:tc>
        <w:tc>
          <w:tcPr>
            <w:tcW w:w="888" w:type="pct"/>
            <w:tcBorders>
              <w:top w:val="nil"/>
              <w:left w:val="nil"/>
              <w:bottom w:val="single" w:sz="4" w:space="0" w:color="auto"/>
              <w:right w:val="single" w:sz="4" w:space="0" w:color="auto"/>
            </w:tcBorders>
            <w:shd w:val="clear" w:color="auto" w:fill="auto"/>
            <w:vAlign w:val="bottom"/>
            <w:hideMark/>
          </w:tcPr>
          <w:p w14:paraId="11843C3D"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1,63%</w:t>
            </w:r>
          </w:p>
        </w:tc>
      </w:tr>
      <w:tr w:rsidR="00E6654B" w:rsidRPr="00E6654B" w14:paraId="40F3259F"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5500B72E"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SPP</w:t>
            </w:r>
          </w:p>
        </w:tc>
        <w:tc>
          <w:tcPr>
            <w:tcW w:w="789" w:type="pct"/>
            <w:tcBorders>
              <w:top w:val="nil"/>
              <w:left w:val="nil"/>
              <w:bottom w:val="single" w:sz="4" w:space="0" w:color="auto"/>
              <w:right w:val="single" w:sz="4" w:space="0" w:color="auto"/>
            </w:tcBorders>
            <w:shd w:val="clear" w:color="auto" w:fill="auto"/>
            <w:noWrap/>
            <w:vAlign w:val="bottom"/>
            <w:hideMark/>
          </w:tcPr>
          <w:p w14:paraId="17803BF3"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109,88</w:t>
            </w:r>
          </w:p>
        </w:tc>
        <w:tc>
          <w:tcPr>
            <w:tcW w:w="575" w:type="pct"/>
            <w:tcBorders>
              <w:top w:val="nil"/>
              <w:left w:val="nil"/>
              <w:bottom w:val="single" w:sz="4" w:space="0" w:color="auto"/>
              <w:right w:val="single" w:sz="4" w:space="0" w:color="auto"/>
            </w:tcBorders>
            <w:shd w:val="clear" w:color="auto" w:fill="auto"/>
            <w:noWrap/>
            <w:vAlign w:val="bottom"/>
            <w:hideMark/>
          </w:tcPr>
          <w:p w14:paraId="2D88A3C2"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6DFF1214"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956" w:type="pct"/>
            <w:tcBorders>
              <w:top w:val="nil"/>
              <w:left w:val="nil"/>
              <w:bottom w:val="single" w:sz="4" w:space="0" w:color="auto"/>
              <w:right w:val="single" w:sz="4" w:space="0" w:color="auto"/>
            </w:tcBorders>
            <w:shd w:val="clear" w:color="auto" w:fill="auto"/>
            <w:noWrap/>
            <w:vAlign w:val="bottom"/>
            <w:hideMark/>
          </w:tcPr>
          <w:p w14:paraId="6D6589D7"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109,88</w:t>
            </w:r>
          </w:p>
        </w:tc>
        <w:tc>
          <w:tcPr>
            <w:tcW w:w="888" w:type="pct"/>
            <w:tcBorders>
              <w:top w:val="nil"/>
              <w:left w:val="nil"/>
              <w:bottom w:val="single" w:sz="4" w:space="0" w:color="auto"/>
              <w:right w:val="single" w:sz="4" w:space="0" w:color="auto"/>
            </w:tcBorders>
            <w:shd w:val="clear" w:color="auto" w:fill="auto"/>
            <w:vAlign w:val="bottom"/>
            <w:hideMark/>
          </w:tcPr>
          <w:p w14:paraId="6B65F19E"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0,25%</w:t>
            </w:r>
          </w:p>
        </w:tc>
      </w:tr>
      <w:tr w:rsidR="00E6654B" w:rsidRPr="00E6654B" w14:paraId="15E91FBA"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4AF71BE7"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Električna energija</w:t>
            </w:r>
          </w:p>
        </w:tc>
        <w:tc>
          <w:tcPr>
            <w:tcW w:w="789" w:type="pct"/>
            <w:tcBorders>
              <w:top w:val="nil"/>
              <w:left w:val="nil"/>
              <w:bottom w:val="single" w:sz="4" w:space="0" w:color="auto"/>
              <w:right w:val="single" w:sz="4" w:space="0" w:color="auto"/>
            </w:tcBorders>
            <w:shd w:val="clear" w:color="auto" w:fill="auto"/>
            <w:noWrap/>
            <w:vAlign w:val="bottom"/>
            <w:hideMark/>
          </w:tcPr>
          <w:p w14:paraId="04F65047"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255,56</w:t>
            </w:r>
          </w:p>
        </w:tc>
        <w:tc>
          <w:tcPr>
            <w:tcW w:w="575" w:type="pct"/>
            <w:tcBorders>
              <w:top w:val="nil"/>
              <w:left w:val="nil"/>
              <w:bottom w:val="single" w:sz="4" w:space="0" w:color="auto"/>
              <w:right w:val="single" w:sz="4" w:space="0" w:color="auto"/>
            </w:tcBorders>
            <w:shd w:val="clear" w:color="auto" w:fill="auto"/>
            <w:noWrap/>
            <w:vAlign w:val="bottom"/>
            <w:hideMark/>
          </w:tcPr>
          <w:p w14:paraId="787261B9"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292,66</w:t>
            </w:r>
          </w:p>
        </w:tc>
        <w:tc>
          <w:tcPr>
            <w:tcW w:w="680" w:type="pct"/>
            <w:tcBorders>
              <w:top w:val="nil"/>
              <w:left w:val="nil"/>
              <w:bottom w:val="single" w:sz="4" w:space="0" w:color="auto"/>
              <w:right w:val="single" w:sz="4" w:space="0" w:color="auto"/>
            </w:tcBorders>
            <w:shd w:val="clear" w:color="auto" w:fill="auto"/>
            <w:noWrap/>
            <w:vAlign w:val="bottom"/>
            <w:hideMark/>
          </w:tcPr>
          <w:p w14:paraId="571BDD4F" w14:textId="79CD3F13"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7 </w:t>
            </w:r>
            <w:r w:rsidR="00E6654B" w:rsidRPr="00E6654B">
              <w:rPr>
                <w:rFonts w:ascii="Calibri" w:eastAsia="Times New Roman" w:hAnsi="Calibri" w:cs="Times New Roman"/>
                <w:color w:val="000000"/>
                <w:sz w:val="18"/>
                <w:szCs w:val="18"/>
                <w:lang w:eastAsia="hr-HR"/>
              </w:rPr>
              <w:t>205,84</w:t>
            </w:r>
          </w:p>
        </w:tc>
        <w:tc>
          <w:tcPr>
            <w:tcW w:w="956" w:type="pct"/>
            <w:tcBorders>
              <w:top w:val="nil"/>
              <w:left w:val="nil"/>
              <w:bottom w:val="single" w:sz="4" w:space="0" w:color="auto"/>
              <w:right w:val="single" w:sz="4" w:space="0" w:color="auto"/>
            </w:tcBorders>
            <w:shd w:val="clear" w:color="auto" w:fill="auto"/>
            <w:noWrap/>
            <w:vAlign w:val="bottom"/>
            <w:hideMark/>
          </w:tcPr>
          <w:p w14:paraId="6305F724" w14:textId="2460E8AC"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7 </w:t>
            </w:r>
            <w:r w:rsidR="00E6654B" w:rsidRPr="00E6654B">
              <w:rPr>
                <w:rFonts w:ascii="Calibri" w:eastAsia="Times New Roman" w:hAnsi="Calibri" w:cs="Times New Roman"/>
                <w:color w:val="000000"/>
                <w:sz w:val="18"/>
                <w:szCs w:val="18"/>
                <w:lang w:eastAsia="hr-HR"/>
              </w:rPr>
              <w:t>754,05</w:t>
            </w:r>
          </w:p>
        </w:tc>
        <w:tc>
          <w:tcPr>
            <w:tcW w:w="888" w:type="pct"/>
            <w:tcBorders>
              <w:top w:val="nil"/>
              <w:left w:val="nil"/>
              <w:bottom w:val="single" w:sz="4" w:space="0" w:color="auto"/>
              <w:right w:val="single" w:sz="4" w:space="0" w:color="auto"/>
            </w:tcBorders>
            <w:shd w:val="clear" w:color="auto" w:fill="auto"/>
            <w:vAlign w:val="bottom"/>
            <w:hideMark/>
          </w:tcPr>
          <w:p w14:paraId="76E6F8F1"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17,91%</w:t>
            </w:r>
          </w:p>
        </w:tc>
      </w:tr>
      <w:tr w:rsidR="00E6654B" w:rsidRPr="00E6654B" w14:paraId="1FD1E7F7"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2B72E4E2"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Lož ulje</w:t>
            </w:r>
          </w:p>
        </w:tc>
        <w:tc>
          <w:tcPr>
            <w:tcW w:w="789" w:type="pct"/>
            <w:tcBorders>
              <w:top w:val="nil"/>
              <w:left w:val="nil"/>
              <w:bottom w:val="single" w:sz="4" w:space="0" w:color="auto"/>
              <w:right w:val="single" w:sz="4" w:space="0" w:color="auto"/>
            </w:tcBorders>
            <w:shd w:val="clear" w:color="auto" w:fill="auto"/>
            <w:noWrap/>
            <w:vAlign w:val="bottom"/>
            <w:hideMark/>
          </w:tcPr>
          <w:p w14:paraId="71C3826C"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575" w:type="pct"/>
            <w:tcBorders>
              <w:top w:val="nil"/>
              <w:left w:val="nil"/>
              <w:bottom w:val="single" w:sz="4" w:space="0" w:color="auto"/>
              <w:right w:val="single" w:sz="4" w:space="0" w:color="auto"/>
            </w:tcBorders>
            <w:shd w:val="clear" w:color="auto" w:fill="auto"/>
            <w:noWrap/>
            <w:vAlign w:val="bottom"/>
            <w:hideMark/>
          </w:tcPr>
          <w:p w14:paraId="746F5EA5"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6F8ED20E"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824,40</w:t>
            </w:r>
          </w:p>
        </w:tc>
        <w:tc>
          <w:tcPr>
            <w:tcW w:w="956" w:type="pct"/>
            <w:tcBorders>
              <w:top w:val="nil"/>
              <w:left w:val="nil"/>
              <w:bottom w:val="single" w:sz="4" w:space="0" w:color="auto"/>
              <w:right w:val="single" w:sz="4" w:space="0" w:color="auto"/>
            </w:tcBorders>
            <w:shd w:val="clear" w:color="auto" w:fill="auto"/>
            <w:noWrap/>
            <w:vAlign w:val="bottom"/>
            <w:hideMark/>
          </w:tcPr>
          <w:p w14:paraId="551D5580"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824,40</w:t>
            </w:r>
          </w:p>
        </w:tc>
        <w:tc>
          <w:tcPr>
            <w:tcW w:w="888" w:type="pct"/>
            <w:tcBorders>
              <w:top w:val="nil"/>
              <w:left w:val="nil"/>
              <w:bottom w:val="single" w:sz="4" w:space="0" w:color="auto"/>
              <w:right w:val="single" w:sz="4" w:space="0" w:color="auto"/>
            </w:tcBorders>
            <w:shd w:val="clear" w:color="auto" w:fill="auto"/>
            <w:vAlign w:val="bottom"/>
            <w:hideMark/>
          </w:tcPr>
          <w:p w14:paraId="6165F76C"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1,90%</w:t>
            </w:r>
          </w:p>
        </w:tc>
      </w:tr>
      <w:tr w:rsidR="00E6654B" w:rsidRPr="00E6654B" w14:paraId="3BEE2681"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52BCC0A0"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Prirodni plin</w:t>
            </w:r>
          </w:p>
        </w:tc>
        <w:tc>
          <w:tcPr>
            <w:tcW w:w="789" w:type="pct"/>
            <w:tcBorders>
              <w:top w:val="nil"/>
              <w:left w:val="nil"/>
              <w:bottom w:val="single" w:sz="4" w:space="0" w:color="auto"/>
              <w:right w:val="single" w:sz="4" w:space="0" w:color="auto"/>
            </w:tcBorders>
            <w:shd w:val="clear" w:color="auto" w:fill="auto"/>
            <w:noWrap/>
            <w:vAlign w:val="bottom"/>
            <w:hideMark/>
          </w:tcPr>
          <w:p w14:paraId="2E36A86C"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575" w:type="pct"/>
            <w:tcBorders>
              <w:top w:val="nil"/>
              <w:left w:val="nil"/>
              <w:bottom w:val="single" w:sz="4" w:space="0" w:color="auto"/>
              <w:right w:val="single" w:sz="4" w:space="0" w:color="auto"/>
            </w:tcBorders>
            <w:shd w:val="clear" w:color="auto" w:fill="auto"/>
            <w:noWrap/>
            <w:vAlign w:val="bottom"/>
            <w:hideMark/>
          </w:tcPr>
          <w:p w14:paraId="01E7F91A"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10,42</w:t>
            </w:r>
          </w:p>
        </w:tc>
        <w:tc>
          <w:tcPr>
            <w:tcW w:w="680" w:type="pct"/>
            <w:tcBorders>
              <w:top w:val="nil"/>
              <w:left w:val="nil"/>
              <w:bottom w:val="single" w:sz="4" w:space="0" w:color="auto"/>
              <w:right w:val="single" w:sz="4" w:space="0" w:color="auto"/>
            </w:tcBorders>
            <w:shd w:val="clear" w:color="auto" w:fill="auto"/>
            <w:noWrap/>
            <w:vAlign w:val="bottom"/>
            <w:hideMark/>
          </w:tcPr>
          <w:p w14:paraId="3B4C00F6" w14:textId="5E6FAFE0"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10 </w:t>
            </w:r>
            <w:r w:rsidR="00E6654B" w:rsidRPr="00E6654B">
              <w:rPr>
                <w:rFonts w:ascii="Calibri" w:eastAsia="Times New Roman" w:hAnsi="Calibri" w:cs="Times New Roman"/>
                <w:color w:val="000000"/>
                <w:sz w:val="18"/>
                <w:szCs w:val="18"/>
                <w:lang w:eastAsia="hr-HR"/>
              </w:rPr>
              <w:t>949,53</w:t>
            </w:r>
          </w:p>
        </w:tc>
        <w:tc>
          <w:tcPr>
            <w:tcW w:w="956" w:type="pct"/>
            <w:tcBorders>
              <w:top w:val="nil"/>
              <w:left w:val="nil"/>
              <w:bottom w:val="single" w:sz="4" w:space="0" w:color="auto"/>
              <w:right w:val="single" w:sz="4" w:space="0" w:color="auto"/>
            </w:tcBorders>
            <w:shd w:val="clear" w:color="auto" w:fill="auto"/>
            <w:noWrap/>
            <w:vAlign w:val="bottom"/>
            <w:hideMark/>
          </w:tcPr>
          <w:p w14:paraId="6DCD9EC8" w14:textId="2114C98A"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10 </w:t>
            </w:r>
            <w:r w:rsidR="00E6654B" w:rsidRPr="00E6654B">
              <w:rPr>
                <w:rFonts w:ascii="Calibri" w:eastAsia="Times New Roman" w:hAnsi="Calibri" w:cs="Times New Roman"/>
                <w:color w:val="000000"/>
                <w:sz w:val="18"/>
                <w:szCs w:val="18"/>
                <w:lang w:eastAsia="hr-HR"/>
              </w:rPr>
              <w:t>959,95</w:t>
            </w:r>
          </w:p>
        </w:tc>
        <w:tc>
          <w:tcPr>
            <w:tcW w:w="888" w:type="pct"/>
            <w:tcBorders>
              <w:top w:val="nil"/>
              <w:left w:val="nil"/>
              <w:bottom w:val="single" w:sz="4" w:space="0" w:color="auto"/>
              <w:right w:val="single" w:sz="4" w:space="0" w:color="auto"/>
            </w:tcBorders>
            <w:shd w:val="clear" w:color="auto" w:fill="auto"/>
            <w:vAlign w:val="bottom"/>
            <w:hideMark/>
          </w:tcPr>
          <w:p w14:paraId="04513F18"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25,31%</w:t>
            </w:r>
          </w:p>
        </w:tc>
      </w:tr>
      <w:tr w:rsidR="00E6654B" w:rsidRPr="00E6654B" w14:paraId="5CF01F6D"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3A47F1D7"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Ogrjevno drvo</w:t>
            </w:r>
          </w:p>
        </w:tc>
        <w:tc>
          <w:tcPr>
            <w:tcW w:w="789" w:type="pct"/>
            <w:tcBorders>
              <w:top w:val="nil"/>
              <w:left w:val="nil"/>
              <w:bottom w:val="single" w:sz="4" w:space="0" w:color="auto"/>
              <w:right w:val="single" w:sz="4" w:space="0" w:color="auto"/>
            </w:tcBorders>
            <w:shd w:val="clear" w:color="auto" w:fill="auto"/>
            <w:noWrap/>
            <w:vAlign w:val="bottom"/>
            <w:hideMark/>
          </w:tcPr>
          <w:p w14:paraId="751589D0"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575" w:type="pct"/>
            <w:tcBorders>
              <w:top w:val="nil"/>
              <w:left w:val="nil"/>
              <w:bottom w:val="single" w:sz="4" w:space="0" w:color="auto"/>
              <w:right w:val="single" w:sz="4" w:space="0" w:color="auto"/>
            </w:tcBorders>
            <w:shd w:val="clear" w:color="auto" w:fill="auto"/>
            <w:noWrap/>
            <w:vAlign w:val="bottom"/>
            <w:hideMark/>
          </w:tcPr>
          <w:p w14:paraId="5654E00E"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11245DB8" w14:textId="784876A7"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2 </w:t>
            </w:r>
            <w:r w:rsidR="00E6654B" w:rsidRPr="00E6654B">
              <w:rPr>
                <w:rFonts w:ascii="Calibri" w:eastAsia="Times New Roman" w:hAnsi="Calibri" w:cs="Times New Roman"/>
                <w:color w:val="000000"/>
                <w:sz w:val="18"/>
                <w:szCs w:val="18"/>
                <w:lang w:eastAsia="hr-HR"/>
              </w:rPr>
              <w:t>517,50</w:t>
            </w:r>
          </w:p>
        </w:tc>
        <w:tc>
          <w:tcPr>
            <w:tcW w:w="956" w:type="pct"/>
            <w:tcBorders>
              <w:top w:val="nil"/>
              <w:left w:val="nil"/>
              <w:bottom w:val="single" w:sz="4" w:space="0" w:color="auto"/>
              <w:right w:val="single" w:sz="4" w:space="0" w:color="auto"/>
            </w:tcBorders>
            <w:shd w:val="clear" w:color="auto" w:fill="auto"/>
            <w:noWrap/>
            <w:vAlign w:val="bottom"/>
            <w:hideMark/>
          </w:tcPr>
          <w:p w14:paraId="3B2C0D26" w14:textId="0810895C"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2 </w:t>
            </w:r>
            <w:r w:rsidR="00E6654B" w:rsidRPr="00E6654B">
              <w:rPr>
                <w:rFonts w:ascii="Calibri" w:eastAsia="Times New Roman" w:hAnsi="Calibri" w:cs="Times New Roman"/>
                <w:color w:val="000000"/>
                <w:sz w:val="18"/>
                <w:szCs w:val="18"/>
                <w:lang w:eastAsia="hr-HR"/>
              </w:rPr>
              <w:t>517,50</w:t>
            </w:r>
          </w:p>
        </w:tc>
        <w:tc>
          <w:tcPr>
            <w:tcW w:w="888" w:type="pct"/>
            <w:tcBorders>
              <w:top w:val="nil"/>
              <w:left w:val="nil"/>
              <w:bottom w:val="single" w:sz="4" w:space="0" w:color="auto"/>
              <w:right w:val="single" w:sz="4" w:space="0" w:color="auto"/>
            </w:tcBorders>
            <w:shd w:val="clear" w:color="auto" w:fill="auto"/>
            <w:vAlign w:val="bottom"/>
            <w:hideMark/>
          </w:tcPr>
          <w:p w14:paraId="24013237"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5,81%</w:t>
            </w:r>
          </w:p>
        </w:tc>
      </w:tr>
      <w:tr w:rsidR="00E6654B" w:rsidRPr="00E6654B" w14:paraId="085E842E"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02F28253"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Toplana</w:t>
            </w:r>
          </w:p>
        </w:tc>
        <w:tc>
          <w:tcPr>
            <w:tcW w:w="789" w:type="pct"/>
            <w:tcBorders>
              <w:top w:val="nil"/>
              <w:left w:val="nil"/>
              <w:bottom w:val="single" w:sz="4" w:space="0" w:color="auto"/>
              <w:right w:val="single" w:sz="4" w:space="0" w:color="auto"/>
            </w:tcBorders>
            <w:shd w:val="clear" w:color="auto" w:fill="auto"/>
            <w:noWrap/>
            <w:vAlign w:val="bottom"/>
            <w:hideMark/>
          </w:tcPr>
          <w:p w14:paraId="2C7E68F2"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575" w:type="pct"/>
            <w:tcBorders>
              <w:top w:val="nil"/>
              <w:left w:val="nil"/>
              <w:bottom w:val="single" w:sz="4" w:space="0" w:color="auto"/>
              <w:right w:val="single" w:sz="4" w:space="0" w:color="auto"/>
            </w:tcBorders>
            <w:shd w:val="clear" w:color="auto" w:fill="auto"/>
            <w:noWrap/>
            <w:vAlign w:val="bottom"/>
            <w:hideMark/>
          </w:tcPr>
          <w:p w14:paraId="088CC7A3"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1BD379C8" w14:textId="3B64A881"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5 </w:t>
            </w:r>
            <w:r w:rsidR="00E6654B" w:rsidRPr="00E6654B">
              <w:rPr>
                <w:rFonts w:ascii="Calibri" w:eastAsia="Times New Roman" w:hAnsi="Calibri" w:cs="Times New Roman"/>
                <w:color w:val="000000"/>
                <w:sz w:val="18"/>
                <w:szCs w:val="18"/>
                <w:lang w:eastAsia="hr-HR"/>
              </w:rPr>
              <w:t>842,35</w:t>
            </w:r>
          </w:p>
        </w:tc>
        <w:tc>
          <w:tcPr>
            <w:tcW w:w="956" w:type="pct"/>
            <w:tcBorders>
              <w:top w:val="nil"/>
              <w:left w:val="nil"/>
              <w:bottom w:val="single" w:sz="4" w:space="0" w:color="auto"/>
              <w:right w:val="single" w:sz="4" w:space="0" w:color="auto"/>
            </w:tcBorders>
            <w:shd w:val="clear" w:color="auto" w:fill="auto"/>
            <w:noWrap/>
            <w:vAlign w:val="bottom"/>
            <w:hideMark/>
          </w:tcPr>
          <w:p w14:paraId="1AF39EA9" w14:textId="6758E42C" w:rsidR="00E6654B" w:rsidRPr="00E6654B" w:rsidRDefault="001D3D58" w:rsidP="00E6654B">
            <w:pPr>
              <w:spacing w:after="0" w:line="240" w:lineRule="auto"/>
              <w:jc w:val="center"/>
              <w:rPr>
                <w:rFonts w:ascii="Calibri" w:eastAsia="Times New Roman" w:hAnsi="Calibri" w:cs="Times New Roman"/>
                <w:color w:val="000000"/>
                <w:sz w:val="18"/>
                <w:szCs w:val="18"/>
                <w:lang w:eastAsia="hr-HR"/>
              </w:rPr>
            </w:pPr>
            <w:r>
              <w:rPr>
                <w:rFonts w:ascii="Calibri" w:eastAsia="Times New Roman" w:hAnsi="Calibri" w:cs="Times New Roman"/>
                <w:color w:val="000000"/>
                <w:sz w:val="18"/>
                <w:szCs w:val="18"/>
                <w:lang w:eastAsia="hr-HR"/>
              </w:rPr>
              <w:t xml:space="preserve">5 </w:t>
            </w:r>
            <w:r w:rsidR="00E6654B" w:rsidRPr="00E6654B">
              <w:rPr>
                <w:rFonts w:ascii="Calibri" w:eastAsia="Times New Roman" w:hAnsi="Calibri" w:cs="Times New Roman"/>
                <w:color w:val="000000"/>
                <w:sz w:val="18"/>
                <w:szCs w:val="18"/>
                <w:lang w:eastAsia="hr-HR"/>
              </w:rPr>
              <w:t>842,35</w:t>
            </w:r>
          </w:p>
        </w:tc>
        <w:tc>
          <w:tcPr>
            <w:tcW w:w="888" w:type="pct"/>
            <w:tcBorders>
              <w:top w:val="nil"/>
              <w:left w:val="nil"/>
              <w:bottom w:val="single" w:sz="4" w:space="0" w:color="auto"/>
              <w:right w:val="single" w:sz="4" w:space="0" w:color="auto"/>
            </w:tcBorders>
            <w:shd w:val="clear" w:color="auto" w:fill="auto"/>
            <w:vAlign w:val="bottom"/>
            <w:hideMark/>
          </w:tcPr>
          <w:p w14:paraId="0F1A8B4B"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13,49%</w:t>
            </w:r>
          </w:p>
        </w:tc>
      </w:tr>
      <w:tr w:rsidR="00E6654B" w:rsidRPr="00E6654B" w14:paraId="3760D697"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2D019A93"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Plinske boce</w:t>
            </w:r>
          </w:p>
        </w:tc>
        <w:tc>
          <w:tcPr>
            <w:tcW w:w="789" w:type="pct"/>
            <w:tcBorders>
              <w:top w:val="nil"/>
              <w:left w:val="nil"/>
              <w:bottom w:val="single" w:sz="4" w:space="0" w:color="auto"/>
              <w:right w:val="single" w:sz="4" w:space="0" w:color="auto"/>
            </w:tcBorders>
            <w:shd w:val="clear" w:color="auto" w:fill="auto"/>
            <w:noWrap/>
            <w:vAlign w:val="bottom"/>
            <w:hideMark/>
          </w:tcPr>
          <w:p w14:paraId="3193C648"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575" w:type="pct"/>
            <w:tcBorders>
              <w:top w:val="nil"/>
              <w:left w:val="nil"/>
              <w:bottom w:val="single" w:sz="4" w:space="0" w:color="auto"/>
              <w:right w:val="single" w:sz="4" w:space="0" w:color="auto"/>
            </w:tcBorders>
            <w:shd w:val="clear" w:color="auto" w:fill="auto"/>
            <w:noWrap/>
            <w:vAlign w:val="bottom"/>
            <w:hideMark/>
          </w:tcPr>
          <w:p w14:paraId="0D2A7992"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31869F78"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29,56</w:t>
            </w:r>
          </w:p>
        </w:tc>
        <w:tc>
          <w:tcPr>
            <w:tcW w:w="956" w:type="pct"/>
            <w:tcBorders>
              <w:top w:val="nil"/>
              <w:left w:val="nil"/>
              <w:bottom w:val="single" w:sz="4" w:space="0" w:color="auto"/>
              <w:right w:val="single" w:sz="4" w:space="0" w:color="auto"/>
            </w:tcBorders>
            <w:shd w:val="clear" w:color="auto" w:fill="auto"/>
            <w:noWrap/>
            <w:vAlign w:val="bottom"/>
            <w:hideMark/>
          </w:tcPr>
          <w:p w14:paraId="14A098BC"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29,56</w:t>
            </w:r>
          </w:p>
        </w:tc>
        <w:tc>
          <w:tcPr>
            <w:tcW w:w="888" w:type="pct"/>
            <w:tcBorders>
              <w:top w:val="nil"/>
              <w:left w:val="nil"/>
              <w:bottom w:val="single" w:sz="4" w:space="0" w:color="auto"/>
              <w:right w:val="single" w:sz="4" w:space="0" w:color="auto"/>
            </w:tcBorders>
            <w:shd w:val="clear" w:color="auto" w:fill="auto"/>
            <w:vAlign w:val="bottom"/>
            <w:hideMark/>
          </w:tcPr>
          <w:p w14:paraId="70102B7A"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0,07%</w:t>
            </w:r>
          </w:p>
        </w:tc>
      </w:tr>
      <w:tr w:rsidR="00E6654B" w:rsidRPr="00E6654B" w14:paraId="3C939CEF"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19152EA8"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Mrki ugljen</w:t>
            </w:r>
          </w:p>
        </w:tc>
        <w:tc>
          <w:tcPr>
            <w:tcW w:w="789" w:type="pct"/>
            <w:tcBorders>
              <w:top w:val="nil"/>
              <w:left w:val="nil"/>
              <w:bottom w:val="single" w:sz="4" w:space="0" w:color="auto"/>
              <w:right w:val="single" w:sz="4" w:space="0" w:color="auto"/>
            </w:tcBorders>
            <w:shd w:val="clear" w:color="auto" w:fill="auto"/>
            <w:noWrap/>
            <w:vAlign w:val="bottom"/>
            <w:hideMark/>
          </w:tcPr>
          <w:p w14:paraId="5CABA7AA"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575" w:type="pct"/>
            <w:tcBorders>
              <w:top w:val="nil"/>
              <w:left w:val="nil"/>
              <w:bottom w:val="single" w:sz="4" w:space="0" w:color="auto"/>
              <w:right w:val="single" w:sz="4" w:space="0" w:color="auto"/>
            </w:tcBorders>
            <w:shd w:val="clear" w:color="auto" w:fill="auto"/>
            <w:noWrap/>
            <w:vAlign w:val="bottom"/>
            <w:hideMark/>
          </w:tcPr>
          <w:p w14:paraId="404C0D48"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40A66BE8"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6,84</w:t>
            </w:r>
          </w:p>
        </w:tc>
        <w:tc>
          <w:tcPr>
            <w:tcW w:w="956" w:type="pct"/>
            <w:tcBorders>
              <w:top w:val="nil"/>
              <w:left w:val="nil"/>
              <w:bottom w:val="single" w:sz="4" w:space="0" w:color="auto"/>
              <w:right w:val="single" w:sz="4" w:space="0" w:color="auto"/>
            </w:tcBorders>
            <w:shd w:val="clear" w:color="auto" w:fill="auto"/>
            <w:noWrap/>
            <w:vAlign w:val="bottom"/>
            <w:hideMark/>
          </w:tcPr>
          <w:p w14:paraId="4B867A93"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6,84</w:t>
            </w:r>
          </w:p>
        </w:tc>
        <w:tc>
          <w:tcPr>
            <w:tcW w:w="888" w:type="pct"/>
            <w:tcBorders>
              <w:top w:val="nil"/>
              <w:left w:val="nil"/>
              <w:bottom w:val="single" w:sz="4" w:space="0" w:color="auto"/>
              <w:right w:val="single" w:sz="4" w:space="0" w:color="auto"/>
            </w:tcBorders>
            <w:shd w:val="clear" w:color="auto" w:fill="auto"/>
            <w:vAlign w:val="bottom"/>
            <w:hideMark/>
          </w:tcPr>
          <w:p w14:paraId="01192456"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0,02%</w:t>
            </w:r>
          </w:p>
        </w:tc>
      </w:tr>
      <w:tr w:rsidR="00E6654B" w:rsidRPr="00E6654B" w14:paraId="0995A956"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05F83E51"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Lignit</w:t>
            </w:r>
          </w:p>
        </w:tc>
        <w:tc>
          <w:tcPr>
            <w:tcW w:w="789" w:type="pct"/>
            <w:tcBorders>
              <w:top w:val="nil"/>
              <w:left w:val="nil"/>
              <w:bottom w:val="single" w:sz="4" w:space="0" w:color="auto"/>
              <w:right w:val="single" w:sz="4" w:space="0" w:color="auto"/>
            </w:tcBorders>
            <w:shd w:val="clear" w:color="auto" w:fill="auto"/>
            <w:noWrap/>
            <w:vAlign w:val="bottom"/>
            <w:hideMark/>
          </w:tcPr>
          <w:p w14:paraId="1F7B5EED"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575" w:type="pct"/>
            <w:tcBorders>
              <w:top w:val="nil"/>
              <w:left w:val="nil"/>
              <w:bottom w:val="single" w:sz="4" w:space="0" w:color="auto"/>
              <w:right w:val="single" w:sz="4" w:space="0" w:color="auto"/>
            </w:tcBorders>
            <w:shd w:val="clear" w:color="auto" w:fill="auto"/>
            <w:noWrap/>
            <w:vAlign w:val="bottom"/>
            <w:hideMark/>
          </w:tcPr>
          <w:p w14:paraId="5AF57819"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160D344C"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4,32</w:t>
            </w:r>
          </w:p>
        </w:tc>
        <w:tc>
          <w:tcPr>
            <w:tcW w:w="956" w:type="pct"/>
            <w:tcBorders>
              <w:top w:val="nil"/>
              <w:left w:val="nil"/>
              <w:bottom w:val="single" w:sz="4" w:space="0" w:color="auto"/>
              <w:right w:val="single" w:sz="4" w:space="0" w:color="auto"/>
            </w:tcBorders>
            <w:shd w:val="clear" w:color="auto" w:fill="auto"/>
            <w:noWrap/>
            <w:vAlign w:val="bottom"/>
            <w:hideMark/>
          </w:tcPr>
          <w:p w14:paraId="139BF997"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4,32</w:t>
            </w:r>
          </w:p>
        </w:tc>
        <w:tc>
          <w:tcPr>
            <w:tcW w:w="888" w:type="pct"/>
            <w:tcBorders>
              <w:top w:val="nil"/>
              <w:left w:val="nil"/>
              <w:bottom w:val="single" w:sz="4" w:space="0" w:color="auto"/>
              <w:right w:val="single" w:sz="4" w:space="0" w:color="auto"/>
            </w:tcBorders>
            <w:shd w:val="clear" w:color="auto" w:fill="auto"/>
            <w:vAlign w:val="bottom"/>
            <w:hideMark/>
          </w:tcPr>
          <w:p w14:paraId="61C2CF40"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0,01%</w:t>
            </w:r>
          </w:p>
        </w:tc>
      </w:tr>
      <w:tr w:rsidR="00E6654B" w:rsidRPr="00E6654B" w14:paraId="11A304EA"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4D8E0EF9"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Energija Sunca</w:t>
            </w:r>
          </w:p>
        </w:tc>
        <w:tc>
          <w:tcPr>
            <w:tcW w:w="789" w:type="pct"/>
            <w:tcBorders>
              <w:top w:val="nil"/>
              <w:left w:val="nil"/>
              <w:bottom w:val="single" w:sz="4" w:space="0" w:color="auto"/>
              <w:right w:val="single" w:sz="4" w:space="0" w:color="auto"/>
            </w:tcBorders>
            <w:shd w:val="clear" w:color="auto" w:fill="auto"/>
            <w:noWrap/>
            <w:vAlign w:val="bottom"/>
            <w:hideMark/>
          </w:tcPr>
          <w:p w14:paraId="5DE15247"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575" w:type="pct"/>
            <w:tcBorders>
              <w:top w:val="nil"/>
              <w:left w:val="nil"/>
              <w:bottom w:val="single" w:sz="4" w:space="0" w:color="auto"/>
              <w:right w:val="single" w:sz="4" w:space="0" w:color="auto"/>
            </w:tcBorders>
            <w:shd w:val="clear" w:color="auto" w:fill="auto"/>
            <w:noWrap/>
            <w:vAlign w:val="bottom"/>
            <w:hideMark/>
          </w:tcPr>
          <w:p w14:paraId="281E563F"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2EDF6A4E"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90,00</w:t>
            </w:r>
          </w:p>
        </w:tc>
        <w:tc>
          <w:tcPr>
            <w:tcW w:w="956" w:type="pct"/>
            <w:tcBorders>
              <w:top w:val="nil"/>
              <w:left w:val="nil"/>
              <w:bottom w:val="single" w:sz="4" w:space="0" w:color="auto"/>
              <w:right w:val="single" w:sz="4" w:space="0" w:color="auto"/>
            </w:tcBorders>
            <w:shd w:val="clear" w:color="auto" w:fill="auto"/>
            <w:noWrap/>
            <w:vAlign w:val="bottom"/>
            <w:hideMark/>
          </w:tcPr>
          <w:p w14:paraId="4BFE0DC0"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90,00</w:t>
            </w:r>
          </w:p>
        </w:tc>
        <w:tc>
          <w:tcPr>
            <w:tcW w:w="888" w:type="pct"/>
            <w:tcBorders>
              <w:top w:val="nil"/>
              <w:left w:val="nil"/>
              <w:bottom w:val="single" w:sz="4" w:space="0" w:color="auto"/>
              <w:right w:val="single" w:sz="4" w:space="0" w:color="auto"/>
            </w:tcBorders>
            <w:shd w:val="clear" w:color="auto" w:fill="auto"/>
            <w:vAlign w:val="bottom"/>
            <w:hideMark/>
          </w:tcPr>
          <w:p w14:paraId="6C62494D"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0,21%</w:t>
            </w:r>
          </w:p>
        </w:tc>
      </w:tr>
      <w:tr w:rsidR="00E6654B" w:rsidRPr="00E6654B" w14:paraId="34454518"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360034E3"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Petrolej</w:t>
            </w:r>
          </w:p>
        </w:tc>
        <w:tc>
          <w:tcPr>
            <w:tcW w:w="789" w:type="pct"/>
            <w:tcBorders>
              <w:top w:val="nil"/>
              <w:left w:val="nil"/>
              <w:bottom w:val="single" w:sz="4" w:space="0" w:color="auto"/>
              <w:right w:val="single" w:sz="4" w:space="0" w:color="auto"/>
            </w:tcBorders>
            <w:shd w:val="clear" w:color="auto" w:fill="auto"/>
            <w:noWrap/>
            <w:vAlign w:val="bottom"/>
            <w:hideMark/>
          </w:tcPr>
          <w:p w14:paraId="40F9C4ED"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575" w:type="pct"/>
            <w:tcBorders>
              <w:top w:val="nil"/>
              <w:left w:val="nil"/>
              <w:bottom w:val="single" w:sz="4" w:space="0" w:color="auto"/>
              <w:right w:val="single" w:sz="4" w:space="0" w:color="auto"/>
            </w:tcBorders>
            <w:shd w:val="clear" w:color="auto" w:fill="auto"/>
            <w:noWrap/>
            <w:vAlign w:val="bottom"/>
            <w:hideMark/>
          </w:tcPr>
          <w:p w14:paraId="4904977B"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50342C4A"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7,74</w:t>
            </w:r>
          </w:p>
        </w:tc>
        <w:tc>
          <w:tcPr>
            <w:tcW w:w="956" w:type="pct"/>
            <w:tcBorders>
              <w:top w:val="nil"/>
              <w:left w:val="nil"/>
              <w:bottom w:val="single" w:sz="4" w:space="0" w:color="auto"/>
              <w:right w:val="single" w:sz="4" w:space="0" w:color="auto"/>
            </w:tcBorders>
            <w:shd w:val="clear" w:color="auto" w:fill="auto"/>
            <w:noWrap/>
            <w:vAlign w:val="bottom"/>
            <w:hideMark/>
          </w:tcPr>
          <w:p w14:paraId="7C93EE38"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7,74</w:t>
            </w:r>
          </w:p>
        </w:tc>
        <w:tc>
          <w:tcPr>
            <w:tcW w:w="888" w:type="pct"/>
            <w:tcBorders>
              <w:top w:val="nil"/>
              <w:left w:val="nil"/>
              <w:bottom w:val="single" w:sz="4" w:space="0" w:color="auto"/>
              <w:right w:val="single" w:sz="4" w:space="0" w:color="auto"/>
            </w:tcBorders>
            <w:shd w:val="clear" w:color="auto" w:fill="auto"/>
            <w:vAlign w:val="bottom"/>
            <w:hideMark/>
          </w:tcPr>
          <w:p w14:paraId="5226C44B"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0,02%</w:t>
            </w:r>
          </w:p>
        </w:tc>
      </w:tr>
      <w:tr w:rsidR="00E6654B" w:rsidRPr="00E6654B" w14:paraId="21E5165D"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60786702"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Geotermalna</w:t>
            </w:r>
          </w:p>
        </w:tc>
        <w:tc>
          <w:tcPr>
            <w:tcW w:w="789" w:type="pct"/>
            <w:tcBorders>
              <w:top w:val="nil"/>
              <w:left w:val="nil"/>
              <w:bottom w:val="single" w:sz="4" w:space="0" w:color="auto"/>
              <w:right w:val="single" w:sz="4" w:space="0" w:color="auto"/>
            </w:tcBorders>
            <w:shd w:val="clear" w:color="auto" w:fill="auto"/>
            <w:noWrap/>
            <w:vAlign w:val="bottom"/>
            <w:hideMark/>
          </w:tcPr>
          <w:p w14:paraId="0614A7E6"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575" w:type="pct"/>
            <w:tcBorders>
              <w:top w:val="nil"/>
              <w:left w:val="nil"/>
              <w:bottom w:val="single" w:sz="4" w:space="0" w:color="auto"/>
              <w:right w:val="single" w:sz="4" w:space="0" w:color="auto"/>
            </w:tcBorders>
            <w:shd w:val="clear" w:color="auto" w:fill="auto"/>
            <w:noWrap/>
            <w:vAlign w:val="bottom"/>
            <w:hideMark/>
          </w:tcPr>
          <w:p w14:paraId="6179D2CF"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 </w:t>
            </w:r>
          </w:p>
        </w:tc>
        <w:tc>
          <w:tcPr>
            <w:tcW w:w="680" w:type="pct"/>
            <w:tcBorders>
              <w:top w:val="nil"/>
              <w:left w:val="nil"/>
              <w:bottom w:val="single" w:sz="4" w:space="0" w:color="auto"/>
              <w:right w:val="single" w:sz="4" w:space="0" w:color="auto"/>
            </w:tcBorders>
            <w:shd w:val="clear" w:color="auto" w:fill="auto"/>
            <w:noWrap/>
            <w:vAlign w:val="bottom"/>
            <w:hideMark/>
          </w:tcPr>
          <w:p w14:paraId="19992824"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60,37</w:t>
            </w:r>
          </w:p>
        </w:tc>
        <w:tc>
          <w:tcPr>
            <w:tcW w:w="956" w:type="pct"/>
            <w:tcBorders>
              <w:top w:val="nil"/>
              <w:left w:val="nil"/>
              <w:bottom w:val="single" w:sz="4" w:space="0" w:color="auto"/>
              <w:right w:val="single" w:sz="4" w:space="0" w:color="auto"/>
            </w:tcBorders>
            <w:shd w:val="clear" w:color="auto" w:fill="auto"/>
            <w:noWrap/>
            <w:vAlign w:val="bottom"/>
            <w:hideMark/>
          </w:tcPr>
          <w:p w14:paraId="23A5B7DC"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60,37</w:t>
            </w:r>
          </w:p>
        </w:tc>
        <w:tc>
          <w:tcPr>
            <w:tcW w:w="888" w:type="pct"/>
            <w:tcBorders>
              <w:top w:val="nil"/>
              <w:left w:val="nil"/>
              <w:bottom w:val="single" w:sz="4" w:space="0" w:color="auto"/>
              <w:right w:val="single" w:sz="4" w:space="0" w:color="auto"/>
            </w:tcBorders>
            <w:shd w:val="clear" w:color="auto" w:fill="auto"/>
            <w:vAlign w:val="bottom"/>
            <w:hideMark/>
          </w:tcPr>
          <w:p w14:paraId="278B310A" w14:textId="77777777" w:rsidR="00E6654B" w:rsidRPr="00E6654B" w:rsidRDefault="00E6654B" w:rsidP="00E6654B">
            <w:pPr>
              <w:spacing w:after="0" w:line="240" w:lineRule="auto"/>
              <w:jc w:val="center"/>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0,14%</w:t>
            </w:r>
          </w:p>
        </w:tc>
      </w:tr>
      <w:tr w:rsidR="00E6654B" w:rsidRPr="00E6654B" w14:paraId="79332099"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6C97BD6E" w14:textId="77777777" w:rsidR="00E6654B" w:rsidRPr="00E6654B" w:rsidRDefault="00E6654B" w:rsidP="00E6654B">
            <w:pPr>
              <w:spacing w:after="0" w:line="240" w:lineRule="auto"/>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UKUPNO</w:t>
            </w:r>
          </w:p>
        </w:tc>
        <w:tc>
          <w:tcPr>
            <w:tcW w:w="789" w:type="pct"/>
            <w:tcBorders>
              <w:top w:val="nil"/>
              <w:left w:val="nil"/>
              <w:bottom w:val="single" w:sz="4" w:space="0" w:color="auto"/>
              <w:right w:val="single" w:sz="4" w:space="0" w:color="auto"/>
            </w:tcBorders>
            <w:shd w:val="clear" w:color="auto" w:fill="auto"/>
            <w:noWrap/>
            <w:vAlign w:val="bottom"/>
            <w:hideMark/>
          </w:tcPr>
          <w:p w14:paraId="144B2863" w14:textId="103EF626" w:rsidR="00E6654B" w:rsidRPr="00E6654B" w:rsidRDefault="001D3D58" w:rsidP="00E6654B">
            <w:pPr>
              <w:spacing w:after="0" w:line="240" w:lineRule="auto"/>
              <w:jc w:val="center"/>
              <w:rPr>
                <w:rFonts w:ascii="Calibri" w:eastAsia="Times New Roman" w:hAnsi="Calibri" w:cs="Times New Roman"/>
                <w:b/>
                <w:bCs/>
                <w:color w:val="000000"/>
                <w:sz w:val="18"/>
                <w:szCs w:val="18"/>
                <w:lang w:eastAsia="hr-HR"/>
              </w:rPr>
            </w:pPr>
            <w:r>
              <w:rPr>
                <w:rFonts w:ascii="Calibri" w:eastAsia="Times New Roman" w:hAnsi="Calibri" w:cs="Times New Roman"/>
                <w:b/>
                <w:bCs/>
                <w:color w:val="000000"/>
                <w:sz w:val="18"/>
                <w:szCs w:val="18"/>
                <w:lang w:eastAsia="hr-HR"/>
              </w:rPr>
              <w:t xml:space="preserve">15 </w:t>
            </w:r>
            <w:r w:rsidR="00E6654B" w:rsidRPr="00E6654B">
              <w:rPr>
                <w:rFonts w:ascii="Calibri" w:eastAsia="Times New Roman" w:hAnsi="Calibri" w:cs="Times New Roman"/>
                <w:b/>
                <w:bCs/>
                <w:color w:val="000000"/>
                <w:sz w:val="18"/>
                <w:szCs w:val="18"/>
                <w:lang w:eastAsia="hr-HR"/>
              </w:rPr>
              <w:t>202,11</w:t>
            </w:r>
          </w:p>
        </w:tc>
        <w:tc>
          <w:tcPr>
            <w:tcW w:w="575" w:type="pct"/>
            <w:tcBorders>
              <w:top w:val="nil"/>
              <w:left w:val="nil"/>
              <w:bottom w:val="single" w:sz="4" w:space="0" w:color="auto"/>
              <w:right w:val="single" w:sz="4" w:space="0" w:color="auto"/>
            </w:tcBorders>
            <w:shd w:val="clear" w:color="auto" w:fill="auto"/>
            <w:noWrap/>
            <w:vAlign w:val="bottom"/>
            <w:hideMark/>
          </w:tcPr>
          <w:p w14:paraId="22592885"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303,08</w:t>
            </w:r>
          </w:p>
        </w:tc>
        <w:tc>
          <w:tcPr>
            <w:tcW w:w="680" w:type="pct"/>
            <w:tcBorders>
              <w:top w:val="nil"/>
              <w:left w:val="nil"/>
              <w:bottom w:val="single" w:sz="4" w:space="0" w:color="auto"/>
              <w:right w:val="single" w:sz="4" w:space="0" w:color="auto"/>
            </w:tcBorders>
            <w:shd w:val="clear" w:color="auto" w:fill="auto"/>
            <w:noWrap/>
            <w:vAlign w:val="bottom"/>
            <w:hideMark/>
          </w:tcPr>
          <w:p w14:paraId="517445E4" w14:textId="5EDBEA66" w:rsidR="00E6654B" w:rsidRPr="00E6654B" w:rsidRDefault="001D3D58" w:rsidP="00E6654B">
            <w:pPr>
              <w:spacing w:after="0" w:line="240" w:lineRule="auto"/>
              <w:jc w:val="center"/>
              <w:rPr>
                <w:rFonts w:ascii="Calibri" w:eastAsia="Times New Roman" w:hAnsi="Calibri" w:cs="Times New Roman"/>
                <w:b/>
                <w:bCs/>
                <w:color w:val="000000"/>
                <w:sz w:val="18"/>
                <w:szCs w:val="18"/>
                <w:lang w:eastAsia="hr-HR"/>
              </w:rPr>
            </w:pPr>
            <w:r>
              <w:rPr>
                <w:rFonts w:ascii="Calibri" w:eastAsia="Times New Roman" w:hAnsi="Calibri" w:cs="Times New Roman"/>
                <w:b/>
                <w:bCs/>
                <w:color w:val="000000"/>
                <w:sz w:val="18"/>
                <w:szCs w:val="18"/>
                <w:lang w:eastAsia="hr-HR"/>
              </w:rPr>
              <w:t xml:space="preserve">27 </w:t>
            </w:r>
            <w:r w:rsidR="00E6654B" w:rsidRPr="00E6654B">
              <w:rPr>
                <w:rFonts w:ascii="Calibri" w:eastAsia="Times New Roman" w:hAnsi="Calibri" w:cs="Times New Roman"/>
                <w:b/>
                <w:bCs/>
                <w:color w:val="000000"/>
                <w:sz w:val="18"/>
                <w:szCs w:val="18"/>
                <w:lang w:eastAsia="hr-HR"/>
              </w:rPr>
              <w:t>800,25</w:t>
            </w:r>
          </w:p>
        </w:tc>
        <w:tc>
          <w:tcPr>
            <w:tcW w:w="956" w:type="pct"/>
            <w:tcBorders>
              <w:top w:val="nil"/>
              <w:left w:val="nil"/>
              <w:bottom w:val="single" w:sz="4" w:space="0" w:color="auto"/>
              <w:right w:val="single" w:sz="4" w:space="0" w:color="auto"/>
            </w:tcBorders>
            <w:shd w:val="clear" w:color="auto" w:fill="auto"/>
            <w:noWrap/>
            <w:vAlign w:val="bottom"/>
            <w:hideMark/>
          </w:tcPr>
          <w:p w14:paraId="74AA11EB" w14:textId="34C2803F" w:rsidR="00E6654B" w:rsidRPr="00E6654B" w:rsidRDefault="001D3D58" w:rsidP="00E6654B">
            <w:pPr>
              <w:spacing w:after="0" w:line="240" w:lineRule="auto"/>
              <w:jc w:val="center"/>
              <w:rPr>
                <w:rFonts w:ascii="Calibri" w:eastAsia="Times New Roman" w:hAnsi="Calibri" w:cs="Times New Roman"/>
                <w:b/>
                <w:bCs/>
                <w:color w:val="000000"/>
                <w:sz w:val="18"/>
                <w:szCs w:val="18"/>
                <w:lang w:eastAsia="hr-HR"/>
              </w:rPr>
            </w:pPr>
            <w:r>
              <w:rPr>
                <w:rFonts w:ascii="Calibri" w:eastAsia="Times New Roman" w:hAnsi="Calibri" w:cs="Times New Roman"/>
                <w:b/>
                <w:bCs/>
                <w:color w:val="000000"/>
                <w:sz w:val="18"/>
                <w:szCs w:val="18"/>
                <w:lang w:eastAsia="hr-HR"/>
              </w:rPr>
              <w:t xml:space="preserve">43 </w:t>
            </w:r>
            <w:r w:rsidR="00E6654B" w:rsidRPr="00E6654B">
              <w:rPr>
                <w:rFonts w:ascii="Calibri" w:eastAsia="Times New Roman" w:hAnsi="Calibri" w:cs="Times New Roman"/>
                <w:b/>
                <w:bCs/>
                <w:color w:val="000000"/>
                <w:sz w:val="18"/>
                <w:szCs w:val="18"/>
                <w:lang w:eastAsia="hr-HR"/>
              </w:rPr>
              <w:t>305,45</w:t>
            </w:r>
          </w:p>
        </w:tc>
        <w:tc>
          <w:tcPr>
            <w:tcW w:w="888" w:type="pct"/>
            <w:tcBorders>
              <w:top w:val="nil"/>
              <w:left w:val="nil"/>
              <w:bottom w:val="single" w:sz="4" w:space="0" w:color="auto"/>
              <w:right w:val="single" w:sz="4" w:space="0" w:color="auto"/>
            </w:tcBorders>
            <w:shd w:val="clear" w:color="auto" w:fill="auto"/>
            <w:noWrap/>
            <w:vAlign w:val="bottom"/>
            <w:hideMark/>
          </w:tcPr>
          <w:p w14:paraId="3B7E5943"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100,00%</w:t>
            </w:r>
          </w:p>
        </w:tc>
      </w:tr>
      <w:tr w:rsidR="00E6654B" w:rsidRPr="00E6654B" w14:paraId="73800749" w14:textId="77777777" w:rsidTr="00E6654B">
        <w:trPr>
          <w:trHeight w:val="240"/>
        </w:trPr>
        <w:tc>
          <w:tcPr>
            <w:tcW w:w="1112" w:type="pct"/>
            <w:tcBorders>
              <w:top w:val="nil"/>
              <w:left w:val="single" w:sz="4" w:space="0" w:color="auto"/>
              <w:bottom w:val="single" w:sz="4" w:space="0" w:color="auto"/>
              <w:right w:val="single" w:sz="4" w:space="0" w:color="auto"/>
            </w:tcBorders>
            <w:shd w:val="clear" w:color="000000" w:fill="D9D9D9"/>
            <w:noWrap/>
            <w:vAlign w:val="bottom"/>
            <w:hideMark/>
          </w:tcPr>
          <w:p w14:paraId="397695CD" w14:textId="77777777" w:rsidR="00E6654B" w:rsidRPr="00E6654B" w:rsidRDefault="00E6654B" w:rsidP="00E6654B">
            <w:pPr>
              <w:spacing w:after="0" w:line="240" w:lineRule="auto"/>
              <w:rPr>
                <w:rFonts w:ascii="Calibri" w:eastAsia="Times New Roman" w:hAnsi="Calibri" w:cs="Times New Roman"/>
                <w:color w:val="000000"/>
                <w:sz w:val="18"/>
                <w:szCs w:val="18"/>
                <w:lang w:eastAsia="hr-HR"/>
              </w:rPr>
            </w:pPr>
            <w:r w:rsidRPr="00E6654B">
              <w:rPr>
                <w:rFonts w:ascii="Calibri" w:eastAsia="Times New Roman" w:hAnsi="Calibri" w:cs="Times New Roman"/>
                <w:color w:val="000000"/>
                <w:sz w:val="18"/>
                <w:szCs w:val="18"/>
                <w:lang w:eastAsia="hr-HR"/>
              </w:rPr>
              <w:t>Udio pojedinog sektora, %</w:t>
            </w:r>
          </w:p>
        </w:tc>
        <w:tc>
          <w:tcPr>
            <w:tcW w:w="789" w:type="pct"/>
            <w:tcBorders>
              <w:top w:val="nil"/>
              <w:left w:val="nil"/>
              <w:bottom w:val="single" w:sz="4" w:space="0" w:color="auto"/>
              <w:right w:val="single" w:sz="4" w:space="0" w:color="auto"/>
            </w:tcBorders>
            <w:shd w:val="clear" w:color="auto" w:fill="auto"/>
            <w:noWrap/>
            <w:vAlign w:val="bottom"/>
            <w:hideMark/>
          </w:tcPr>
          <w:p w14:paraId="155DBC02"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35,10%</w:t>
            </w:r>
          </w:p>
        </w:tc>
        <w:tc>
          <w:tcPr>
            <w:tcW w:w="575" w:type="pct"/>
            <w:tcBorders>
              <w:top w:val="nil"/>
              <w:left w:val="nil"/>
              <w:bottom w:val="single" w:sz="4" w:space="0" w:color="auto"/>
              <w:right w:val="single" w:sz="4" w:space="0" w:color="auto"/>
            </w:tcBorders>
            <w:shd w:val="clear" w:color="auto" w:fill="auto"/>
            <w:noWrap/>
            <w:vAlign w:val="bottom"/>
            <w:hideMark/>
          </w:tcPr>
          <w:p w14:paraId="480246BB"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0,70%</w:t>
            </w:r>
          </w:p>
        </w:tc>
        <w:tc>
          <w:tcPr>
            <w:tcW w:w="680" w:type="pct"/>
            <w:tcBorders>
              <w:top w:val="nil"/>
              <w:left w:val="nil"/>
              <w:bottom w:val="single" w:sz="4" w:space="0" w:color="auto"/>
              <w:right w:val="single" w:sz="4" w:space="0" w:color="auto"/>
            </w:tcBorders>
            <w:shd w:val="clear" w:color="auto" w:fill="auto"/>
            <w:noWrap/>
            <w:vAlign w:val="bottom"/>
            <w:hideMark/>
          </w:tcPr>
          <w:p w14:paraId="1A606202"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64,20%</w:t>
            </w:r>
          </w:p>
        </w:tc>
        <w:tc>
          <w:tcPr>
            <w:tcW w:w="956" w:type="pct"/>
            <w:tcBorders>
              <w:top w:val="nil"/>
              <w:left w:val="nil"/>
              <w:bottom w:val="single" w:sz="4" w:space="0" w:color="auto"/>
              <w:right w:val="single" w:sz="4" w:space="0" w:color="auto"/>
            </w:tcBorders>
            <w:shd w:val="clear" w:color="auto" w:fill="auto"/>
            <w:noWrap/>
            <w:vAlign w:val="bottom"/>
            <w:hideMark/>
          </w:tcPr>
          <w:p w14:paraId="7E9C93AE"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100,00%</w:t>
            </w:r>
          </w:p>
        </w:tc>
        <w:tc>
          <w:tcPr>
            <w:tcW w:w="888" w:type="pct"/>
            <w:tcBorders>
              <w:top w:val="nil"/>
              <w:left w:val="nil"/>
              <w:bottom w:val="single" w:sz="4" w:space="0" w:color="auto"/>
              <w:right w:val="single" w:sz="4" w:space="0" w:color="auto"/>
            </w:tcBorders>
            <w:shd w:val="clear" w:color="auto" w:fill="auto"/>
            <w:noWrap/>
            <w:vAlign w:val="bottom"/>
            <w:hideMark/>
          </w:tcPr>
          <w:p w14:paraId="57DA79D0" w14:textId="77777777" w:rsidR="00E6654B" w:rsidRPr="00E6654B" w:rsidRDefault="00E6654B" w:rsidP="00E6654B">
            <w:pPr>
              <w:spacing w:after="0" w:line="240" w:lineRule="auto"/>
              <w:jc w:val="center"/>
              <w:rPr>
                <w:rFonts w:ascii="Calibri" w:eastAsia="Times New Roman" w:hAnsi="Calibri" w:cs="Times New Roman"/>
                <w:b/>
                <w:bCs/>
                <w:color w:val="000000"/>
                <w:sz w:val="18"/>
                <w:szCs w:val="18"/>
                <w:lang w:eastAsia="hr-HR"/>
              </w:rPr>
            </w:pPr>
            <w:r w:rsidRPr="00E6654B">
              <w:rPr>
                <w:rFonts w:ascii="Calibri" w:eastAsia="Times New Roman" w:hAnsi="Calibri" w:cs="Times New Roman"/>
                <w:b/>
                <w:bCs/>
                <w:color w:val="000000"/>
                <w:sz w:val="18"/>
                <w:szCs w:val="18"/>
                <w:lang w:eastAsia="hr-HR"/>
              </w:rPr>
              <w:t>/</w:t>
            </w:r>
          </w:p>
        </w:tc>
      </w:tr>
    </w:tbl>
    <w:p w14:paraId="716281F6" w14:textId="443CA67E" w:rsidR="00484EC2" w:rsidRDefault="00484EC2" w:rsidP="00E92750">
      <w:pPr>
        <w:spacing w:line="240" w:lineRule="auto"/>
      </w:pPr>
    </w:p>
    <w:p w14:paraId="65CC0AA9" w14:textId="14299544" w:rsidR="00CB0CD8" w:rsidRDefault="00CB0CD8" w:rsidP="00E92750">
      <w:pPr>
        <w:spacing w:line="240" w:lineRule="auto"/>
      </w:pPr>
    </w:p>
    <w:p w14:paraId="1A501FA2" w14:textId="66B0EA3E" w:rsidR="00CB0CD8" w:rsidRDefault="00CB0CD8" w:rsidP="00E92750">
      <w:pPr>
        <w:spacing w:line="240" w:lineRule="auto"/>
      </w:pPr>
    </w:p>
    <w:p w14:paraId="2C172BC2" w14:textId="4AD871C5" w:rsidR="00CB0CD8" w:rsidRDefault="00CB0CD8" w:rsidP="00E92750">
      <w:pPr>
        <w:spacing w:line="240" w:lineRule="auto"/>
      </w:pPr>
    </w:p>
    <w:p w14:paraId="6C917B3D" w14:textId="11A2073E" w:rsidR="00CB0CD8" w:rsidRDefault="00CB0CD8" w:rsidP="00E92750">
      <w:pPr>
        <w:spacing w:line="240" w:lineRule="auto"/>
      </w:pPr>
    </w:p>
    <w:p w14:paraId="0FFCA15B" w14:textId="7485C81B" w:rsidR="00CB0CD8" w:rsidRDefault="00CB0CD8" w:rsidP="00E92750">
      <w:pPr>
        <w:spacing w:line="240" w:lineRule="auto"/>
      </w:pPr>
    </w:p>
    <w:p w14:paraId="4B5ABAD4" w14:textId="77777777" w:rsidR="00CB0CD8" w:rsidRDefault="00CB0CD8" w:rsidP="00E92750">
      <w:pPr>
        <w:spacing w:line="240" w:lineRule="auto"/>
      </w:pPr>
    </w:p>
    <w:p w14:paraId="6B20A4FD" w14:textId="35F7EE3E" w:rsidR="00484EC2" w:rsidRDefault="00563300" w:rsidP="00CB0CD8">
      <w:pPr>
        <w:spacing w:after="0" w:line="240" w:lineRule="auto"/>
        <w:rPr>
          <w:noProof/>
          <w:lang w:eastAsia="hr-HR"/>
        </w:rPr>
      </w:pPr>
      <w:r w:rsidRPr="001D3D58">
        <w:rPr>
          <w:noProof/>
          <w:sz w:val="20"/>
          <w:szCs w:val="20"/>
          <w:lang w:eastAsia="hr-HR"/>
        </w:rPr>
        <w:lastRenderedPageBreak/>
        <w:drawing>
          <wp:inline distT="0" distB="0" distL="0" distR="0" wp14:anchorId="037B8C94" wp14:editId="12799263">
            <wp:extent cx="5876014" cy="4015409"/>
            <wp:effectExtent l="0" t="0" r="0" b="4445"/>
            <wp:docPr id="163" name="Chart 16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F9B9034" w14:textId="1FD462EF" w:rsidR="0067747E" w:rsidRPr="00882DAD" w:rsidRDefault="003A04A9" w:rsidP="00E92750">
      <w:pPr>
        <w:pStyle w:val="Heading6"/>
        <w:numPr>
          <w:ilvl w:val="0"/>
          <w:numId w:val="0"/>
        </w:numPr>
        <w:spacing w:after="240" w:line="240" w:lineRule="auto"/>
        <w:ind w:left="1152"/>
        <w:jc w:val="center"/>
        <w:rPr>
          <w:rFonts w:asciiTheme="minorHAnsi" w:hAnsiTheme="minorHAnsi" w:cstheme="minorHAnsi"/>
          <w:i w:val="0"/>
        </w:rPr>
      </w:pPr>
      <w:bookmarkStart w:id="352" w:name="_Ref466038029"/>
      <w:bookmarkStart w:id="353" w:name="_Toc258239050"/>
      <w:bookmarkStart w:id="354" w:name="_Toc468277473"/>
      <w:r w:rsidRPr="00882DAD">
        <w:rPr>
          <w:rFonts w:asciiTheme="minorHAnsi" w:eastAsia="Calibri" w:hAnsiTheme="minorHAnsi" w:cstheme="minorHAnsi"/>
          <w:b/>
          <w:bCs/>
          <w:i w:val="0"/>
        </w:rPr>
        <w:t xml:space="preserve">Slika </w:t>
      </w:r>
      <w:r w:rsidRPr="00882DAD">
        <w:rPr>
          <w:rFonts w:asciiTheme="minorHAnsi" w:eastAsia="Calibri" w:hAnsiTheme="minorHAnsi" w:cstheme="minorHAnsi"/>
          <w:b/>
          <w:bCs/>
          <w:i w:val="0"/>
        </w:rPr>
        <w:fldChar w:fldCharType="begin"/>
      </w:r>
      <w:r w:rsidRPr="00882DAD">
        <w:rPr>
          <w:rFonts w:asciiTheme="minorHAnsi" w:eastAsia="Calibri" w:hAnsiTheme="minorHAnsi" w:cstheme="minorHAnsi"/>
          <w:b/>
          <w:bCs/>
          <w:i w:val="0"/>
        </w:rPr>
        <w:instrText xml:space="preserve"> STYLEREF 1 \s </w:instrText>
      </w:r>
      <w:r w:rsidRPr="00882DAD">
        <w:rPr>
          <w:rFonts w:asciiTheme="minorHAnsi" w:eastAsia="Calibri" w:hAnsiTheme="minorHAnsi" w:cstheme="minorHAnsi"/>
          <w:b/>
          <w:bCs/>
          <w:i w:val="0"/>
        </w:rPr>
        <w:fldChar w:fldCharType="separate"/>
      </w:r>
      <w:r w:rsidR="009C319B" w:rsidRPr="00882DAD">
        <w:rPr>
          <w:rFonts w:asciiTheme="minorHAnsi" w:eastAsia="Calibri" w:hAnsiTheme="minorHAnsi" w:cstheme="minorHAnsi"/>
          <w:b/>
          <w:bCs/>
          <w:i w:val="0"/>
          <w:noProof/>
        </w:rPr>
        <w:t>7</w:t>
      </w:r>
      <w:r w:rsidRPr="00882DAD">
        <w:rPr>
          <w:rFonts w:asciiTheme="minorHAnsi" w:eastAsia="Calibri" w:hAnsiTheme="minorHAnsi" w:cstheme="minorHAnsi"/>
          <w:b/>
          <w:bCs/>
          <w:i w:val="0"/>
        </w:rPr>
        <w:fldChar w:fldCharType="end"/>
      </w:r>
      <w:r w:rsidRPr="00882DAD">
        <w:rPr>
          <w:rFonts w:asciiTheme="minorHAnsi" w:eastAsia="Calibri" w:hAnsiTheme="minorHAnsi" w:cstheme="minorHAnsi"/>
          <w:b/>
          <w:bCs/>
          <w:i w:val="0"/>
        </w:rPr>
        <w:t>.</w:t>
      </w:r>
      <w:r w:rsidRPr="00882DAD">
        <w:rPr>
          <w:rFonts w:asciiTheme="minorHAnsi" w:eastAsia="Calibri" w:hAnsiTheme="minorHAnsi" w:cstheme="minorHAnsi"/>
          <w:b/>
          <w:bCs/>
          <w:i w:val="0"/>
        </w:rPr>
        <w:fldChar w:fldCharType="begin"/>
      </w:r>
      <w:r w:rsidRPr="00882DAD">
        <w:rPr>
          <w:rFonts w:asciiTheme="minorHAnsi" w:eastAsia="Calibri" w:hAnsiTheme="minorHAnsi" w:cstheme="minorHAnsi"/>
          <w:b/>
          <w:bCs/>
          <w:i w:val="0"/>
        </w:rPr>
        <w:instrText xml:space="preserve"> SEQ Slika \* ARABIC \s 1 </w:instrText>
      </w:r>
      <w:r w:rsidRPr="00882DAD">
        <w:rPr>
          <w:rFonts w:asciiTheme="minorHAnsi" w:eastAsia="Calibri" w:hAnsiTheme="minorHAnsi" w:cstheme="minorHAnsi"/>
          <w:b/>
          <w:bCs/>
          <w:i w:val="0"/>
        </w:rPr>
        <w:fldChar w:fldCharType="separate"/>
      </w:r>
      <w:r w:rsidR="009C319B" w:rsidRPr="00882DAD">
        <w:rPr>
          <w:rFonts w:asciiTheme="minorHAnsi" w:eastAsia="Calibri" w:hAnsiTheme="minorHAnsi" w:cstheme="minorHAnsi"/>
          <w:b/>
          <w:bCs/>
          <w:i w:val="0"/>
          <w:noProof/>
        </w:rPr>
        <w:t>6</w:t>
      </w:r>
      <w:r w:rsidRPr="00882DAD">
        <w:rPr>
          <w:rFonts w:asciiTheme="minorHAnsi" w:eastAsia="Calibri" w:hAnsiTheme="minorHAnsi" w:cstheme="minorHAnsi"/>
          <w:b/>
          <w:bCs/>
          <w:i w:val="0"/>
        </w:rPr>
        <w:fldChar w:fldCharType="end"/>
      </w:r>
      <w:bookmarkEnd w:id="352"/>
      <w:r w:rsidRPr="00882DAD">
        <w:rPr>
          <w:rFonts w:asciiTheme="minorHAnsi" w:eastAsia="Calibri" w:hAnsiTheme="minorHAnsi" w:cstheme="minorHAnsi"/>
          <w:b/>
          <w:bCs/>
          <w:i w:val="0"/>
        </w:rPr>
        <w:t xml:space="preserve"> </w:t>
      </w:r>
      <w:r w:rsidR="0067747E" w:rsidRPr="00882DAD">
        <w:rPr>
          <w:rFonts w:asciiTheme="minorHAnsi" w:hAnsiTheme="minorHAnsi" w:cstheme="minorHAnsi"/>
          <w:i w:val="0"/>
        </w:rPr>
        <w:t>Energets</w:t>
      </w:r>
      <w:r w:rsidR="00AC5EE7" w:rsidRPr="00882DAD">
        <w:rPr>
          <w:rFonts w:asciiTheme="minorHAnsi" w:hAnsiTheme="minorHAnsi" w:cstheme="minorHAnsi"/>
          <w:i w:val="0"/>
        </w:rPr>
        <w:t>ka potrošnja po energentu u 2015</w:t>
      </w:r>
      <w:r w:rsidR="0067747E" w:rsidRPr="00882DAD">
        <w:rPr>
          <w:rFonts w:asciiTheme="minorHAnsi" w:hAnsiTheme="minorHAnsi" w:cstheme="minorHAnsi"/>
          <w:i w:val="0"/>
        </w:rPr>
        <w:t>. godini</w:t>
      </w:r>
      <w:bookmarkEnd w:id="353"/>
      <w:bookmarkEnd w:id="354"/>
    </w:p>
    <w:p w14:paraId="6FE4141B" w14:textId="1C2ECCBB" w:rsidR="0067747E" w:rsidRPr="00241AEB" w:rsidRDefault="00AC5EE7" w:rsidP="00E92750">
      <w:pPr>
        <w:tabs>
          <w:tab w:val="left" w:pos="990"/>
        </w:tabs>
        <w:spacing w:line="240" w:lineRule="auto"/>
        <w:jc w:val="both"/>
        <w:rPr>
          <w:rFonts w:cstheme="minorHAnsi"/>
          <w:lang w:eastAsia="hr-HR"/>
        </w:rPr>
      </w:pPr>
      <w:r w:rsidRPr="00241AEB">
        <w:rPr>
          <w:rFonts w:cstheme="minorHAnsi"/>
          <w:lang w:eastAsia="hr-HR"/>
        </w:rPr>
        <w:t>Prirodni plin je</w:t>
      </w:r>
      <w:r w:rsidR="0067747E" w:rsidRPr="00241AEB">
        <w:rPr>
          <w:rFonts w:cstheme="minorHAnsi"/>
          <w:lang w:eastAsia="hr-HR"/>
        </w:rPr>
        <w:t xml:space="preserve"> energent s najvećim udjelom u ukupnoj potrošnji energije. </w:t>
      </w:r>
      <w:r w:rsidRPr="00241AEB">
        <w:rPr>
          <w:rFonts w:cstheme="minorHAnsi"/>
          <w:lang w:eastAsia="hr-HR"/>
        </w:rPr>
        <w:t>Potrošnja prirodnog plina u</w:t>
      </w:r>
      <w:r w:rsidR="00563300">
        <w:rPr>
          <w:rFonts w:cstheme="minorHAnsi"/>
          <w:lang w:eastAsia="hr-HR"/>
        </w:rPr>
        <w:t xml:space="preserve"> 2015. godini iznosila je 10 959,95</w:t>
      </w:r>
      <w:r w:rsidR="00CB0CD8">
        <w:rPr>
          <w:rFonts w:cstheme="minorHAnsi"/>
          <w:lang w:eastAsia="hr-HR"/>
        </w:rPr>
        <w:t xml:space="preserve"> TJ, što čini 25,31</w:t>
      </w:r>
      <w:r w:rsidR="00225865" w:rsidRPr="00241AEB">
        <w:rPr>
          <w:rFonts w:cstheme="minorHAnsi"/>
          <w:lang w:eastAsia="hr-HR"/>
        </w:rPr>
        <w:t>% od ukupne potrošnje energije.</w:t>
      </w:r>
    </w:p>
    <w:p w14:paraId="610C38C7" w14:textId="5428F4AE" w:rsidR="00A56975" w:rsidRPr="00241AEB" w:rsidRDefault="0067747E" w:rsidP="00E92750">
      <w:pPr>
        <w:spacing w:line="240" w:lineRule="auto"/>
        <w:jc w:val="both"/>
        <w:rPr>
          <w:rFonts w:ascii="Century Gothic" w:hAnsi="Century Gothic"/>
        </w:rPr>
      </w:pPr>
      <w:r w:rsidRPr="00241AEB">
        <w:rPr>
          <w:rFonts w:cstheme="minorHAnsi"/>
          <w:lang w:eastAsia="hr-HR"/>
        </w:rPr>
        <w:t xml:space="preserve">Ukupna potrošnja energije promatranih sektora Grada Zagreba iznosi </w:t>
      </w:r>
      <w:r w:rsidR="00CB0CD8">
        <w:rPr>
          <w:rFonts w:cstheme="minorHAnsi"/>
          <w:lang w:eastAsia="hr-HR"/>
        </w:rPr>
        <w:t>43 305</w:t>
      </w:r>
      <w:r w:rsidR="00A56975" w:rsidRPr="00241AEB">
        <w:rPr>
          <w:rFonts w:cstheme="minorHAnsi"/>
          <w:lang w:eastAsia="hr-HR"/>
        </w:rPr>
        <w:t xml:space="preserve"> TJ</w:t>
      </w:r>
      <w:r w:rsidRPr="00241AEB">
        <w:rPr>
          <w:rFonts w:cstheme="minorHAnsi"/>
          <w:lang w:eastAsia="hr-HR"/>
        </w:rPr>
        <w:t xml:space="preserve">, od čega se </w:t>
      </w:r>
      <w:r w:rsidR="00CB0CD8">
        <w:rPr>
          <w:rFonts w:cstheme="minorHAnsi"/>
          <w:lang w:eastAsia="hr-HR"/>
        </w:rPr>
        <w:t>27 800</w:t>
      </w:r>
      <w:r w:rsidR="00A56975" w:rsidRPr="00241AEB">
        <w:rPr>
          <w:rFonts w:cstheme="minorHAnsi"/>
          <w:lang w:eastAsia="hr-HR"/>
        </w:rPr>
        <w:t xml:space="preserve"> TJ</w:t>
      </w:r>
      <w:r w:rsidRPr="00241AEB">
        <w:rPr>
          <w:rFonts w:cstheme="minorHAnsi"/>
          <w:lang w:eastAsia="hr-HR"/>
        </w:rPr>
        <w:t xml:space="preserve"> troši u zgradarstvu, a slijedi sektor prometa s potrošnjom od </w:t>
      </w:r>
      <w:r w:rsidR="00CB0CD8">
        <w:rPr>
          <w:rFonts w:cstheme="minorHAnsi"/>
          <w:lang w:eastAsia="hr-HR"/>
        </w:rPr>
        <w:t>15 202</w:t>
      </w:r>
      <w:r w:rsidR="00A56975" w:rsidRPr="00241AEB">
        <w:rPr>
          <w:rFonts w:cstheme="minorHAnsi"/>
          <w:lang w:eastAsia="hr-HR"/>
        </w:rPr>
        <w:t xml:space="preserve"> TJ. </w:t>
      </w:r>
      <w:r w:rsidR="00A56975" w:rsidRPr="00241AEB">
        <w:rPr>
          <w:rFonts w:ascii="Century Gothic" w:hAnsi="Century Gothic"/>
        </w:rPr>
        <w:t xml:space="preserve"> </w:t>
      </w:r>
    </w:p>
    <w:p w14:paraId="1CD66331" w14:textId="75A90FFD" w:rsidR="0067747E" w:rsidRPr="00241AEB" w:rsidRDefault="00A56975" w:rsidP="00E92750">
      <w:pPr>
        <w:spacing w:line="240" w:lineRule="auto"/>
        <w:jc w:val="both"/>
        <w:rPr>
          <w:rFonts w:cstheme="minorHAnsi"/>
          <w:lang w:eastAsia="hr-HR"/>
        </w:rPr>
      </w:pPr>
      <w:r w:rsidRPr="00241AEB">
        <w:rPr>
          <w:rFonts w:cstheme="minorHAnsi"/>
          <w:lang w:eastAsia="hr-HR"/>
        </w:rPr>
        <w:t xml:space="preserve">Na </w:t>
      </w:r>
      <w:r w:rsidRPr="00241AEB">
        <w:rPr>
          <w:rFonts w:cstheme="minorHAnsi"/>
          <w:lang w:eastAsia="hr-HR"/>
        </w:rPr>
        <w:fldChar w:fldCharType="begin"/>
      </w:r>
      <w:r w:rsidRPr="00241AEB">
        <w:rPr>
          <w:rFonts w:cstheme="minorHAnsi"/>
          <w:lang w:eastAsia="hr-HR"/>
        </w:rPr>
        <w:instrText xml:space="preserve"> REF _Ref466039012 \h  \* MERGEFORMAT </w:instrText>
      </w:r>
      <w:r w:rsidRPr="00241AEB">
        <w:rPr>
          <w:rFonts w:cstheme="minorHAnsi"/>
          <w:lang w:eastAsia="hr-HR"/>
        </w:rPr>
      </w:r>
      <w:r w:rsidRPr="00241AEB">
        <w:rPr>
          <w:rFonts w:cstheme="minorHAnsi"/>
          <w:lang w:eastAsia="hr-HR"/>
        </w:rPr>
        <w:fldChar w:fldCharType="separate"/>
      </w:r>
      <w:r w:rsidR="00EB155F">
        <w:rPr>
          <w:rFonts w:eastAsia="Calibri" w:cstheme="minorHAnsi"/>
          <w:b/>
          <w:bCs/>
        </w:rPr>
        <w:t>Slici</w:t>
      </w:r>
      <w:r w:rsidR="009C319B" w:rsidRPr="009C319B">
        <w:rPr>
          <w:rFonts w:eastAsia="Calibri" w:cstheme="minorHAnsi"/>
          <w:b/>
          <w:bCs/>
        </w:rPr>
        <w:t xml:space="preserve"> </w:t>
      </w:r>
      <w:r w:rsidR="009C319B" w:rsidRPr="009C319B">
        <w:rPr>
          <w:rFonts w:eastAsia="Calibri" w:cstheme="minorHAnsi"/>
          <w:b/>
          <w:bCs/>
          <w:noProof/>
        </w:rPr>
        <w:t>7.7</w:t>
      </w:r>
      <w:r w:rsidRPr="00241AEB">
        <w:rPr>
          <w:rFonts w:cstheme="minorHAnsi"/>
          <w:lang w:eastAsia="hr-HR"/>
        </w:rPr>
        <w:fldChar w:fldCharType="end"/>
      </w:r>
      <w:r w:rsidRPr="00241AEB">
        <w:rPr>
          <w:rFonts w:cstheme="minorHAnsi"/>
          <w:lang w:eastAsia="hr-HR"/>
        </w:rPr>
        <w:t xml:space="preserve"> je dana raspodjela ukupne energetske potrošnje Grada Zagreba po sektorima i energentima.</w:t>
      </w:r>
      <w:r w:rsidR="0067747E" w:rsidRPr="00241AEB">
        <w:rPr>
          <w:rFonts w:cstheme="minorHAnsi"/>
          <w:lang w:eastAsia="hr-HR"/>
        </w:rPr>
        <w:t xml:space="preserve"> </w:t>
      </w:r>
    </w:p>
    <w:p w14:paraId="48B795DD" w14:textId="09736C26" w:rsidR="00A56975" w:rsidRDefault="00A56975" w:rsidP="00E92750">
      <w:pPr>
        <w:spacing w:after="0" w:line="240" w:lineRule="auto"/>
        <w:jc w:val="center"/>
        <w:rPr>
          <w:noProof/>
          <w:lang w:eastAsia="hr-HR"/>
        </w:rPr>
      </w:pPr>
      <w:bookmarkStart w:id="355" w:name="_Toc258239051"/>
    </w:p>
    <w:p w14:paraId="1C6F2A3E" w14:textId="77777777" w:rsidR="0085678C" w:rsidRDefault="0085678C" w:rsidP="00E92750">
      <w:pPr>
        <w:spacing w:after="0" w:line="240" w:lineRule="auto"/>
        <w:jc w:val="center"/>
        <w:rPr>
          <w:noProof/>
          <w:lang w:eastAsia="hr-HR"/>
        </w:rPr>
      </w:pPr>
    </w:p>
    <w:p w14:paraId="37A52B22" w14:textId="77777777" w:rsidR="0085678C" w:rsidRDefault="0085678C" w:rsidP="00E92750">
      <w:pPr>
        <w:spacing w:after="0" w:line="240" w:lineRule="auto"/>
        <w:jc w:val="center"/>
        <w:rPr>
          <w:noProof/>
          <w:lang w:eastAsia="hr-HR"/>
        </w:rPr>
      </w:pPr>
    </w:p>
    <w:p w14:paraId="5674868D" w14:textId="77777777" w:rsidR="0085678C" w:rsidRDefault="0085678C" w:rsidP="00E92750">
      <w:pPr>
        <w:spacing w:after="0" w:line="240" w:lineRule="auto"/>
        <w:jc w:val="center"/>
        <w:rPr>
          <w:noProof/>
          <w:lang w:eastAsia="hr-HR"/>
        </w:rPr>
      </w:pPr>
    </w:p>
    <w:p w14:paraId="4F5AA8D6" w14:textId="77777777" w:rsidR="0085678C" w:rsidRDefault="0085678C" w:rsidP="00E92750">
      <w:pPr>
        <w:spacing w:after="0" w:line="240" w:lineRule="auto"/>
        <w:jc w:val="center"/>
        <w:rPr>
          <w:noProof/>
          <w:lang w:eastAsia="hr-HR"/>
        </w:rPr>
      </w:pPr>
    </w:p>
    <w:p w14:paraId="640BFCDF" w14:textId="77777777" w:rsidR="0085678C" w:rsidRDefault="0085678C" w:rsidP="00E92750">
      <w:pPr>
        <w:spacing w:after="0" w:line="240" w:lineRule="auto"/>
        <w:jc w:val="center"/>
        <w:rPr>
          <w:noProof/>
          <w:lang w:eastAsia="hr-HR"/>
        </w:rPr>
      </w:pPr>
    </w:p>
    <w:p w14:paraId="3AF0DCC4" w14:textId="77777777" w:rsidR="0085678C" w:rsidRDefault="0085678C" w:rsidP="00E92750">
      <w:pPr>
        <w:spacing w:after="0" w:line="240" w:lineRule="auto"/>
        <w:jc w:val="center"/>
        <w:rPr>
          <w:noProof/>
          <w:lang w:eastAsia="hr-HR"/>
        </w:rPr>
      </w:pPr>
    </w:p>
    <w:p w14:paraId="4552184E" w14:textId="77777777" w:rsidR="0085678C" w:rsidRDefault="0085678C" w:rsidP="00E92750">
      <w:pPr>
        <w:spacing w:after="0" w:line="240" w:lineRule="auto"/>
        <w:jc w:val="center"/>
        <w:rPr>
          <w:noProof/>
          <w:lang w:eastAsia="hr-HR"/>
        </w:rPr>
      </w:pPr>
    </w:p>
    <w:p w14:paraId="797B3EA6" w14:textId="77777777" w:rsidR="0085678C" w:rsidRDefault="0085678C" w:rsidP="00E92750">
      <w:pPr>
        <w:spacing w:after="0" w:line="240" w:lineRule="auto"/>
        <w:jc w:val="center"/>
        <w:rPr>
          <w:noProof/>
          <w:lang w:eastAsia="hr-HR"/>
        </w:rPr>
      </w:pPr>
    </w:p>
    <w:p w14:paraId="081F701A" w14:textId="77777777" w:rsidR="0085678C" w:rsidRDefault="0085678C" w:rsidP="00E92750">
      <w:pPr>
        <w:spacing w:after="0" w:line="240" w:lineRule="auto"/>
        <w:jc w:val="center"/>
        <w:rPr>
          <w:noProof/>
          <w:lang w:eastAsia="hr-HR"/>
        </w:rPr>
      </w:pPr>
    </w:p>
    <w:p w14:paraId="391C4A6C" w14:textId="77777777" w:rsidR="0085678C" w:rsidRDefault="0085678C" w:rsidP="00E92750">
      <w:pPr>
        <w:spacing w:after="0" w:line="240" w:lineRule="auto"/>
        <w:jc w:val="center"/>
        <w:rPr>
          <w:noProof/>
          <w:lang w:eastAsia="hr-HR"/>
        </w:rPr>
      </w:pPr>
    </w:p>
    <w:p w14:paraId="0D5FD4D3" w14:textId="77777777" w:rsidR="0085678C" w:rsidRDefault="0085678C" w:rsidP="00E92750">
      <w:pPr>
        <w:spacing w:after="0" w:line="240" w:lineRule="auto"/>
        <w:jc w:val="center"/>
        <w:rPr>
          <w:noProof/>
          <w:lang w:eastAsia="hr-HR"/>
        </w:rPr>
      </w:pPr>
    </w:p>
    <w:p w14:paraId="30744FFC" w14:textId="77777777" w:rsidR="0085678C" w:rsidRDefault="0085678C" w:rsidP="00E92750">
      <w:pPr>
        <w:spacing w:after="0" w:line="240" w:lineRule="auto"/>
        <w:jc w:val="center"/>
        <w:rPr>
          <w:noProof/>
          <w:lang w:eastAsia="hr-HR"/>
        </w:rPr>
      </w:pPr>
    </w:p>
    <w:p w14:paraId="792D4C43" w14:textId="77777777" w:rsidR="0085678C" w:rsidRDefault="0085678C" w:rsidP="00E92750">
      <w:pPr>
        <w:spacing w:after="0" w:line="240" w:lineRule="auto"/>
        <w:jc w:val="center"/>
        <w:rPr>
          <w:noProof/>
          <w:lang w:eastAsia="hr-HR"/>
        </w:rPr>
      </w:pPr>
    </w:p>
    <w:p w14:paraId="59D39EC0" w14:textId="77777777" w:rsidR="0085678C" w:rsidRDefault="0085678C" w:rsidP="00E92750">
      <w:pPr>
        <w:spacing w:after="0" w:line="240" w:lineRule="auto"/>
        <w:jc w:val="center"/>
        <w:rPr>
          <w:noProof/>
          <w:lang w:eastAsia="hr-HR"/>
        </w:rPr>
      </w:pPr>
    </w:p>
    <w:p w14:paraId="267E01B2" w14:textId="71B4DB0B" w:rsidR="0085678C" w:rsidRDefault="0085678C" w:rsidP="00E92750">
      <w:pPr>
        <w:spacing w:after="0" w:line="240" w:lineRule="auto"/>
        <w:jc w:val="center"/>
        <w:rPr>
          <w:noProof/>
          <w:lang w:eastAsia="hr-HR"/>
        </w:rPr>
      </w:pPr>
      <w:r>
        <w:rPr>
          <w:noProof/>
          <w:lang w:eastAsia="hr-HR"/>
        </w:rPr>
        <w:lastRenderedPageBreak/>
        <w:drawing>
          <wp:inline distT="0" distB="0" distL="0" distR="0" wp14:anchorId="4244289C" wp14:editId="0E4FBB46">
            <wp:extent cx="4961614" cy="3458817"/>
            <wp:effectExtent l="0" t="0" r="0" b="8890"/>
            <wp:docPr id="62" name="Chart 62">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1E02B42" w14:textId="113CC4D3" w:rsidR="0067747E" w:rsidRPr="00882DAD" w:rsidRDefault="00A56975" w:rsidP="00E92750">
      <w:pPr>
        <w:pStyle w:val="Heading6"/>
        <w:numPr>
          <w:ilvl w:val="0"/>
          <w:numId w:val="0"/>
        </w:numPr>
        <w:spacing w:line="240" w:lineRule="auto"/>
        <w:ind w:left="1152"/>
        <w:jc w:val="center"/>
        <w:rPr>
          <w:rFonts w:asciiTheme="minorHAnsi" w:hAnsiTheme="minorHAnsi" w:cstheme="minorHAnsi"/>
          <w:i w:val="0"/>
        </w:rPr>
      </w:pPr>
      <w:bookmarkStart w:id="356" w:name="_Ref466039012"/>
      <w:bookmarkStart w:id="357" w:name="_Toc468277474"/>
      <w:r w:rsidRPr="00882DAD">
        <w:rPr>
          <w:rFonts w:asciiTheme="minorHAnsi" w:eastAsia="Calibri" w:hAnsiTheme="minorHAnsi" w:cstheme="minorHAnsi"/>
          <w:b/>
          <w:bCs/>
          <w:i w:val="0"/>
        </w:rPr>
        <w:t xml:space="preserve">Slika </w:t>
      </w:r>
      <w:r w:rsidRPr="00882DAD">
        <w:rPr>
          <w:rFonts w:asciiTheme="minorHAnsi" w:eastAsia="Calibri" w:hAnsiTheme="minorHAnsi" w:cstheme="minorHAnsi"/>
          <w:b/>
          <w:bCs/>
          <w:i w:val="0"/>
        </w:rPr>
        <w:fldChar w:fldCharType="begin"/>
      </w:r>
      <w:r w:rsidRPr="00882DAD">
        <w:rPr>
          <w:rFonts w:asciiTheme="minorHAnsi" w:eastAsia="Calibri" w:hAnsiTheme="minorHAnsi" w:cstheme="minorHAnsi"/>
          <w:b/>
          <w:bCs/>
          <w:i w:val="0"/>
        </w:rPr>
        <w:instrText xml:space="preserve"> STYLEREF 1 \s </w:instrText>
      </w:r>
      <w:r w:rsidRPr="00882DAD">
        <w:rPr>
          <w:rFonts w:asciiTheme="minorHAnsi" w:eastAsia="Calibri" w:hAnsiTheme="minorHAnsi" w:cstheme="minorHAnsi"/>
          <w:b/>
          <w:bCs/>
          <w:i w:val="0"/>
        </w:rPr>
        <w:fldChar w:fldCharType="separate"/>
      </w:r>
      <w:r w:rsidR="009C319B" w:rsidRPr="00882DAD">
        <w:rPr>
          <w:rFonts w:asciiTheme="minorHAnsi" w:eastAsia="Calibri" w:hAnsiTheme="minorHAnsi" w:cstheme="minorHAnsi"/>
          <w:b/>
          <w:bCs/>
          <w:i w:val="0"/>
          <w:noProof/>
        </w:rPr>
        <w:t>7</w:t>
      </w:r>
      <w:r w:rsidRPr="00882DAD">
        <w:rPr>
          <w:rFonts w:asciiTheme="minorHAnsi" w:eastAsia="Calibri" w:hAnsiTheme="minorHAnsi" w:cstheme="minorHAnsi"/>
          <w:b/>
          <w:bCs/>
          <w:i w:val="0"/>
        </w:rPr>
        <w:fldChar w:fldCharType="end"/>
      </w:r>
      <w:r w:rsidRPr="00882DAD">
        <w:rPr>
          <w:rFonts w:asciiTheme="minorHAnsi" w:eastAsia="Calibri" w:hAnsiTheme="minorHAnsi" w:cstheme="minorHAnsi"/>
          <w:b/>
          <w:bCs/>
          <w:i w:val="0"/>
        </w:rPr>
        <w:t>.</w:t>
      </w:r>
      <w:r w:rsidRPr="00882DAD">
        <w:rPr>
          <w:rFonts w:asciiTheme="minorHAnsi" w:eastAsia="Calibri" w:hAnsiTheme="minorHAnsi" w:cstheme="minorHAnsi"/>
          <w:b/>
          <w:bCs/>
          <w:i w:val="0"/>
        </w:rPr>
        <w:fldChar w:fldCharType="begin"/>
      </w:r>
      <w:r w:rsidRPr="00882DAD">
        <w:rPr>
          <w:rFonts w:asciiTheme="minorHAnsi" w:eastAsia="Calibri" w:hAnsiTheme="minorHAnsi" w:cstheme="minorHAnsi"/>
          <w:b/>
          <w:bCs/>
          <w:i w:val="0"/>
        </w:rPr>
        <w:instrText xml:space="preserve"> SEQ Slika \* ARABIC \s 1 </w:instrText>
      </w:r>
      <w:r w:rsidRPr="00882DAD">
        <w:rPr>
          <w:rFonts w:asciiTheme="minorHAnsi" w:eastAsia="Calibri" w:hAnsiTheme="minorHAnsi" w:cstheme="minorHAnsi"/>
          <w:b/>
          <w:bCs/>
          <w:i w:val="0"/>
        </w:rPr>
        <w:fldChar w:fldCharType="separate"/>
      </w:r>
      <w:r w:rsidR="009C319B" w:rsidRPr="00882DAD">
        <w:rPr>
          <w:rFonts w:asciiTheme="minorHAnsi" w:eastAsia="Calibri" w:hAnsiTheme="minorHAnsi" w:cstheme="minorHAnsi"/>
          <w:b/>
          <w:bCs/>
          <w:i w:val="0"/>
          <w:noProof/>
        </w:rPr>
        <w:t>7</w:t>
      </w:r>
      <w:r w:rsidRPr="00882DAD">
        <w:rPr>
          <w:rFonts w:asciiTheme="minorHAnsi" w:eastAsia="Calibri" w:hAnsiTheme="minorHAnsi" w:cstheme="minorHAnsi"/>
          <w:b/>
          <w:bCs/>
          <w:i w:val="0"/>
        </w:rPr>
        <w:fldChar w:fldCharType="end"/>
      </w:r>
      <w:bookmarkEnd w:id="356"/>
      <w:r w:rsidRPr="00882DAD">
        <w:rPr>
          <w:rFonts w:asciiTheme="minorHAnsi" w:eastAsia="Calibri" w:hAnsiTheme="minorHAnsi" w:cstheme="minorHAnsi"/>
          <w:b/>
          <w:bCs/>
          <w:i w:val="0"/>
        </w:rPr>
        <w:t xml:space="preserve"> </w:t>
      </w:r>
      <w:bookmarkStart w:id="358" w:name="_Toc258239052"/>
      <w:bookmarkEnd w:id="355"/>
      <w:r w:rsidR="0067747E" w:rsidRPr="00882DAD">
        <w:rPr>
          <w:rFonts w:asciiTheme="minorHAnsi" w:hAnsiTheme="minorHAnsi" w:cstheme="minorHAnsi"/>
          <w:i w:val="0"/>
        </w:rPr>
        <w:t>Raspodjela ukupne potrošnje energije po sektorima i energentima</w:t>
      </w:r>
      <w:bookmarkEnd w:id="357"/>
      <w:bookmarkEnd w:id="358"/>
    </w:p>
    <w:p w14:paraId="30406F78" w14:textId="6F645D35" w:rsidR="0067747E" w:rsidRDefault="00CB0CD8" w:rsidP="00E92750">
      <w:pPr>
        <w:spacing w:before="240" w:after="0" w:line="240" w:lineRule="auto"/>
        <w:jc w:val="both"/>
        <w:rPr>
          <w:rFonts w:cstheme="minorHAnsi"/>
          <w:color w:val="333333"/>
          <w:lang w:eastAsia="hr-HR"/>
        </w:rPr>
      </w:pPr>
      <w:r>
        <w:rPr>
          <w:rFonts w:cstheme="minorHAnsi"/>
          <w:lang w:eastAsia="hr-HR"/>
        </w:rPr>
        <w:t>Najveći udio (64,20</w:t>
      </w:r>
      <w:r w:rsidR="0067747E" w:rsidRPr="00241AEB">
        <w:rPr>
          <w:rFonts w:cstheme="minorHAnsi"/>
          <w:lang w:eastAsia="hr-HR"/>
        </w:rPr>
        <w:t>%) u ukupnoj potrošnji energije ima sektor zgradarstva, nakon k</w:t>
      </w:r>
      <w:r w:rsidR="00B41B2D" w:rsidRPr="00241AEB">
        <w:rPr>
          <w:rFonts w:cstheme="minorHAnsi"/>
          <w:lang w:eastAsia="hr-HR"/>
        </w:rPr>
        <w:t>oje</w:t>
      </w:r>
      <w:r>
        <w:rPr>
          <w:rFonts w:cstheme="minorHAnsi"/>
          <w:lang w:eastAsia="hr-HR"/>
        </w:rPr>
        <w:t>g slijedi sektor prometa s 35,10</w:t>
      </w:r>
      <w:r w:rsidR="0067747E" w:rsidRPr="00241AEB">
        <w:rPr>
          <w:rFonts w:cstheme="minorHAnsi"/>
          <w:lang w:eastAsia="hr-HR"/>
        </w:rPr>
        <w:t>%. Prirodni plin (</w:t>
      </w:r>
      <w:r>
        <w:rPr>
          <w:rFonts w:cstheme="minorHAnsi"/>
          <w:lang w:eastAsia="hr-HR"/>
        </w:rPr>
        <w:t>10 949,53</w:t>
      </w:r>
      <w:r w:rsidR="00B41B2D" w:rsidRPr="00241AEB">
        <w:rPr>
          <w:rFonts w:cstheme="minorHAnsi"/>
          <w:lang w:eastAsia="hr-HR"/>
        </w:rPr>
        <w:t xml:space="preserve"> TJ) i električna</w:t>
      </w:r>
      <w:r w:rsidR="0067747E" w:rsidRPr="00241AEB">
        <w:rPr>
          <w:rFonts w:cstheme="minorHAnsi"/>
          <w:lang w:eastAsia="hr-HR"/>
        </w:rPr>
        <w:t xml:space="preserve"> energija (</w:t>
      </w:r>
      <w:r>
        <w:rPr>
          <w:rFonts w:cstheme="minorHAnsi"/>
          <w:lang w:eastAsia="hr-HR"/>
        </w:rPr>
        <w:t>7 205,84</w:t>
      </w:r>
      <w:r w:rsidR="00B41B2D" w:rsidRPr="00241AEB">
        <w:rPr>
          <w:rFonts w:cstheme="minorHAnsi"/>
          <w:lang w:eastAsia="hr-HR"/>
        </w:rPr>
        <w:t xml:space="preserve"> TJ</w:t>
      </w:r>
      <w:r w:rsidR="0067747E" w:rsidRPr="00241AEB">
        <w:rPr>
          <w:rFonts w:cstheme="minorHAnsi"/>
          <w:lang w:eastAsia="hr-HR"/>
        </w:rPr>
        <w:t>) su najzastupljeniji energenti sektora zgradarstva, dok se u sektoru prometa najviše troše dizel (</w:t>
      </w:r>
      <w:r>
        <w:rPr>
          <w:rFonts w:cstheme="minorHAnsi"/>
          <w:lang w:eastAsia="hr-HR"/>
        </w:rPr>
        <w:t xml:space="preserve">9 </w:t>
      </w:r>
      <w:r w:rsidR="00B41B2D" w:rsidRPr="00241AEB">
        <w:rPr>
          <w:rFonts w:cstheme="minorHAnsi"/>
          <w:lang w:eastAsia="hr-HR"/>
        </w:rPr>
        <w:t>079,38 TJ</w:t>
      </w:r>
      <w:r w:rsidR="004D7D7C">
        <w:rPr>
          <w:rFonts w:cstheme="minorHAnsi"/>
          <w:lang w:eastAsia="hr-HR"/>
        </w:rPr>
        <w:t>) i benzin</w:t>
      </w:r>
      <w:r w:rsidR="0067747E" w:rsidRPr="00241AEB">
        <w:rPr>
          <w:rFonts w:cstheme="minorHAnsi"/>
          <w:lang w:eastAsia="hr-HR"/>
        </w:rPr>
        <w:t xml:space="preserve"> (</w:t>
      </w:r>
      <w:r>
        <w:rPr>
          <w:rFonts w:eastAsia="Times New Roman" w:cstheme="minorHAnsi"/>
          <w:color w:val="000000"/>
          <w:lang w:eastAsia="hr-HR"/>
        </w:rPr>
        <w:t xml:space="preserve">5 </w:t>
      </w:r>
      <w:r w:rsidR="004B48A3" w:rsidRPr="00241AEB">
        <w:rPr>
          <w:rFonts w:eastAsia="Times New Roman" w:cstheme="minorHAnsi"/>
          <w:color w:val="000000"/>
          <w:lang w:eastAsia="hr-HR"/>
        </w:rPr>
        <w:t>312,56 TJ</w:t>
      </w:r>
      <w:r w:rsidR="0067747E" w:rsidRPr="00241AEB">
        <w:rPr>
          <w:rFonts w:cstheme="minorHAnsi"/>
          <w:color w:val="333333"/>
          <w:lang w:eastAsia="hr-HR"/>
        </w:rPr>
        <w:t>).</w:t>
      </w:r>
    </w:p>
    <w:p w14:paraId="7F14B57D" w14:textId="77777777" w:rsidR="00563300" w:rsidRDefault="00563300" w:rsidP="00E92750">
      <w:pPr>
        <w:spacing w:before="240" w:after="0" w:line="240" w:lineRule="auto"/>
        <w:jc w:val="both"/>
        <w:rPr>
          <w:rFonts w:cstheme="minorHAnsi"/>
          <w:color w:val="333333"/>
          <w:lang w:eastAsia="hr-HR"/>
        </w:rPr>
      </w:pPr>
    </w:p>
    <w:p w14:paraId="588387A0" w14:textId="77777777" w:rsidR="00563300" w:rsidRDefault="00563300" w:rsidP="00E92750">
      <w:pPr>
        <w:spacing w:before="240" w:after="0" w:line="240" w:lineRule="auto"/>
        <w:jc w:val="both"/>
        <w:rPr>
          <w:rFonts w:cstheme="minorHAnsi"/>
          <w:color w:val="333333"/>
          <w:lang w:eastAsia="hr-HR"/>
        </w:rPr>
      </w:pPr>
    </w:p>
    <w:p w14:paraId="48F6F1D9" w14:textId="77777777" w:rsidR="00563300" w:rsidRDefault="00563300" w:rsidP="00E92750">
      <w:pPr>
        <w:spacing w:before="240" w:after="0" w:line="240" w:lineRule="auto"/>
        <w:jc w:val="both"/>
        <w:rPr>
          <w:rFonts w:cstheme="minorHAnsi"/>
          <w:color w:val="333333"/>
          <w:lang w:eastAsia="hr-HR"/>
        </w:rPr>
      </w:pPr>
    </w:p>
    <w:p w14:paraId="44A8DAD0" w14:textId="77777777" w:rsidR="00563300" w:rsidRDefault="00563300" w:rsidP="00E92750">
      <w:pPr>
        <w:spacing w:before="240" w:after="0" w:line="240" w:lineRule="auto"/>
        <w:jc w:val="both"/>
        <w:rPr>
          <w:rFonts w:cstheme="minorHAnsi"/>
          <w:color w:val="333333"/>
          <w:lang w:eastAsia="hr-HR"/>
        </w:rPr>
      </w:pPr>
    </w:p>
    <w:p w14:paraId="1CDF3442" w14:textId="77777777" w:rsidR="00563300" w:rsidRDefault="00563300" w:rsidP="00E92750">
      <w:pPr>
        <w:spacing w:before="240" w:after="0" w:line="240" w:lineRule="auto"/>
        <w:jc w:val="both"/>
        <w:rPr>
          <w:rFonts w:cstheme="minorHAnsi"/>
          <w:color w:val="333333"/>
          <w:lang w:eastAsia="hr-HR"/>
        </w:rPr>
      </w:pPr>
    </w:p>
    <w:p w14:paraId="39E48186" w14:textId="77777777" w:rsidR="00563300" w:rsidRDefault="00563300" w:rsidP="00E92750">
      <w:pPr>
        <w:spacing w:before="240" w:after="0" w:line="240" w:lineRule="auto"/>
        <w:jc w:val="both"/>
        <w:rPr>
          <w:rFonts w:cstheme="minorHAnsi"/>
          <w:color w:val="333333"/>
          <w:lang w:eastAsia="hr-HR"/>
        </w:rPr>
      </w:pPr>
    </w:p>
    <w:p w14:paraId="0E49B857" w14:textId="77777777" w:rsidR="00563300" w:rsidRDefault="00563300" w:rsidP="00E92750">
      <w:pPr>
        <w:spacing w:before="240" w:after="0" w:line="240" w:lineRule="auto"/>
        <w:jc w:val="both"/>
        <w:rPr>
          <w:rFonts w:cstheme="minorHAnsi"/>
          <w:color w:val="333333"/>
          <w:lang w:eastAsia="hr-HR"/>
        </w:rPr>
      </w:pPr>
    </w:p>
    <w:p w14:paraId="3D31A019" w14:textId="77777777" w:rsidR="00563300" w:rsidRDefault="00563300" w:rsidP="00E92750">
      <w:pPr>
        <w:spacing w:before="240" w:after="0" w:line="240" w:lineRule="auto"/>
        <w:jc w:val="both"/>
        <w:rPr>
          <w:rFonts w:cstheme="minorHAnsi"/>
          <w:color w:val="333333"/>
          <w:lang w:eastAsia="hr-HR"/>
        </w:rPr>
      </w:pPr>
    </w:p>
    <w:p w14:paraId="33D7A54A" w14:textId="77777777" w:rsidR="00563300" w:rsidRDefault="00563300" w:rsidP="00E92750">
      <w:pPr>
        <w:spacing w:before="240" w:after="0" w:line="240" w:lineRule="auto"/>
        <w:jc w:val="both"/>
        <w:rPr>
          <w:rFonts w:cstheme="minorHAnsi"/>
          <w:color w:val="333333"/>
          <w:lang w:eastAsia="hr-HR"/>
        </w:rPr>
      </w:pPr>
    </w:p>
    <w:p w14:paraId="72ECE949" w14:textId="77777777" w:rsidR="00563300" w:rsidRDefault="00563300" w:rsidP="00E92750">
      <w:pPr>
        <w:spacing w:before="240" w:after="0" w:line="240" w:lineRule="auto"/>
        <w:jc w:val="both"/>
        <w:rPr>
          <w:rFonts w:cstheme="minorHAnsi"/>
          <w:color w:val="333333"/>
          <w:lang w:eastAsia="hr-HR"/>
        </w:rPr>
      </w:pPr>
    </w:p>
    <w:p w14:paraId="330123DD" w14:textId="57AF7AA0" w:rsidR="0067747E" w:rsidRPr="00241AEB" w:rsidRDefault="00963C77" w:rsidP="00E92750">
      <w:pPr>
        <w:pStyle w:val="Heading3"/>
        <w:spacing w:after="240" w:line="240" w:lineRule="auto"/>
        <w:jc w:val="both"/>
        <w:rPr>
          <w:rFonts w:asciiTheme="minorHAnsi" w:hAnsiTheme="minorHAnsi" w:cstheme="minorHAnsi"/>
        </w:rPr>
      </w:pPr>
      <w:bookmarkStart w:id="359" w:name="_Toc258238937"/>
      <w:bookmarkStart w:id="360" w:name="_Toc468345389"/>
      <w:r w:rsidRPr="00241AEB">
        <w:rPr>
          <w:rFonts w:asciiTheme="minorHAnsi" w:hAnsiTheme="minorHAnsi" w:cstheme="minorHAnsi"/>
        </w:rPr>
        <w:lastRenderedPageBreak/>
        <w:t>Kontrolni inventar e</w:t>
      </w:r>
      <w:r w:rsidR="0067747E" w:rsidRPr="00241AEB">
        <w:rPr>
          <w:rFonts w:asciiTheme="minorHAnsi" w:hAnsiTheme="minorHAnsi" w:cstheme="minorHAnsi"/>
        </w:rPr>
        <w:t>misije CO</w:t>
      </w:r>
      <w:r w:rsidR="0067747E" w:rsidRPr="00241AEB">
        <w:rPr>
          <w:rFonts w:asciiTheme="minorHAnsi" w:hAnsiTheme="minorHAnsi" w:cstheme="minorHAnsi"/>
          <w:vertAlign w:val="subscript"/>
        </w:rPr>
        <w:t>2</w:t>
      </w:r>
      <w:r w:rsidR="0067747E" w:rsidRPr="00241AEB">
        <w:rPr>
          <w:rFonts w:asciiTheme="minorHAnsi" w:hAnsiTheme="minorHAnsi" w:cstheme="minorHAnsi"/>
        </w:rPr>
        <w:t xml:space="preserve"> Grada Zagreba</w:t>
      </w:r>
      <w:bookmarkEnd w:id="359"/>
      <w:r w:rsidRPr="00241AEB">
        <w:rPr>
          <w:rFonts w:asciiTheme="minorHAnsi" w:hAnsiTheme="minorHAnsi" w:cstheme="minorHAnsi"/>
        </w:rPr>
        <w:t xml:space="preserve"> u 2015. godini</w:t>
      </w:r>
      <w:bookmarkEnd w:id="360"/>
    </w:p>
    <w:p w14:paraId="7B17A165" w14:textId="7858B908" w:rsidR="0067747E" w:rsidRPr="00241AEB" w:rsidRDefault="00963C77" w:rsidP="00E92750">
      <w:pPr>
        <w:spacing w:line="240" w:lineRule="auto"/>
        <w:jc w:val="both"/>
        <w:rPr>
          <w:rFonts w:cstheme="minorHAnsi"/>
        </w:rPr>
      </w:pPr>
      <w:r w:rsidRPr="00241AEB">
        <w:rPr>
          <w:rFonts w:cstheme="minorHAnsi"/>
        </w:rPr>
        <w:t>Ukupni</w:t>
      </w:r>
      <w:r w:rsidR="00D41B36" w:rsidRPr="00241AEB">
        <w:rPr>
          <w:rFonts w:cstheme="minorHAnsi"/>
        </w:rPr>
        <w:t xml:space="preserve"> </w:t>
      </w:r>
      <w:r w:rsidRPr="00241AEB">
        <w:rPr>
          <w:rFonts w:cstheme="minorHAnsi"/>
        </w:rPr>
        <w:t xml:space="preserve">Kontrolni inventar </w:t>
      </w:r>
      <w:r w:rsidR="00D41B36" w:rsidRPr="00241AEB">
        <w:rPr>
          <w:rFonts w:cstheme="minorHAnsi"/>
        </w:rPr>
        <w:t>emisija CO</w:t>
      </w:r>
      <w:r w:rsidR="00D41B36" w:rsidRPr="00241AEB">
        <w:rPr>
          <w:rFonts w:cstheme="minorHAnsi"/>
          <w:vertAlign w:val="subscript"/>
        </w:rPr>
        <w:t xml:space="preserve">2 </w:t>
      </w:r>
      <w:r w:rsidR="00D41B36" w:rsidRPr="00241AEB">
        <w:rPr>
          <w:rFonts w:cstheme="minorHAnsi"/>
        </w:rPr>
        <w:t xml:space="preserve"> iz promatranih </w:t>
      </w:r>
      <w:r w:rsidRPr="00241AEB">
        <w:rPr>
          <w:rFonts w:cstheme="minorHAnsi"/>
        </w:rPr>
        <w:t>sektora u Gradu Zagrebu u 2015. godini iznosio je</w:t>
      </w:r>
      <w:r w:rsidR="00D41B36" w:rsidRPr="00241AEB">
        <w:rPr>
          <w:rFonts w:cstheme="minorHAnsi"/>
        </w:rPr>
        <w:t xml:space="preserve"> </w:t>
      </w:r>
      <w:r w:rsidR="0015516E">
        <w:rPr>
          <w:rFonts w:cstheme="minorHAnsi"/>
          <w:lang w:eastAsia="hr-HR"/>
        </w:rPr>
        <w:t>2 930</w:t>
      </w:r>
      <w:r w:rsidR="00D41B36" w:rsidRPr="00241AEB">
        <w:rPr>
          <w:rFonts w:cstheme="minorHAnsi"/>
        </w:rPr>
        <w:t xml:space="preserve"> kt CO</w:t>
      </w:r>
      <w:r w:rsidR="00D41B36" w:rsidRPr="00241AEB">
        <w:rPr>
          <w:rFonts w:cstheme="minorHAnsi"/>
          <w:vertAlign w:val="subscript"/>
        </w:rPr>
        <w:t>2</w:t>
      </w:r>
      <w:r w:rsidR="00D41B36" w:rsidRPr="00241AEB">
        <w:rPr>
          <w:rFonts w:cstheme="minorHAnsi"/>
        </w:rPr>
        <w:t xml:space="preserve">, </w:t>
      </w:r>
      <w:r w:rsidR="00225865" w:rsidRPr="00241AEB">
        <w:rPr>
          <w:rFonts w:cstheme="minorHAnsi"/>
        </w:rPr>
        <w:fldChar w:fldCharType="begin"/>
      </w:r>
      <w:r w:rsidR="00225865" w:rsidRPr="00241AEB">
        <w:rPr>
          <w:rFonts w:cstheme="minorHAnsi"/>
        </w:rPr>
        <w:instrText xml:space="preserve"> REF _Ref467087439 \h  \* MERGEFORMAT </w:instrText>
      </w:r>
      <w:r w:rsidR="00225865" w:rsidRPr="00241AEB">
        <w:rPr>
          <w:rFonts w:cstheme="minorHAnsi"/>
        </w:rPr>
      </w:r>
      <w:r w:rsidR="00225865" w:rsidRPr="00241AEB">
        <w:rPr>
          <w:rFonts w:cstheme="minorHAnsi"/>
        </w:rPr>
        <w:fldChar w:fldCharType="separate"/>
      </w:r>
      <w:r w:rsidR="009C319B" w:rsidRPr="00241AEB">
        <w:rPr>
          <w:rFonts w:ascii="Calibri" w:eastAsia="Calibri" w:hAnsi="Calibri" w:cs="Times New Roman"/>
          <w:b/>
          <w:bCs/>
        </w:rPr>
        <w:t xml:space="preserve">Tablica </w:t>
      </w:r>
      <w:r w:rsidR="009C319B">
        <w:rPr>
          <w:rFonts w:ascii="Calibri" w:eastAsia="Calibri" w:hAnsi="Calibri" w:cs="Times New Roman"/>
          <w:b/>
          <w:bCs/>
          <w:noProof/>
        </w:rPr>
        <w:t>7</w:t>
      </w:r>
      <w:r w:rsidR="009C319B" w:rsidRPr="00241AEB">
        <w:rPr>
          <w:rFonts w:ascii="Calibri" w:eastAsia="Calibri" w:hAnsi="Calibri" w:cs="Times New Roman"/>
          <w:b/>
          <w:bCs/>
          <w:noProof/>
        </w:rPr>
        <w:t>.</w:t>
      </w:r>
      <w:r w:rsidR="009C319B">
        <w:rPr>
          <w:rFonts w:ascii="Calibri" w:eastAsia="Calibri" w:hAnsi="Calibri" w:cs="Times New Roman"/>
          <w:b/>
          <w:bCs/>
          <w:noProof/>
        </w:rPr>
        <w:t>6</w:t>
      </w:r>
      <w:r w:rsidR="00225865" w:rsidRPr="00241AEB">
        <w:rPr>
          <w:rFonts w:cstheme="minorHAnsi"/>
        </w:rPr>
        <w:fldChar w:fldCharType="end"/>
      </w:r>
      <w:r w:rsidR="0067747E" w:rsidRPr="00241AEB">
        <w:rPr>
          <w:rFonts w:cstheme="minorHAnsi"/>
        </w:rPr>
        <w:t xml:space="preserve">. </w:t>
      </w:r>
    </w:p>
    <w:p w14:paraId="5933F679" w14:textId="3E0DA8D8" w:rsidR="0067747E" w:rsidRPr="00241AEB" w:rsidRDefault="00225865" w:rsidP="00E92750">
      <w:pPr>
        <w:spacing w:after="0" w:line="240" w:lineRule="auto"/>
        <w:jc w:val="both"/>
        <w:rPr>
          <w:rFonts w:cstheme="minorHAnsi"/>
        </w:rPr>
      </w:pPr>
      <w:bookmarkStart w:id="361" w:name="_Ref467087439"/>
      <w:bookmarkStart w:id="362" w:name="_Toc468277518"/>
      <w:r w:rsidRPr="00241AEB">
        <w:rPr>
          <w:rFonts w:ascii="Calibri" w:eastAsia="Calibri" w:hAnsi="Calibri" w:cs="Times New Roman"/>
          <w:b/>
          <w:bCs/>
        </w:rPr>
        <w:t xml:space="preserve">Tablica </w:t>
      </w:r>
      <w:r w:rsidRPr="00241AEB">
        <w:rPr>
          <w:rFonts w:ascii="Calibri" w:eastAsia="Calibri" w:hAnsi="Calibri" w:cs="Times New Roman"/>
          <w:b/>
          <w:bCs/>
        </w:rPr>
        <w:fldChar w:fldCharType="begin"/>
      </w:r>
      <w:r w:rsidRPr="00241AEB">
        <w:rPr>
          <w:rFonts w:ascii="Calibri" w:eastAsia="Calibri" w:hAnsi="Calibri" w:cs="Times New Roman"/>
          <w:b/>
          <w:bCs/>
        </w:rPr>
        <w:instrText xml:space="preserve"> STYLEREF 1 \s </w:instrText>
      </w:r>
      <w:r w:rsidRPr="00241AEB">
        <w:rPr>
          <w:rFonts w:ascii="Calibri" w:eastAsia="Calibri" w:hAnsi="Calibri" w:cs="Times New Roman"/>
          <w:b/>
          <w:bCs/>
        </w:rPr>
        <w:fldChar w:fldCharType="separate"/>
      </w:r>
      <w:r w:rsidR="009C319B">
        <w:rPr>
          <w:rFonts w:ascii="Calibri" w:eastAsia="Calibri" w:hAnsi="Calibri" w:cs="Times New Roman"/>
          <w:b/>
          <w:bCs/>
          <w:noProof/>
        </w:rPr>
        <w:t>7</w:t>
      </w:r>
      <w:r w:rsidRPr="00241AEB">
        <w:rPr>
          <w:rFonts w:ascii="Calibri" w:eastAsia="Calibri" w:hAnsi="Calibri" w:cs="Times New Roman"/>
          <w:b/>
          <w:bCs/>
        </w:rPr>
        <w:fldChar w:fldCharType="end"/>
      </w:r>
      <w:r w:rsidRPr="00241AEB">
        <w:rPr>
          <w:rFonts w:ascii="Calibri" w:eastAsia="Calibri" w:hAnsi="Calibri" w:cs="Times New Roman"/>
          <w:b/>
          <w:bCs/>
        </w:rPr>
        <w:t>.</w:t>
      </w:r>
      <w:r w:rsidRPr="00241AEB">
        <w:rPr>
          <w:rFonts w:ascii="Calibri" w:eastAsia="Calibri" w:hAnsi="Calibri" w:cs="Times New Roman"/>
          <w:b/>
          <w:bCs/>
        </w:rPr>
        <w:fldChar w:fldCharType="begin"/>
      </w:r>
      <w:r w:rsidRPr="00241AEB">
        <w:rPr>
          <w:rFonts w:ascii="Calibri" w:eastAsia="Calibri" w:hAnsi="Calibri" w:cs="Times New Roman"/>
          <w:b/>
          <w:bCs/>
        </w:rPr>
        <w:instrText xml:space="preserve"> SEQ Tablica \* ARABIC \s 1 </w:instrText>
      </w:r>
      <w:r w:rsidRPr="00241AEB">
        <w:rPr>
          <w:rFonts w:ascii="Calibri" w:eastAsia="Calibri" w:hAnsi="Calibri" w:cs="Times New Roman"/>
          <w:b/>
          <w:bCs/>
        </w:rPr>
        <w:fldChar w:fldCharType="separate"/>
      </w:r>
      <w:r w:rsidR="009C319B">
        <w:rPr>
          <w:rFonts w:ascii="Calibri" w:eastAsia="Calibri" w:hAnsi="Calibri" w:cs="Times New Roman"/>
          <w:b/>
          <w:bCs/>
          <w:noProof/>
        </w:rPr>
        <w:t>6</w:t>
      </w:r>
      <w:r w:rsidRPr="00241AEB">
        <w:rPr>
          <w:rFonts w:ascii="Calibri" w:eastAsia="Calibri" w:hAnsi="Calibri" w:cs="Times New Roman"/>
          <w:b/>
          <w:bCs/>
        </w:rPr>
        <w:fldChar w:fldCharType="end"/>
      </w:r>
      <w:bookmarkStart w:id="363" w:name="_Toc258239088"/>
      <w:bookmarkEnd w:id="361"/>
      <w:r w:rsidRPr="00241AEB">
        <w:rPr>
          <w:rFonts w:ascii="Calibri" w:eastAsia="Calibri" w:hAnsi="Calibri" w:cs="Times New Roman"/>
          <w:b/>
          <w:bCs/>
        </w:rPr>
        <w:t xml:space="preserve"> </w:t>
      </w:r>
      <w:r w:rsidR="00963C77" w:rsidRPr="00241AEB">
        <w:rPr>
          <w:rFonts w:ascii="Calibri" w:eastAsia="Calibri" w:hAnsi="Calibri" w:cs="Times New Roman"/>
          <w:bCs/>
        </w:rPr>
        <w:t>Kontrolni inventar</w:t>
      </w:r>
      <w:r w:rsidR="00963C77" w:rsidRPr="00241AEB">
        <w:rPr>
          <w:rFonts w:ascii="Calibri" w:eastAsia="Calibri" w:hAnsi="Calibri" w:cs="Times New Roman"/>
          <w:b/>
          <w:bCs/>
        </w:rPr>
        <w:t xml:space="preserve"> </w:t>
      </w:r>
      <w:r w:rsidR="00963C77" w:rsidRPr="00241AEB">
        <w:rPr>
          <w:rFonts w:cstheme="minorHAnsi"/>
        </w:rPr>
        <w:t>e</w:t>
      </w:r>
      <w:r w:rsidR="0067747E" w:rsidRPr="00241AEB">
        <w:rPr>
          <w:rFonts w:cstheme="minorHAnsi"/>
        </w:rPr>
        <w:t>misija CO</w:t>
      </w:r>
      <w:r w:rsidR="0067747E" w:rsidRPr="00241AEB">
        <w:rPr>
          <w:rFonts w:cstheme="minorHAnsi"/>
          <w:vertAlign w:val="subscript"/>
        </w:rPr>
        <w:t>2</w:t>
      </w:r>
      <w:r w:rsidR="0067747E" w:rsidRPr="00241AEB">
        <w:rPr>
          <w:rFonts w:cstheme="minorHAnsi"/>
        </w:rPr>
        <w:t xml:space="preserve"> </w:t>
      </w:r>
      <w:r w:rsidR="00963C77" w:rsidRPr="00241AEB">
        <w:rPr>
          <w:rFonts w:cstheme="minorHAnsi"/>
        </w:rPr>
        <w:t xml:space="preserve">u 2015. godini </w:t>
      </w:r>
      <w:r w:rsidR="0067747E" w:rsidRPr="00241AEB">
        <w:rPr>
          <w:rFonts w:cstheme="minorHAnsi"/>
        </w:rPr>
        <w:t>po sektorima i energentima</w:t>
      </w:r>
      <w:bookmarkEnd w:id="362"/>
      <w:bookmarkEnd w:id="363"/>
    </w:p>
    <w:tbl>
      <w:tblPr>
        <w:tblW w:w="5478" w:type="pct"/>
        <w:tblLook w:val="04A0" w:firstRow="1" w:lastRow="0" w:firstColumn="1" w:lastColumn="0" w:noHBand="0" w:noVBand="1"/>
      </w:tblPr>
      <w:tblGrid>
        <w:gridCol w:w="1571"/>
        <w:gridCol w:w="1329"/>
        <w:gridCol w:w="1376"/>
        <w:gridCol w:w="1650"/>
        <w:gridCol w:w="2215"/>
        <w:gridCol w:w="1785"/>
      </w:tblGrid>
      <w:tr w:rsidR="0015516E" w:rsidRPr="00D032F7" w14:paraId="736EFCF6" w14:textId="77777777" w:rsidTr="004D7D7C">
        <w:trPr>
          <w:trHeight w:val="300"/>
        </w:trPr>
        <w:tc>
          <w:tcPr>
            <w:tcW w:w="776" w:type="pct"/>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D85BC78" w14:textId="77777777" w:rsidR="00CB0CD8" w:rsidRPr="00D032F7" w:rsidRDefault="00CB0CD8" w:rsidP="00CB0CD8">
            <w:pPr>
              <w:spacing w:after="0" w:line="240" w:lineRule="auto"/>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Energent</w:t>
            </w:r>
          </w:p>
        </w:tc>
        <w:tc>
          <w:tcPr>
            <w:tcW w:w="3322" w:type="pct"/>
            <w:gridSpan w:val="4"/>
            <w:tcBorders>
              <w:top w:val="single" w:sz="4" w:space="0" w:color="auto"/>
              <w:left w:val="nil"/>
              <w:bottom w:val="single" w:sz="4" w:space="0" w:color="auto"/>
              <w:right w:val="single" w:sz="4" w:space="0" w:color="auto"/>
            </w:tcBorders>
            <w:shd w:val="clear" w:color="000000" w:fill="D9D9D9"/>
            <w:noWrap/>
            <w:vAlign w:val="bottom"/>
            <w:hideMark/>
          </w:tcPr>
          <w:p w14:paraId="3E9C28ED"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Emisija, t CO₂</w:t>
            </w:r>
          </w:p>
        </w:tc>
        <w:tc>
          <w:tcPr>
            <w:tcW w:w="902" w:type="pct"/>
            <w:tcBorders>
              <w:top w:val="single" w:sz="4" w:space="0" w:color="auto"/>
              <w:left w:val="nil"/>
              <w:bottom w:val="single" w:sz="4" w:space="0" w:color="auto"/>
              <w:right w:val="single" w:sz="4" w:space="0" w:color="auto"/>
            </w:tcBorders>
            <w:shd w:val="clear" w:color="000000" w:fill="D9D9D9"/>
            <w:vAlign w:val="bottom"/>
            <w:hideMark/>
          </w:tcPr>
          <w:p w14:paraId="07DAE424"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w:t>
            </w:r>
          </w:p>
        </w:tc>
      </w:tr>
      <w:tr w:rsidR="0015516E" w:rsidRPr="00D032F7" w14:paraId="10D89833" w14:textId="77777777" w:rsidTr="004D7D7C">
        <w:trPr>
          <w:trHeight w:val="137"/>
        </w:trPr>
        <w:tc>
          <w:tcPr>
            <w:tcW w:w="776" w:type="pct"/>
            <w:vMerge/>
            <w:tcBorders>
              <w:top w:val="single" w:sz="4" w:space="0" w:color="auto"/>
              <w:left w:val="single" w:sz="4" w:space="0" w:color="auto"/>
              <w:bottom w:val="single" w:sz="4" w:space="0" w:color="auto"/>
              <w:right w:val="single" w:sz="4" w:space="0" w:color="auto"/>
            </w:tcBorders>
            <w:vAlign w:val="center"/>
            <w:hideMark/>
          </w:tcPr>
          <w:p w14:paraId="03EB58F0" w14:textId="77777777" w:rsidR="00CB0CD8" w:rsidRPr="00D032F7" w:rsidRDefault="00CB0CD8" w:rsidP="00CB0CD8">
            <w:pPr>
              <w:spacing w:after="0" w:line="240" w:lineRule="auto"/>
              <w:rPr>
                <w:rFonts w:ascii="Calibri" w:eastAsia="Times New Roman" w:hAnsi="Calibri" w:cs="Times New Roman"/>
                <w:bCs/>
                <w:color w:val="000000"/>
                <w:sz w:val="18"/>
                <w:szCs w:val="18"/>
                <w:lang w:eastAsia="hr-HR"/>
              </w:rPr>
            </w:pPr>
          </w:p>
        </w:tc>
        <w:tc>
          <w:tcPr>
            <w:tcW w:w="673" w:type="pct"/>
            <w:tcBorders>
              <w:top w:val="nil"/>
              <w:left w:val="nil"/>
              <w:bottom w:val="single" w:sz="4" w:space="0" w:color="auto"/>
              <w:right w:val="single" w:sz="4" w:space="0" w:color="auto"/>
            </w:tcBorders>
            <w:shd w:val="clear" w:color="000000" w:fill="D9D9D9"/>
            <w:hideMark/>
          </w:tcPr>
          <w:p w14:paraId="76BFB47E"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Promet</w:t>
            </w:r>
          </w:p>
        </w:tc>
        <w:tc>
          <w:tcPr>
            <w:tcW w:w="696" w:type="pct"/>
            <w:tcBorders>
              <w:top w:val="nil"/>
              <w:left w:val="nil"/>
              <w:bottom w:val="single" w:sz="4" w:space="0" w:color="auto"/>
              <w:right w:val="single" w:sz="4" w:space="0" w:color="auto"/>
            </w:tcBorders>
            <w:shd w:val="clear" w:color="000000" w:fill="D9D9D9"/>
            <w:hideMark/>
          </w:tcPr>
          <w:p w14:paraId="337C46A7"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Javna rasvjeta</w:t>
            </w:r>
          </w:p>
        </w:tc>
        <w:tc>
          <w:tcPr>
            <w:tcW w:w="834" w:type="pct"/>
            <w:tcBorders>
              <w:top w:val="nil"/>
              <w:left w:val="nil"/>
              <w:bottom w:val="single" w:sz="4" w:space="0" w:color="auto"/>
              <w:right w:val="single" w:sz="4" w:space="0" w:color="auto"/>
            </w:tcBorders>
            <w:shd w:val="clear" w:color="000000" w:fill="D9D9D9"/>
            <w:noWrap/>
            <w:hideMark/>
          </w:tcPr>
          <w:p w14:paraId="41AF3854"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Zgradarstvo</w:t>
            </w:r>
          </w:p>
        </w:tc>
        <w:tc>
          <w:tcPr>
            <w:tcW w:w="1119" w:type="pct"/>
            <w:tcBorders>
              <w:top w:val="nil"/>
              <w:left w:val="nil"/>
              <w:bottom w:val="single" w:sz="4" w:space="0" w:color="auto"/>
              <w:right w:val="single" w:sz="4" w:space="0" w:color="auto"/>
            </w:tcBorders>
            <w:shd w:val="clear" w:color="000000" w:fill="D9D9D9"/>
            <w:hideMark/>
          </w:tcPr>
          <w:p w14:paraId="7A10C92D"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Ukupno po energentima</w:t>
            </w:r>
          </w:p>
        </w:tc>
        <w:tc>
          <w:tcPr>
            <w:tcW w:w="902" w:type="pct"/>
            <w:tcBorders>
              <w:top w:val="nil"/>
              <w:left w:val="nil"/>
              <w:bottom w:val="single" w:sz="4" w:space="0" w:color="auto"/>
              <w:right w:val="single" w:sz="4" w:space="0" w:color="auto"/>
            </w:tcBorders>
            <w:shd w:val="clear" w:color="000000" w:fill="D9D9D9"/>
            <w:hideMark/>
          </w:tcPr>
          <w:p w14:paraId="7102BB4E"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Udio po energentima</w:t>
            </w:r>
          </w:p>
        </w:tc>
      </w:tr>
      <w:tr w:rsidR="0015516E" w:rsidRPr="00D032F7" w14:paraId="523DE598"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60538F8D"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Dizel</w:t>
            </w:r>
          </w:p>
        </w:tc>
        <w:tc>
          <w:tcPr>
            <w:tcW w:w="673" w:type="pct"/>
            <w:tcBorders>
              <w:top w:val="nil"/>
              <w:left w:val="nil"/>
              <w:bottom w:val="single" w:sz="4" w:space="0" w:color="auto"/>
              <w:right w:val="single" w:sz="4" w:space="0" w:color="auto"/>
            </w:tcBorders>
            <w:shd w:val="clear" w:color="auto" w:fill="auto"/>
            <w:vAlign w:val="bottom"/>
            <w:hideMark/>
          </w:tcPr>
          <w:p w14:paraId="00B708D1" w14:textId="6D5C33FA"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671 </w:t>
            </w:r>
            <w:r w:rsidR="00CB0CD8" w:rsidRPr="00D032F7">
              <w:rPr>
                <w:rFonts w:ascii="Calibri" w:eastAsia="Times New Roman" w:hAnsi="Calibri" w:cs="Times New Roman"/>
                <w:bCs/>
                <w:color w:val="000000"/>
                <w:sz w:val="18"/>
                <w:szCs w:val="18"/>
                <w:lang w:eastAsia="hr-HR"/>
              </w:rPr>
              <w:t>042,61</w:t>
            </w:r>
          </w:p>
        </w:tc>
        <w:tc>
          <w:tcPr>
            <w:tcW w:w="696" w:type="pct"/>
            <w:tcBorders>
              <w:top w:val="nil"/>
              <w:left w:val="nil"/>
              <w:bottom w:val="single" w:sz="4" w:space="0" w:color="auto"/>
              <w:right w:val="single" w:sz="4" w:space="0" w:color="auto"/>
            </w:tcBorders>
            <w:shd w:val="clear" w:color="auto" w:fill="auto"/>
            <w:noWrap/>
            <w:vAlign w:val="bottom"/>
            <w:hideMark/>
          </w:tcPr>
          <w:p w14:paraId="08D9DF52"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834" w:type="pct"/>
            <w:tcBorders>
              <w:top w:val="nil"/>
              <w:left w:val="nil"/>
              <w:bottom w:val="single" w:sz="4" w:space="0" w:color="auto"/>
              <w:right w:val="single" w:sz="4" w:space="0" w:color="auto"/>
            </w:tcBorders>
            <w:shd w:val="clear" w:color="auto" w:fill="auto"/>
            <w:noWrap/>
            <w:vAlign w:val="bottom"/>
            <w:hideMark/>
          </w:tcPr>
          <w:p w14:paraId="2958F268"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1119" w:type="pct"/>
            <w:tcBorders>
              <w:top w:val="nil"/>
              <w:left w:val="nil"/>
              <w:bottom w:val="single" w:sz="4" w:space="0" w:color="auto"/>
              <w:right w:val="single" w:sz="4" w:space="0" w:color="auto"/>
            </w:tcBorders>
            <w:shd w:val="clear" w:color="auto" w:fill="auto"/>
            <w:noWrap/>
            <w:vAlign w:val="bottom"/>
            <w:hideMark/>
          </w:tcPr>
          <w:p w14:paraId="545845CD" w14:textId="5880AF8F" w:rsidR="00CB0CD8" w:rsidRPr="00D032F7" w:rsidRDefault="00A47B97"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671 </w:t>
            </w:r>
            <w:r w:rsidR="00CB0CD8" w:rsidRPr="00D032F7">
              <w:rPr>
                <w:rFonts w:ascii="Calibri" w:eastAsia="Times New Roman" w:hAnsi="Calibri" w:cs="Times New Roman"/>
                <w:bCs/>
                <w:color w:val="000000"/>
                <w:sz w:val="18"/>
                <w:szCs w:val="18"/>
                <w:lang w:eastAsia="hr-HR"/>
              </w:rPr>
              <w:t>042,61</w:t>
            </w:r>
          </w:p>
        </w:tc>
        <w:tc>
          <w:tcPr>
            <w:tcW w:w="902" w:type="pct"/>
            <w:tcBorders>
              <w:top w:val="nil"/>
              <w:left w:val="nil"/>
              <w:bottom w:val="single" w:sz="4" w:space="0" w:color="auto"/>
              <w:right w:val="single" w:sz="4" w:space="0" w:color="auto"/>
            </w:tcBorders>
            <w:shd w:val="clear" w:color="auto" w:fill="auto"/>
            <w:vAlign w:val="bottom"/>
            <w:hideMark/>
          </w:tcPr>
          <w:p w14:paraId="597AACA4"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22,90%</w:t>
            </w:r>
          </w:p>
        </w:tc>
      </w:tr>
      <w:tr w:rsidR="0015516E" w:rsidRPr="00D032F7" w14:paraId="186CE51C"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2B9DE624"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Motorni benzin</w:t>
            </w:r>
          </w:p>
        </w:tc>
        <w:tc>
          <w:tcPr>
            <w:tcW w:w="673" w:type="pct"/>
            <w:tcBorders>
              <w:top w:val="nil"/>
              <w:left w:val="nil"/>
              <w:bottom w:val="single" w:sz="4" w:space="0" w:color="auto"/>
              <w:right w:val="single" w:sz="4" w:space="0" w:color="auto"/>
            </w:tcBorders>
            <w:shd w:val="clear" w:color="auto" w:fill="auto"/>
            <w:vAlign w:val="bottom"/>
            <w:hideMark/>
          </w:tcPr>
          <w:p w14:paraId="6392B876" w14:textId="062DF20E"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372 </w:t>
            </w:r>
            <w:r w:rsidR="00CB0CD8" w:rsidRPr="00D032F7">
              <w:rPr>
                <w:rFonts w:ascii="Calibri" w:eastAsia="Times New Roman" w:hAnsi="Calibri" w:cs="Times New Roman"/>
                <w:bCs/>
                <w:color w:val="000000"/>
                <w:sz w:val="18"/>
                <w:szCs w:val="18"/>
                <w:lang w:eastAsia="hr-HR"/>
              </w:rPr>
              <w:t>278,01</w:t>
            </w:r>
          </w:p>
        </w:tc>
        <w:tc>
          <w:tcPr>
            <w:tcW w:w="696" w:type="pct"/>
            <w:tcBorders>
              <w:top w:val="nil"/>
              <w:left w:val="nil"/>
              <w:bottom w:val="single" w:sz="4" w:space="0" w:color="auto"/>
              <w:right w:val="single" w:sz="4" w:space="0" w:color="auto"/>
            </w:tcBorders>
            <w:shd w:val="clear" w:color="auto" w:fill="auto"/>
            <w:noWrap/>
            <w:vAlign w:val="bottom"/>
            <w:hideMark/>
          </w:tcPr>
          <w:p w14:paraId="0EBB685A"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834" w:type="pct"/>
            <w:tcBorders>
              <w:top w:val="nil"/>
              <w:left w:val="nil"/>
              <w:bottom w:val="single" w:sz="4" w:space="0" w:color="auto"/>
              <w:right w:val="single" w:sz="4" w:space="0" w:color="auto"/>
            </w:tcBorders>
            <w:shd w:val="clear" w:color="auto" w:fill="auto"/>
            <w:noWrap/>
            <w:vAlign w:val="bottom"/>
            <w:hideMark/>
          </w:tcPr>
          <w:p w14:paraId="469F043C"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1119" w:type="pct"/>
            <w:tcBorders>
              <w:top w:val="nil"/>
              <w:left w:val="nil"/>
              <w:bottom w:val="single" w:sz="4" w:space="0" w:color="auto"/>
              <w:right w:val="single" w:sz="4" w:space="0" w:color="auto"/>
            </w:tcBorders>
            <w:shd w:val="clear" w:color="auto" w:fill="auto"/>
            <w:noWrap/>
            <w:vAlign w:val="bottom"/>
            <w:hideMark/>
          </w:tcPr>
          <w:p w14:paraId="5D724CD5" w14:textId="60F0E032" w:rsidR="00CB0CD8" w:rsidRPr="00D032F7" w:rsidRDefault="00A47B97"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372 </w:t>
            </w:r>
            <w:r w:rsidR="00CB0CD8" w:rsidRPr="00D032F7">
              <w:rPr>
                <w:rFonts w:ascii="Calibri" w:eastAsia="Times New Roman" w:hAnsi="Calibri" w:cs="Times New Roman"/>
                <w:bCs/>
                <w:color w:val="000000"/>
                <w:sz w:val="18"/>
                <w:szCs w:val="18"/>
                <w:lang w:eastAsia="hr-HR"/>
              </w:rPr>
              <w:t>278,01</w:t>
            </w:r>
          </w:p>
        </w:tc>
        <w:tc>
          <w:tcPr>
            <w:tcW w:w="902" w:type="pct"/>
            <w:tcBorders>
              <w:top w:val="nil"/>
              <w:left w:val="nil"/>
              <w:bottom w:val="single" w:sz="4" w:space="0" w:color="auto"/>
              <w:right w:val="single" w:sz="4" w:space="0" w:color="auto"/>
            </w:tcBorders>
            <w:shd w:val="clear" w:color="auto" w:fill="auto"/>
            <w:vAlign w:val="bottom"/>
            <w:hideMark/>
          </w:tcPr>
          <w:p w14:paraId="04FA7BD2"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12,70%</w:t>
            </w:r>
          </w:p>
        </w:tc>
      </w:tr>
      <w:tr w:rsidR="0015516E" w:rsidRPr="00D032F7" w14:paraId="2ED3D2E0"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249E1108"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LPG</w:t>
            </w:r>
          </w:p>
        </w:tc>
        <w:tc>
          <w:tcPr>
            <w:tcW w:w="673" w:type="pct"/>
            <w:tcBorders>
              <w:top w:val="nil"/>
              <w:left w:val="nil"/>
              <w:bottom w:val="single" w:sz="4" w:space="0" w:color="auto"/>
              <w:right w:val="single" w:sz="4" w:space="0" w:color="auto"/>
            </w:tcBorders>
            <w:shd w:val="clear" w:color="auto" w:fill="auto"/>
            <w:vAlign w:val="bottom"/>
            <w:hideMark/>
          </w:tcPr>
          <w:p w14:paraId="5F0019AD" w14:textId="0E909A5F"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28 </w:t>
            </w:r>
            <w:r w:rsidR="00CB0CD8" w:rsidRPr="00D032F7">
              <w:rPr>
                <w:rFonts w:ascii="Calibri" w:eastAsia="Times New Roman" w:hAnsi="Calibri" w:cs="Times New Roman"/>
                <w:bCs/>
                <w:color w:val="000000"/>
                <w:sz w:val="18"/>
                <w:szCs w:val="18"/>
                <w:lang w:eastAsia="hr-HR"/>
              </w:rPr>
              <w:t>042,65</w:t>
            </w:r>
          </w:p>
        </w:tc>
        <w:tc>
          <w:tcPr>
            <w:tcW w:w="696" w:type="pct"/>
            <w:tcBorders>
              <w:top w:val="nil"/>
              <w:left w:val="nil"/>
              <w:bottom w:val="single" w:sz="4" w:space="0" w:color="auto"/>
              <w:right w:val="single" w:sz="4" w:space="0" w:color="auto"/>
            </w:tcBorders>
            <w:shd w:val="clear" w:color="auto" w:fill="auto"/>
            <w:noWrap/>
            <w:vAlign w:val="bottom"/>
            <w:hideMark/>
          </w:tcPr>
          <w:p w14:paraId="21E5DD6A"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834" w:type="pct"/>
            <w:tcBorders>
              <w:top w:val="nil"/>
              <w:left w:val="nil"/>
              <w:bottom w:val="single" w:sz="4" w:space="0" w:color="auto"/>
              <w:right w:val="single" w:sz="4" w:space="0" w:color="auto"/>
            </w:tcBorders>
            <w:shd w:val="clear" w:color="auto" w:fill="auto"/>
            <w:noWrap/>
            <w:vAlign w:val="bottom"/>
            <w:hideMark/>
          </w:tcPr>
          <w:p w14:paraId="0A6BDDA3" w14:textId="462D207F"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16 </w:t>
            </w:r>
            <w:r w:rsidR="00CB0CD8" w:rsidRPr="00D032F7">
              <w:rPr>
                <w:rFonts w:ascii="Calibri" w:eastAsia="Times New Roman" w:hAnsi="Calibri" w:cs="Times New Roman"/>
                <w:bCs/>
                <w:color w:val="000000"/>
                <w:sz w:val="18"/>
                <w:szCs w:val="18"/>
                <w:lang w:eastAsia="hr-HR"/>
              </w:rPr>
              <w:t>507,98</w:t>
            </w:r>
          </w:p>
        </w:tc>
        <w:tc>
          <w:tcPr>
            <w:tcW w:w="1119" w:type="pct"/>
            <w:tcBorders>
              <w:top w:val="nil"/>
              <w:left w:val="nil"/>
              <w:bottom w:val="single" w:sz="4" w:space="0" w:color="auto"/>
              <w:right w:val="single" w:sz="4" w:space="0" w:color="auto"/>
            </w:tcBorders>
            <w:shd w:val="clear" w:color="auto" w:fill="auto"/>
            <w:noWrap/>
            <w:vAlign w:val="bottom"/>
            <w:hideMark/>
          </w:tcPr>
          <w:p w14:paraId="67227D8B" w14:textId="57D9B134" w:rsidR="00CB0CD8" w:rsidRPr="00D032F7" w:rsidRDefault="00A47B97"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44 </w:t>
            </w:r>
            <w:r w:rsidR="00CB0CD8" w:rsidRPr="00D032F7">
              <w:rPr>
                <w:rFonts w:ascii="Calibri" w:eastAsia="Times New Roman" w:hAnsi="Calibri" w:cs="Times New Roman"/>
                <w:bCs/>
                <w:color w:val="000000"/>
                <w:sz w:val="18"/>
                <w:szCs w:val="18"/>
                <w:lang w:eastAsia="hr-HR"/>
              </w:rPr>
              <w:t>550,63</w:t>
            </w:r>
          </w:p>
        </w:tc>
        <w:tc>
          <w:tcPr>
            <w:tcW w:w="902" w:type="pct"/>
            <w:tcBorders>
              <w:top w:val="nil"/>
              <w:left w:val="nil"/>
              <w:bottom w:val="single" w:sz="4" w:space="0" w:color="auto"/>
              <w:right w:val="single" w:sz="4" w:space="0" w:color="auto"/>
            </w:tcBorders>
            <w:shd w:val="clear" w:color="auto" w:fill="auto"/>
            <w:vAlign w:val="bottom"/>
            <w:hideMark/>
          </w:tcPr>
          <w:p w14:paraId="31373AB4"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1,52%</w:t>
            </w:r>
          </w:p>
        </w:tc>
      </w:tr>
      <w:tr w:rsidR="0015516E" w:rsidRPr="00D032F7" w14:paraId="4F8EB216"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0F4D99CB"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SPP</w:t>
            </w:r>
          </w:p>
        </w:tc>
        <w:tc>
          <w:tcPr>
            <w:tcW w:w="673" w:type="pct"/>
            <w:tcBorders>
              <w:top w:val="nil"/>
              <w:left w:val="nil"/>
              <w:bottom w:val="single" w:sz="4" w:space="0" w:color="auto"/>
              <w:right w:val="single" w:sz="4" w:space="0" w:color="auto"/>
            </w:tcBorders>
            <w:shd w:val="clear" w:color="auto" w:fill="auto"/>
            <w:vAlign w:val="bottom"/>
            <w:hideMark/>
          </w:tcPr>
          <w:p w14:paraId="2F11BFFD" w14:textId="24D1A28F"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6 </w:t>
            </w:r>
            <w:r w:rsidR="00CB0CD8" w:rsidRPr="00D032F7">
              <w:rPr>
                <w:rFonts w:ascii="Calibri" w:eastAsia="Times New Roman" w:hAnsi="Calibri" w:cs="Times New Roman"/>
                <w:bCs/>
                <w:color w:val="000000"/>
                <w:sz w:val="18"/>
                <w:szCs w:val="18"/>
                <w:lang w:eastAsia="hr-HR"/>
              </w:rPr>
              <w:t>165,62</w:t>
            </w:r>
          </w:p>
        </w:tc>
        <w:tc>
          <w:tcPr>
            <w:tcW w:w="696" w:type="pct"/>
            <w:tcBorders>
              <w:top w:val="nil"/>
              <w:left w:val="nil"/>
              <w:bottom w:val="single" w:sz="4" w:space="0" w:color="auto"/>
              <w:right w:val="single" w:sz="4" w:space="0" w:color="auto"/>
            </w:tcBorders>
            <w:shd w:val="clear" w:color="auto" w:fill="auto"/>
            <w:noWrap/>
            <w:vAlign w:val="bottom"/>
            <w:hideMark/>
          </w:tcPr>
          <w:p w14:paraId="56FF0C13"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834" w:type="pct"/>
            <w:tcBorders>
              <w:top w:val="nil"/>
              <w:left w:val="nil"/>
              <w:bottom w:val="single" w:sz="4" w:space="0" w:color="auto"/>
              <w:right w:val="single" w:sz="4" w:space="0" w:color="auto"/>
            </w:tcBorders>
            <w:shd w:val="clear" w:color="auto" w:fill="auto"/>
            <w:noWrap/>
            <w:vAlign w:val="bottom"/>
            <w:hideMark/>
          </w:tcPr>
          <w:p w14:paraId="117F1377"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1119" w:type="pct"/>
            <w:tcBorders>
              <w:top w:val="nil"/>
              <w:left w:val="nil"/>
              <w:bottom w:val="single" w:sz="4" w:space="0" w:color="auto"/>
              <w:right w:val="single" w:sz="4" w:space="0" w:color="auto"/>
            </w:tcBorders>
            <w:shd w:val="clear" w:color="auto" w:fill="auto"/>
            <w:noWrap/>
            <w:vAlign w:val="bottom"/>
            <w:hideMark/>
          </w:tcPr>
          <w:p w14:paraId="531A788C" w14:textId="1506BB67" w:rsidR="00CB0CD8" w:rsidRPr="00D032F7" w:rsidRDefault="00A47B97"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6 </w:t>
            </w:r>
            <w:r w:rsidR="00CB0CD8" w:rsidRPr="00D032F7">
              <w:rPr>
                <w:rFonts w:ascii="Calibri" w:eastAsia="Times New Roman" w:hAnsi="Calibri" w:cs="Times New Roman"/>
                <w:bCs/>
                <w:color w:val="000000"/>
                <w:sz w:val="18"/>
                <w:szCs w:val="18"/>
                <w:lang w:eastAsia="hr-HR"/>
              </w:rPr>
              <w:t>165,62</w:t>
            </w:r>
          </w:p>
        </w:tc>
        <w:tc>
          <w:tcPr>
            <w:tcW w:w="902" w:type="pct"/>
            <w:tcBorders>
              <w:top w:val="nil"/>
              <w:left w:val="nil"/>
              <w:bottom w:val="single" w:sz="4" w:space="0" w:color="auto"/>
              <w:right w:val="single" w:sz="4" w:space="0" w:color="auto"/>
            </w:tcBorders>
            <w:shd w:val="clear" w:color="auto" w:fill="auto"/>
            <w:vAlign w:val="bottom"/>
            <w:hideMark/>
          </w:tcPr>
          <w:p w14:paraId="398F752A"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0,21%</w:t>
            </w:r>
          </w:p>
        </w:tc>
      </w:tr>
      <w:tr w:rsidR="0015516E" w:rsidRPr="00D032F7" w14:paraId="4B78020B"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3052CA10"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Električna energija</w:t>
            </w:r>
          </w:p>
        </w:tc>
        <w:tc>
          <w:tcPr>
            <w:tcW w:w="673" w:type="pct"/>
            <w:tcBorders>
              <w:top w:val="nil"/>
              <w:left w:val="nil"/>
              <w:bottom w:val="single" w:sz="4" w:space="0" w:color="auto"/>
              <w:right w:val="single" w:sz="4" w:space="0" w:color="auto"/>
            </w:tcBorders>
            <w:shd w:val="clear" w:color="auto" w:fill="auto"/>
            <w:vAlign w:val="bottom"/>
            <w:hideMark/>
          </w:tcPr>
          <w:p w14:paraId="731E9A02" w14:textId="67A1DA94"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23 </w:t>
            </w:r>
            <w:r w:rsidR="00CB0CD8" w:rsidRPr="00D032F7">
              <w:rPr>
                <w:rFonts w:ascii="Calibri" w:eastAsia="Times New Roman" w:hAnsi="Calibri" w:cs="Times New Roman"/>
                <w:bCs/>
                <w:color w:val="000000"/>
                <w:sz w:val="18"/>
                <w:szCs w:val="18"/>
                <w:lang w:eastAsia="hr-HR"/>
              </w:rPr>
              <w:t>426,05</w:t>
            </w:r>
          </w:p>
        </w:tc>
        <w:tc>
          <w:tcPr>
            <w:tcW w:w="696" w:type="pct"/>
            <w:tcBorders>
              <w:top w:val="nil"/>
              <w:left w:val="nil"/>
              <w:bottom w:val="single" w:sz="4" w:space="0" w:color="auto"/>
              <w:right w:val="single" w:sz="4" w:space="0" w:color="auto"/>
            </w:tcBorders>
            <w:shd w:val="clear" w:color="auto" w:fill="auto"/>
            <w:vAlign w:val="bottom"/>
            <w:hideMark/>
          </w:tcPr>
          <w:p w14:paraId="78072287" w14:textId="58197C00"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26 </w:t>
            </w:r>
            <w:r w:rsidR="00CB0CD8" w:rsidRPr="00D032F7">
              <w:rPr>
                <w:rFonts w:ascii="Calibri" w:eastAsia="Times New Roman" w:hAnsi="Calibri" w:cs="Times New Roman"/>
                <w:bCs/>
                <w:color w:val="000000"/>
                <w:sz w:val="18"/>
                <w:szCs w:val="18"/>
                <w:lang w:eastAsia="hr-HR"/>
              </w:rPr>
              <w:t>827,02</w:t>
            </w:r>
          </w:p>
        </w:tc>
        <w:tc>
          <w:tcPr>
            <w:tcW w:w="834" w:type="pct"/>
            <w:tcBorders>
              <w:top w:val="nil"/>
              <w:left w:val="nil"/>
              <w:bottom w:val="single" w:sz="4" w:space="0" w:color="auto"/>
              <w:right w:val="single" w:sz="4" w:space="0" w:color="auto"/>
            </w:tcBorders>
            <w:shd w:val="clear" w:color="auto" w:fill="auto"/>
            <w:vAlign w:val="bottom"/>
            <w:hideMark/>
          </w:tcPr>
          <w:p w14:paraId="44C49326" w14:textId="7063DD17"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660 </w:t>
            </w:r>
            <w:r w:rsidR="00CB0CD8" w:rsidRPr="00D032F7">
              <w:rPr>
                <w:rFonts w:ascii="Calibri" w:eastAsia="Times New Roman" w:hAnsi="Calibri" w:cs="Times New Roman"/>
                <w:bCs/>
                <w:color w:val="000000"/>
                <w:sz w:val="18"/>
                <w:szCs w:val="18"/>
                <w:lang w:eastAsia="hr-HR"/>
              </w:rPr>
              <w:t>535,68</w:t>
            </w:r>
          </w:p>
        </w:tc>
        <w:tc>
          <w:tcPr>
            <w:tcW w:w="1119" w:type="pct"/>
            <w:tcBorders>
              <w:top w:val="nil"/>
              <w:left w:val="nil"/>
              <w:bottom w:val="single" w:sz="4" w:space="0" w:color="auto"/>
              <w:right w:val="single" w:sz="4" w:space="0" w:color="auto"/>
            </w:tcBorders>
            <w:shd w:val="clear" w:color="auto" w:fill="auto"/>
            <w:noWrap/>
            <w:vAlign w:val="bottom"/>
            <w:hideMark/>
          </w:tcPr>
          <w:p w14:paraId="444DE741" w14:textId="583CD810" w:rsidR="00CB0CD8" w:rsidRPr="00D032F7" w:rsidRDefault="00A47B97"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710 </w:t>
            </w:r>
            <w:r w:rsidR="00CB0CD8" w:rsidRPr="00D032F7">
              <w:rPr>
                <w:rFonts w:ascii="Calibri" w:eastAsia="Times New Roman" w:hAnsi="Calibri" w:cs="Times New Roman"/>
                <w:bCs/>
                <w:color w:val="000000"/>
                <w:sz w:val="18"/>
                <w:szCs w:val="18"/>
                <w:lang w:eastAsia="hr-HR"/>
              </w:rPr>
              <w:t>788,75</w:t>
            </w:r>
          </w:p>
        </w:tc>
        <w:tc>
          <w:tcPr>
            <w:tcW w:w="902" w:type="pct"/>
            <w:tcBorders>
              <w:top w:val="nil"/>
              <w:left w:val="nil"/>
              <w:bottom w:val="single" w:sz="4" w:space="0" w:color="auto"/>
              <w:right w:val="single" w:sz="4" w:space="0" w:color="auto"/>
            </w:tcBorders>
            <w:shd w:val="clear" w:color="auto" w:fill="auto"/>
            <w:vAlign w:val="bottom"/>
            <w:hideMark/>
          </w:tcPr>
          <w:p w14:paraId="7BAD8944"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24,26%</w:t>
            </w:r>
          </w:p>
        </w:tc>
      </w:tr>
      <w:tr w:rsidR="0015516E" w:rsidRPr="00D032F7" w14:paraId="29F66F57"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55F34214"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Lož ulje</w:t>
            </w:r>
          </w:p>
        </w:tc>
        <w:tc>
          <w:tcPr>
            <w:tcW w:w="673" w:type="pct"/>
            <w:tcBorders>
              <w:top w:val="nil"/>
              <w:left w:val="nil"/>
              <w:bottom w:val="single" w:sz="4" w:space="0" w:color="auto"/>
              <w:right w:val="single" w:sz="4" w:space="0" w:color="auto"/>
            </w:tcBorders>
            <w:shd w:val="clear" w:color="auto" w:fill="auto"/>
            <w:noWrap/>
            <w:vAlign w:val="bottom"/>
            <w:hideMark/>
          </w:tcPr>
          <w:p w14:paraId="703ACA30"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696" w:type="pct"/>
            <w:tcBorders>
              <w:top w:val="nil"/>
              <w:left w:val="nil"/>
              <w:bottom w:val="single" w:sz="4" w:space="0" w:color="auto"/>
              <w:right w:val="single" w:sz="4" w:space="0" w:color="auto"/>
            </w:tcBorders>
            <w:shd w:val="clear" w:color="auto" w:fill="auto"/>
            <w:noWrap/>
            <w:vAlign w:val="bottom"/>
            <w:hideMark/>
          </w:tcPr>
          <w:p w14:paraId="1A6B73DF"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834" w:type="pct"/>
            <w:tcBorders>
              <w:top w:val="nil"/>
              <w:left w:val="nil"/>
              <w:bottom w:val="single" w:sz="4" w:space="0" w:color="auto"/>
              <w:right w:val="single" w:sz="4" w:space="0" w:color="auto"/>
            </w:tcBorders>
            <w:shd w:val="clear" w:color="auto" w:fill="auto"/>
            <w:vAlign w:val="bottom"/>
            <w:hideMark/>
          </w:tcPr>
          <w:p w14:paraId="27490329" w14:textId="0D5D948C"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62 </w:t>
            </w:r>
            <w:r w:rsidR="00CB0CD8" w:rsidRPr="00D032F7">
              <w:rPr>
                <w:rFonts w:ascii="Calibri" w:eastAsia="Times New Roman" w:hAnsi="Calibri" w:cs="Times New Roman"/>
                <w:bCs/>
                <w:color w:val="000000"/>
                <w:sz w:val="18"/>
                <w:szCs w:val="18"/>
                <w:lang w:eastAsia="hr-HR"/>
              </w:rPr>
              <w:t>517,27</w:t>
            </w:r>
          </w:p>
        </w:tc>
        <w:tc>
          <w:tcPr>
            <w:tcW w:w="1119" w:type="pct"/>
            <w:tcBorders>
              <w:top w:val="nil"/>
              <w:left w:val="nil"/>
              <w:bottom w:val="single" w:sz="4" w:space="0" w:color="auto"/>
              <w:right w:val="single" w:sz="4" w:space="0" w:color="auto"/>
            </w:tcBorders>
            <w:shd w:val="clear" w:color="auto" w:fill="auto"/>
            <w:noWrap/>
            <w:vAlign w:val="bottom"/>
            <w:hideMark/>
          </w:tcPr>
          <w:p w14:paraId="370B0ADF" w14:textId="64E497E8" w:rsidR="00CB0CD8" w:rsidRPr="00D032F7" w:rsidRDefault="00A47B97"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62 </w:t>
            </w:r>
            <w:r w:rsidR="00CB0CD8" w:rsidRPr="00D032F7">
              <w:rPr>
                <w:rFonts w:ascii="Calibri" w:eastAsia="Times New Roman" w:hAnsi="Calibri" w:cs="Times New Roman"/>
                <w:bCs/>
                <w:color w:val="000000"/>
                <w:sz w:val="18"/>
                <w:szCs w:val="18"/>
                <w:lang w:eastAsia="hr-HR"/>
              </w:rPr>
              <w:t>517,27</w:t>
            </w:r>
          </w:p>
        </w:tc>
        <w:tc>
          <w:tcPr>
            <w:tcW w:w="902" w:type="pct"/>
            <w:tcBorders>
              <w:top w:val="nil"/>
              <w:left w:val="nil"/>
              <w:bottom w:val="single" w:sz="4" w:space="0" w:color="auto"/>
              <w:right w:val="single" w:sz="4" w:space="0" w:color="auto"/>
            </w:tcBorders>
            <w:shd w:val="clear" w:color="auto" w:fill="auto"/>
            <w:vAlign w:val="bottom"/>
            <w:hideMark/>
          </w:tcPr>
          <w:p w14:paraId="3DACD1B9"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2,13%</w:t>
            </w:r>
          </w:p>
        </w:tc>
      </w:tr>
      <w:tr w:rsidR="0015516E" w:rsidRPr="00D032F7" w14:paraId="6ADC093D"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6E1A1ADE"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Prirodni plin</w:t>
            </w:r>
          </w:p>
        </w:tc>
        <w:tc>
          <w:tcPr>
            <w:tcW w:w="673" w:type="pct"/>
            <w:tcBorders>
              <w:top w:val="nil"/>
              <w:left w:val="nil"/>
              <w:bottom w:val="single" w:sz="4" w:space="0" w:color="auto"/>
              <w:right w:val="single" w:sz="4" w:space="0" w:color="auto"/>
            </w:tcBorders>
            <w:shd w:val="clear" w:color="auto" w:fill="auto"/>
            <w:vAlign w:val="bottom"/>
            <w:hideMark/>
          </w:tcPr>
          <w:p w14:paraId="7A85B4AD"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696" w:type="pct"/>
            <w:tcBorders>
              <w:top w:val="nil"/>
              <w:left w:val="nil"/>
              <w:bottom w:val="single" w:sz="4" w:space="0" w:color="auto"/>
              <w:right w:val="single" w:sz="4" w:space="0" w:color="auto"/>
            </w:tcBorders>
            <w:shd w:val="clear" w:color="auto" w:fill="auto"/>
            <w:noWrap/>
            <w:vAlign w:val="bottom"/>
            <w:hideMark/>
          </w:tcPr>
          <w:p w14:paraId="76713EC4"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584,82</w:t>
            </w:r>
          </w:p>
        </w:tc>
        <w:tc>
          <w:tcPr>
            <w:tcW w:w="834" w:type="pct"/>
            <w:tcBorders>
              <w:top w:val="nil"/>
              <w:left w:val="nil"/>
              <w:bottom w:val="single" w:sz="4" w:space="0" w:color="auto"/>
              <w:right w:val="single" w:sz="4" w:space="0" w:color="auto"/>
            </w:tcBorders>
            <w:shd w:val="clear" w:color="auto" w:fill="auto"/>
            <w:vAlign w:val="bottom"/>
            <w:hideMark/>
          </w:tcPr>
          <w:p w14:paraId="7181D106" w14:textId="44FFE305"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614 </w:t>
            </w:r>
            <w:r w:rsidR="00CB0CD8" w:rsidRPr="00D032F7">
              <w:rPr>
                <w:rFonts w:ascii="Calibri" w:eastAsia="Times New Roman" w:hAnsi="Calibri" w:cs="Times New Roman"/>
                <w:bCs/>
                <w:color w:val="000000"/>
                <w:sz w:val="18"/>
                <w:szCs w:val="18"/>
                <w:lang w:eastAsia="hr-HR"/>
              </w:rPr>
              <w:t>390,70</w:t>
            </w:r>
          </w:p>
        </w:tc>
        <w:tc>
          <w:tcPr>
            <w:tcW w:w="1119" w:type="pct"/>
            <w:tcBorders>
              <w:top w:val="nil"/>
              <w:left w:val="nil"/>
              <w:bottom w:val="single" w:sz="4" w:space="0" w:color="auto"/>
              <w:right w:val="single" w:sz="4" w:space="0" w:color="auto"/>
            </w:tcBorders>
            <w:shd w:val="clear" w:color="auto" w:fill="auto"/>
            <w:noWrap/>
            <w:vAlign w:val="bottom"/>
            <w:hideMark/>
          </w:tcPr>
          <w:p w14:paraId="1C3CBBB5" w14:textId="2DDC69B6" w:rsidR="00CB0CD8" w:rsidRPr="00D032F7" w:rsidRDefault="00A47B97"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614 </w:t>
            </w:r>
            <w:r w:rsidR="00CB0CD8" w:rsidRPr="00D032F7">
              <w:rPr>
                <w:rFonts w:ascii="Calibri" w:eastAsia="Times New Roman" w:hAnsi="Calibri" w:cs="Times New Roman"/>
                <w:bCs/>
                <w:color w:val="000000"/>
                <w:sz w:val="18"/>
                <w:szCs w:val="18"/>
                <w:lang w:eastAsia="hr-HR"/>
              </w:rPr>
              <w:t>975,52</w:t>
            </w:r>
          </w:p>
        </w:tc>
        <w:tc>
          <w:tcPr>
            <w:tcW w:w="902" w:type="pct"/>
            <w:tcBorders>
              <w:top w:val="nil"/>
              <w:left w:val="nil"/>
              <w:bottom w:val="single" w:sz="4" w:space="0" w:color="auto"/>
              <w:right w:val="single" w:sz="4" w:space="0" w:color="auto"/>
            </w:tcBorders>
            <w:shd w:val="clear" w:color="auto" w:fill="auto"/>
            <w:vAlign w:val="bottom"/>
            <w:hideMark/>
          </w:tcPr>
          <w:p w14:paraId="60F9D137"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20,99%</w:t>
            </w:r>
          </w:p>
        </w:tc>
      </w:tr>
      <w:tr w:rsidR="0015516E" w:rsidRPr="00D032F7" w14:paraId="237C7E01"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165B5655"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Toplana</w:t>
            </w:r>
          </w:p>
        </w:tc>
        <w:tc>
          <w:tcPr>
            <w:tcW w:w="673" w:type="pct"/>
            <w:tcBorders>
              <w:top w:val="nil"/>
              <w:left w:val="nil"/>
              <w:bottom w:val="single" w:sz="4" w:space="0" w:color="auto"/>
              <w:right w:val="single" w:sz="4" w:space="0" w:color="auto"/>
            </w:tcBorders>
            <w:shd w:val="clear" w:color="auto" w:fill="auto"/>
            <w:noWrap/>
            <w:vAlign w:val="bottom"/>
            <w:hideMark/>
          </w:tcPr>
          <w:p w14:paraId="490BC761"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696" w:type="pct"/>
            <w:tcBorders>
              <w:top w:val="nil"/>
              <w:left w:val="nil"/>
              <w:bottom w:val="single" w:sz="4" w:space="0" w:color="auto"/>
              <w:right w:val="single" w:sz="4" w:space="0" w:color="auto"/>
            </w:tcBorders>
            <w:shd w:val="clear" w:color="auto" w:fill="auto"/>
            <w:noWrap/>
            <w:vAlign w:val="bottom"/>
            <w:hideMark/>
          </w:tcPr>
          <w:p w14:paraId="63ECBF89"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834" w:type="pct"/>
            <w:tcBorders>
              <w:top w:val="nil"/>
              <w:left w:val="nil"/>
              <w:bottom w:val="single" w:sz="4" w:space="0" w:color="auto"/>
              <w:right w:val="single" w:sz="4" w:space="0" w:color="auto"/>
            </w:tcBorders>
            <w:shd w:val="clear" w:color="auto" w:fill="auto"/>
            <w:noWrap/>
            <w:vAlign w:val="bottom"/>
            <w:hideMark/>
          </w:tcPr>
          <w:p w14:paraId="0C7CC8CF" w14:textId="6B191AC1"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444 </w:t>
            </w:r>
            <w:r w:rsidR="00CB0CD8" w:rsidRPr="00D032F7">
              <w:rPr>
                <w:rFonts w:ascii="Calibri" w:eastAsia="Times New Roman" w:hAnsi="Calibri" w:cs="Times New Roman"/>
                <w:bCs/>
                <w:color w:val="000000"/>
                <w:sz w:val="18"/>
                <w:szCs w:val="18"/>
                <w:lang w:eastAsia="hr-HR"/>
              </w:rPr>
              <w:t>668,42</w:t>
            </w:r>
          </w:p>
        </w:tc>
        <w:tc>
          <w:tcPr>
            <w:tcW w:w="1119" w:type="pct"/>
            <w:tcBorders>
              <w:top w:val="nil"/>
              <w:left w:val="nil"/>
              <w:bottom w:val="single" w:sz="4" w:space="0" w:color="auto"/>
              <w:right w:val="single" w:sz="4" w:space="0" w:color="auto"/>
            </w:tcBorders>
            <w:shd w:val="clear" w:color="auto" w:fill="auto"/>
            <w:noWrap/>
            <w:vAlign w:val="bottom"/>
            <w:hideMark/>
          </w:tcPr>
          <w:p w14:paraId="2A305F1A" w14:textId="61A87FC3" w:rsidR="00CB0CD8" w:rsidRPr="00D032F7" w:rsidRDefault="00A47B97"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444 </w:t>
            </w:r>
            <w:r w:rsidR="00CB0CD8" w:rsidRPr="00D032F7">
              <w:rPr>
                <w:rFonts w:ascii="Calibri" w:eastAsia="Times New Roman" w:hAnsi="Calibri" w:cs="Times New Roman"/>
                <w:bCs/>
                <w:color w:val="000000"/>
                <w:sz w:val="18"/>
                <w:szCs w:val="18"/>
                <w:lang w:eastAsia="hr-HR"/>
              </w:rPr>
              <w:t>668,42</w:t>
            </w:r>
          </w:p>
        </w:tc>
        <w:tc>
          <w:tcPr>
            <w:tcW w:w="902" w:type="pct"/>
            <w:tcBorders>
              <w:top w:val="nil"/>
              <w:left w:val="nil"/>
              <w:bottom w:val="single" w:sz="4" w:space="0" w:color="auto"/>
              <w:right w:val="single" w:sz="4" w:space="0" w:color="auto"/>
            </w:tcBorders>
            <w:shd w:val="clear" w:color="auto" w:fill="auto"/>
            <w:vAlign w:val="bottom"/>
            <w:hideMark/>
          </w:tcPr>
          <w:p w14:paraId="1CBD413D"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15,17%</w:t>
            </w:r>
          </w:p>
        </w:tc>
      </w:tr>
      <w:tr w:rsidR="0015516E" w:rsidRPr="00D032F7" w14:paraId="4B8D29E7"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79FAB2B8"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Plinske boce</w:t>
            </w:r>
          </w:p>
        </w:tc>
        <w:tc>
          <w:tcPr>
            <w:tcW w:w="673" w:type="pct"/>
            <w:tcBorders>
              <w:top w:val="nil"/>
              <w:left w:val="nil"/>
              <w:bottom w:val="single" w:sz="4" w:space="0" w:color="auto"/>
              <w:right w:val="single" w:sz="4" w:space="0" w:color="auto"/>
            </w:tcBorders>
            <w:shd w:val="clear" w:color="auto" w:fill="auto"/>
            <w:noWrap/>
            <w:vAlign w:val="bottom"/>
            <w:hideMark/>
          </w:tcPr>
          <w:p w14:paraId="21A72C30"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696" w:type="pct"/>
            <w:tcBorders>
              <w:top w:val="nil"/>
              <w:left w:val="nil"/>
              <w:bottom w:val="single" w:sz="4" w:space="0" w:color="auto"/>
              <w:right w:val="single" w:sz="4" w:space="0" w:color="auto"/>
            </w:tcBorders>
            <w:shd w:val="clear" w:color="auto" w:fill="auto"/>
            <w:noWrap/>
            <w:vAlign w:val="bottom"/>
            <w:hideMark/>
          </w:tcPr>
          <w:p w14:paraId="25570448"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834" w:type="pct"/>
            <w:tcBorders>
              <w:top w:val="nil"/>
              <w:left w:val="nil"/>
              <w:bottom w:val="single" w:sz="4" w:space="0" w:color="auto"/>
              <w:right w:val="single" w:sz="4" w:space="0" w:color="auto"/>
            </w:tcBorders>
            <w:shd w:val="clear" w:color="auto" w:fill="auto"/>
            <w:noWrap/>
            <w:vAlign w:val="bottom"/>
            <w:hideMark/>
          </w:tcPr>
          <w:p w14:paraId="164C05A4" w14:textId="4FC33E08"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1 </w:t>
            </w:r>
            <w:r w:rsidR="00CB0CD8" w:rsidRPr="00D032F7">
              <w:rPr>
                <w:rFonts w:ascii="Calibri" w:eastAsia="Times New Roman" w:hAnsi="Calibri" w:cs="Times New Roman"/>
                <w:bCs/>
                <w:color w:val="000000"/>
                <w:sz w:val="18"/>
                <w:szCs w:val="18"/>
                <w:lang w:eastAsia="hr-HR"/>
              </w:rPr>
              <w:t>658,73</w:t>
            </w:r>
          </w:p>
        </w:tc>
        <w:tc>
          <w:tcPr>
            <w:tcW w:w="1119" w:type="pct"/>
            <w:tcBorders>
              <w:top w:val="nil"/>
              <w:left w:val="nil"/>
              <w:bottom w:val="single" w:sz="4" w:space="0" w:color="auto"/>
              <w:right w:val="single" w:sz="4" w:space="0" w:color="auto"/>
            </w:tcBorders>
            <w:shd w:val="clear" w:color="auto" w:fill="auto"/>
            <w:noWrap/>
            <w:vAlign w:val="bottom"/>
            <w:hideMark/>
          </w:tcPr>
          <w:p w14:paraId="7D8122FD" w14:textId="55AC8526" w:rsidR="00CB0CD8" w:rsidRPr="00D032F7" w:rsidRDefault="00A47B97"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1 </w:t>
            </w:r>
            <w:r w:rsidR="00CB0CD8" w:rsidRPr="00D032F7">
              <w:rPr>
                <w:rFonts w:ascii="Calibri" w:eastAsia="Times New Roman" w:hAnsi="Calibri" w:cs="Times New Roman"/>
                <w:bCs/>
                <w:color w:val="000000"/>
                <w:sz w:val="18"/>
                <w:szCs w:val="18"/>
                <w:lang w:eastAsia="hr-HR"/>
              </w:rPr>
              <w:t>658,73</w:t>
            </w:r>
          </w:p>
        </w:tc>
        <w:tc>
          <w:tcPr>
            <w:tcW w:w="902" w:type="pct"/>
            <w:tcBorders>
              <w:top w:val="nil"/>
              <w:left w:val="nil"/>
              <w:bottom w:val="single" w:sz="4" w:space="0" w:color="auto"/>
              <w:right w:val="single" w:sz="4" w:space="0" w:color="auto"/>
            </w:tcBorders>
            <w:shd w:val="clear" w:color="auto" w:fill="auto"/>
            <w:vAlign w:val="bottom"/>
            <w:hideMark/>
          </w:tcPr>
          <w:p w14:paraId="5E284FE0"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0,06%</w:t>
            </w:r>
          </w:p>
        </w:tc>
      </w:tr>
      <w:tr w:rsidR="0015516E" w:rsidRPr="00D032F7" w14:paraId="7B26180B"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018D617B"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Mrki ugljen</w:t>
            </w:r>
          </w:p>
        </w:tc>
        <w:tc>
          <w:tcPr>
            <w:tcW w:w="673" w:type="pct"/>
            <w:tcBorders>
              <w:top w:val="nil"/>
              <w:left w:val="nil"/>
              <w:bottom w:val="single" w:sz="4" w:space="0" w:color="auto"/>
              <w:right w:val="single" w:sz="4" w:space="0" w:color="auto"/>
            </w:tcBorders>
            <w:shd w:val="clear" w:color="auto" w:fill="auto"/>
            <w:noWrap/>
            <w:vAlign w:val="bottom"/>
            <w:hideMark/>
          </w:tcPr>
          <w:p w14:paraId="27E16801"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696" w:type="pct"/>
            <w:tcBorders>
              <w:top w:val="nil"/>
              <w:left w:val="nil"/>
              <w:bottom w:val="single" w:sz="4" w:space="0" w:color="auto"/>
              <w:right w:val="single" w:sz="4" w:space="0" w:color="auto"/>
            </w:tcBorders>
            <w:shd w:val="clear" w:color="auto" w:fill="auto"/>
            <w:noWrap/>
            <w:vAlign w:val="bottom"/>
            <w:hideMark/>
          </w:tcPr>
          <w:p w14:paraId="0D5FAA4F"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834" w:type="pct"/>
            <w:tcBorders>
              <w:top w:val="nil"/>
              <w:left w:val="nil"/>
              <w:bottom w:val="single" w:sz="4" w:space="0" w:color="auto"/>
              <w:right w:val="single" w:sz="4" w:space="0" w:color="auto"/>
            </w:tcBorders>
            <w:shd w:val="clear" w:color="auto" w:fill="auto"/>
            <w:noWrap/>
            <w:vAlign w:val="bottom"/>
            <w:hideMark/>
          </w:tcPr>
          <w:p w14:paraId="2A1563AB"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657,40</w:t>
            </w:r>
          </w:p>
        </w:tc>
        <w:tc>
          <w:tcPr>
            <w:tcW w:w="1119" w:type="pct"/>
            <w:tcBorders>
              <w:top w:val="nil"/>
              <w:left w:val="nil"/>
              <w:bottom w:val="single" w:sz="4" w:space="0" w:color="auto"/>
              <w:right w:val="single" w:sz="4" w:space="0" w:color="auto"/>
            </w:tcBorders>
            <w:shd w:val="clear" w:color="auto" w:fill="auto"/>
            <w:noWrap/>
            <w:vAlign w:val="bottom"/>
            <w:hideMark/>
          </w:tcPr>
          <w:p w14:paraId="119D537B"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657,40</w:t>
            </w:r>
          </w:p>
        </w:tc>
        <w:tc>
          <w:tcPr>
            <w:tcW w:w="902" w:type="pct"/>
            <w:tcBorders>
              <w:top w:val="nil"/>
              <w:left w:val="nil"/>
              <w:bottom w:val="single" w:sz="4" w:space="0" w:color="auto"/>
              <w:right w:val="single" w:sz="4" w:space="0" w:color="auto"/>
            </w:tcBorders>
            <w:shd w:val="clear" w:color="auto" w:fill="auto"/>
            <w:vAlign w:val="bottom"/>
            <w:hideMark/>
          </w:tcPr>
          <w:p w14:paraId="5B9841ED"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0,02%</w:t>
            </w:r>
          </w:p>
        </w:tc>
      </w:tr>
      <w:tr w:rsidR="0015516E" w:rsidRPr="00D032F7" w14:paraId="06DE3704"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7F755893"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Lignit</w:t>
            </w:r>
          </w:p>
        </w:tc>
        <w:tc>
          <w:tcPr>
            <w:tcW w:w="673" w:type="pct"/>
            <w:tcBorders>
              <w:top w:val="nil"/>
              <w:left w:val="nil"/>
              <w:bottom w:val="single" w:sz="4" w:space="0" w:color="auto"/>
              <w:right w:val="single" w:sz="4" w:space="0" w:color="auto"/>
            </w:tcBorders>
            <w:shd w:val="clear" w:color="auto" w:fill="auto"/>
            <w:noWrap/>
            <w:vAlign w:val="bottom"/>
            <w:hideMark/>
          </w:tcPr>
          <w:p w14:paraId="53D405E6"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696" w:type="pct"/>
            <w:tcBorders>
              <w:top w:val="nil"/>
              <w:left w:val="nil"/>
              <w:bottom w:val="single" w:sz="4" w:space="0" w:color="auto"/>
              <w:right w:val="single" w:sz="4" w:space="0" w:color="auto"/>
            </w:tcBorders>
            <w:shd w:val="clear" w:color="auto" w:fill="auto"/>
            <w:noWrap/>
            <w:vAlign w:val="bottom"/>
            <w:hideMark/>
          </w:tcPr>
          <w:p w14:paraId="07F32432"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834" w:type="pct"/>
            <w:tcBorders>
              <w:top w:val="nil"/>
              <w:left w:val="nil"/>
              <w:bottom w:val="single" w:sz="4" w:space="0" w:color="auto"/>
              <w:right w:val="single" w:sz="4" w:space="0" w:color="auto"/>
            </w:tcBorders>
            <w:shd w:val="clear" w:color="auto" w:fill="auto"/>
            <w:vAlign w:val="bottom"/>
            <w:hideMark/>
          </w:tcPr>
          <w:p w14:paraId="15C04B43"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436,80</w:t>
            </w:r>
          </w:p>
        </w:tc>
        <w:tc>
          <w:tcPr>
            <w:tcW w:w="1119" w:type="pct"/>
            <w:tcBorders>
              <w:top w:val="nil"/>
              <w:left w:val="nil"/>
              <w:bottom w:val="single" w:sz="4" w:space="0" w:color="auto"/>
              <w:right w:val="single" w:sz="4" w:space="0" w:color="auto"/>
            </w:tcBorders>
            <w:shd w:val="clear" w:color="auto" w:fill="auto"/>
            <w:noWrap/>
            <w:vAlign w:val="bottom"/>
            <w:hideMark/>
          </w:tcPr>
          <w:p w14:paraId="0D140C8E"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436,80</w:t>
            </w:r>
          </w:p>
        </w:tc>
        <w:tc>
          <w:tcPr>
            <w:tcW w:w="902" w:type="pct"/>
            <w:tcBorders>
              <w:top w:val="nil"/>
              <w:left w:val="nil"/>
              <w:bottom w:val="single" w:sz="4" w:space="0" w:color="auto"/>
              <w:right w:val="single" w:sz="4" w:space="0" w:color="auto"/>
            </w:tcBorders>
            <w:shd w:val="clear" w:color="auto" w:fill="auto"/>
            <w:vAlign w:val="bottom"/>
            <w:hideMark/>
          </w:tcPr>
          <w:p w14:paraId="55325470"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0,01%</w:t>
            </w:r>
          </w:p>
        </w:tc>
      </w:tr>
      <w:tr w:rsidR="0015516E" w:rsidRPr="00D032F7" w14:paraId="53B4EE17" w14:textId="77777777" w:rsidTr="004D7D7C">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6153B30D"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Petrolej</w:t>
            </w:r>
          </w:p>
        </w:tc>
        <w:tc>
          <w:tcPr>
            <w:tcW w:w="673" w:type="pct"/>
            <w:tcBorders>
              <w:top w:val="nil"/>
              <w:left w:val="nil"/>
              <w:bottom w:val="single" w:sz="4" w:space="0" w:color="auto"/>
              <w:right w:val="single" w:sz="4" w:space="0" w:color="auto"/>
            </w:tcBorders>
            <w:shd w:val="clear" w:color="auto" w:fill="auto"/>
            <w:noWrap/>
            <w:vAlign w:val="bottom"/>
            <w:hideMark/>
          </w:tcPr>
          <w:p w14:paraId="6308DC8D"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696" w:type="pct"/>
            <w:tcBorders>
              <w:top w:val="nil"/>
              <w:left w:val="nil"/>
              <w:bottom w:val="single" w:sz="4" w:space="0" w:color="auto"/>
              <w:right w:val="single" w:sz="4" w:space="0" w:color="auto"/>
            </w:tcBorders>
            <w:shd w:val="clear" w:color="auto" w:fill="auto"/>
            <w:noWrap/>
            <w:vAlign w:val="bottom"/>
            <w:hideMark/>
          </w:tcPr>
          <w:p w14:paraId="6601FD77"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w:t>
            </w:r>
          </w:p>
        </w:tc>
        <w:tc>
          <w:tcPr>
            <w:tcW w:w="834" w:type="pct"/>
            <w:tcBorders>
              <w:top w:val="nil"/>
              <w:left w:val="nil"/>
              <w:bottom w:val="single" w:sz="4" w:space="0" w:color="auto"/>
              <w:right w:val="single" w:sz="4" w:space="0" w:color="auto"/>
            </w:tcBorders>
            <w:shd w:val="clear" w:color="auto" w:fill="auto"/>
            <w:noWrap/>
            <w:vAlign w:val="bottom"/>
            <w:hideMark/>
          </w:tcPr>
          <w:p w14:paraId="75659BD0"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569,17</w:t>
            </w:r>
          </w:p>
        </w:tc>
        <w:tc>
          <w:tcPr>
            <w:tcW w:w="1119" w:type="pct"/>
            <w:tcBorders>
              <w:top w:val="nil"/>
              <w:left w:val="nil"/>
              <w:bottom w:val="single" w:sz="4" w:space="0" w:color="auto"/>
              <w:right w:val="single" w:sz="4" w:space="0" w:color="auto"/>
            </w:tcBorders>
            <w:shd w:val="clear" w:color="auto" w:fill="auto"/>
            <w:noWrap/>
            <w:vAlign w:val="bottom"/>
            <w:hideMark/>
          </w:tcPr>
          <w:p w14:paraId="561775BE"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569,17</w:t>
            </w:r>
          </w:p>
        </w:tc>
        <w:tc>
          <w:tcPr>
            <w:tcW w:w="902" w:type="pct"/>
            <w:tcBorders>
              <w:top w:val="nil"/>
              <w:left w:val="nil"/>
              <w:bottom w:val="single" w:sz="4" w:space="0" w:color="auto"/>
              <w:right w:val="single" w:sz="4" w:space="0" w:color="auto"/>
            </w:tcBorders>
            <w:shd w:val="clear" w:color="auto" w:fill="auto"/>
            <w:vAlign w:val="bottom"/>
            <w:hideMark/>
          </w:tcPr>
          <w:p w14:paraId="5D0CEB8A"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0,02%</w:t>
            </w:r>
          </w:p>
        </w:tc>
      </w:tr>
      <w:tr w:rsidR="0015516E" w:rsidRPr="00D032F7" w14:paraId="550449A7" w14:textId="77777777" w:rsidTr="00FB28FD">
        <w:trPr>
          <w:trHeight w:val="6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33BC65E4" w14:textId="77777777" w:rsidR="00CB0CD8" w:rsidRPr="00D032F7" w:rsidRDefault="00CB0CD8" w:rsidP="00CB0CD8">
            <w:pPr>
              <w:spacing w:after="0" w:line="240" w:lineRule="auto"/>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UKUPNO</w:t>
            </w:r>
          </w:p>
        </w:tc>
        <w:tc>
          <w:tcPr>
            <w:tcW w:w="673" w:type="pct"/>
            <w:tcBorders>
              <w:top w:val="nil"/>
              <w:left w:val="nil"/>
              <w:bottom w:val="single" w:sz="4" w:space="0" w:color="auto"/>
              <w:right w:val="single" w:sz="4" w:space="0" w:color="auto"/>
            </w:tcBorders>
            <w:shd w:val="clear" w:color="auto" w:fill="D9D9D9" w:themeFill="background1" w:themeFillShade="D9"/>
            <w:noWrap/>
            <w:vAlign w:val="bottom"/>
            <w:hideMark/>
          </w:tcPr>
          <w:p w14:paraId="5D9DB54B" w14:textId="7822A88A"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1 100 </w:t>
            </w:r>
            <w:r w:rsidR="00CB0CD8" w:rsidRPr="00D032F7">
              <w:rPr>
                <w:rFonts w:ascii="Calibri" w:eastAsia="Times New Roman" w:hAnsi="Calibri" w:cs="Times New Roman"/>
                <w:bCs/>
                <w:color w:val="000000"/>
                <w:sz w:val="18"/>
                <w:szCs w:val="18"/>
                <w:lang w:eastAsia="hr-HR"/>
              </w:rPr>
              <w:t>954,94</w:t>
            </w:r>
          </w:p>
        </w:tc>
        <w:tc>
          <w:tcPr>
            <w:tcW w:w="696" w:type="pct"/>
            <w:tcBorders>
              <w:top w:val="nil"/>
              <w:left w:val="nil"/>
              <w:bottom w:val="single" w:sz="4" w:space="0" w:color="auto"/>
              <w:right w:val="single" w:sz="4" w:space="0" w:color="auto"/>
            </w:tcBorders>
            <w:shd w:val="clear" w:color="auto" w:fill="D9D9D9" w:themeFill="background1" w:themeFillShade="D9"/>
            <w:noWrap/>
            <w:vAlign w:val="bottom"/>
            <w:hideMark/>
          </w:tcPr>
          <w:p w14:paraId="0640D372" w14:textId="36B08D45"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27 </w:t>
            </w:r>
            <w:r w:rsidR="00CB0CD8" w:rsidRPr="00D032F7">
              <w:rPr>
                <w:rFonts w:ascii="Calibri" w:eastAsia="Times New Roman" w:hAnsi="Calibri" w:cs="Times New Roman"/>
                <w:bCs/>
                <w:color w:val="000000"/>
                <w:sz w:val="18"/>
                <w:szCs w:val="18"/>
                <w:lang w:eastAsia="hr-HR"/>
              </w:rPr>
              <w:t>411,84</w:t>
            </w:r>
          </w:p>
        </w:tc>
        <w:tc>
          <w:tcPr>
            <w:tcW w:w="834" w:type="pct"/>
            <w:tcBorders>
              <w:top w:val="nil"/>
              <w:left w:val="nil"/>
              <w:bottom w:val="single" w:sz="4" w:space="0" w:color="auto"/>
              <w:right w:val="single" w:sz="4" w:space="0" w:color="auto"/>
            </w:tcBorders>
            <w:shd w:val="clear" w:color="auto" w:fill="D9D9D9" w:themeFill="background1" w:themeFillShade="D9"/>
            <w:noWrap/>
            <w:vAlign w:val="bottom"/>
            <w:hideMark/>
          </w:tcPr>
          <w:p w14:paraId="7FFC5DAE" w14:textId="1A11DFDE"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1 801 </w:t>
            </w:r>
            <w:r w:rsidR="00CB0CD8" w:rsidRPr="00D032F7">
              <w:rPr>
                <w:rFonts w:ascii="Calibri" w:eastAsia="Times New Roman" w:hAnsi="Calibri" w:cs="Times New Roman"/>
                <w:bCs/>
                <w:color w:val="000000"/>
                <w:sz w:val="18"/>
                <w:szCs w:val="18"/>
                <w:lang w:eastAsia="hr-HR"/>
              </w:rPr>
              <w:t>942,15</w:t>
            </w:r>
          </w:p>
        </w:tc>
        <w:tc>
          <w:tcPr>
            <w:tcW w:w="1119" w:type="pct"/>
            <w:tcBorders>
              <w:top w:val="nil"/>
              <w:left w:val="nil"/>
              <w:bottom w:val="single" w:sz="4" w:space="0" w:color="auto"/>
              <w:right w:val="single" w:sz="4" w:space="0" w:color="auto"/>
            </w:tcBorders>
            <w:shd w:val="clear" w:color="auto" w:fill="D9D9D9" w:themeFill="background1" w:themeFillShade="D9"/>
            <w:noWrap/>
            <w:vAlign w:val="bottom"/>
            <w:hideMark/>
          </w:tcPr>
          <w:p w14:paraId="0FA2CEEE" w14:textId="1E0E205E" w:rsidR="00CB0CD8" w:rsidRPr="00D032F7" w:rsidRDefault="004D7D7C"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 xml:space="preserve">2 930 </w:t>
            </w:r>
            <w:r w:rsidR="00CB0CD8" w:rsidRPr="00D032F7">
              <w:rPr>
                <w:rFonts w:ascii="Calibri" w:eastAsia="Times New Roman" w:hAnsi="Calibri" w:cs="Times New Roman"/>
                <w:bCs/>
                <w:color w:val="000000"/>
                <w:sz w:val="18"/>
                <w:szCs w:val="18"/>
                <w:lang w:eastAsia="hr-HR"/>
              </w:rPr>
              <w:t>308,93</w:t>
            </w:r>
          </w:p>
        </w:tc>
        <w:tc>
          <w:tcPr>
            <w:tcW w:w="902" w:type="pct"/>
            <w:tcBorders>
              <w:top w:val="nil"/>
              <w:left w:val="nil"/>
              <w:bottom w:val="single" w:sz="4" w:space="0" w:color="auto"/>
              <w:right w:val="single" w:sz="4" w:space="0" w:color="auto"/>
            </w:tcBorders>
            <w:shd w:val="clear" w:color="auto" w:fill="D9D9D9" w:themeFill="background1" w:themeFillShade="D9"/>
            <w:vAlign w:val="bottom"/>
            <w:hideMark/>
          </w:tcPr>
          <w:p w14:paraId="73E93788"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100,00%</w:t>
            </w:r>
          </w:p>
        </w:tc>
      </w:tr>
      <w:tr w:rsidR="0015516E" w:rsidRPr="00D032F7" w14:paraId="40D7D52B" w14:textId="77777777" w:rsidTr="00FB28FD">
        <w:trPr>
          <w:trHeight w:val="240"/>
        </w:trPr>
        <w:tc>
          <w:tcPr>
            <w:tcW w:w="776" w:type="pct"/>
            <w:tcBorders>
              <w:top w:val="nil"/>
              <w:left w:val="single" w:sz="4" w:space="0" w:color="auto"/>
              <w:bottom w:val="single" w:sz="4" w:space="0" w:color="auto"/>
              <w:right w:val="single" w:sz="4" w:space="0" w:color="auto"/>
            </w:tcBorders>
            <w:shd w:val="clear" w:color="000000" w:fill="D9D9D9"/>
            <w:noWrap/>
            <w:vAlign w:val="bottom"/>
            <w:hideMark/>
          </w:tcPr>
          <w:p w14:paraId="208A5F37" w14:textId="77777777" w:rsidR="00CB0CD8" w:rsidRPr="00D032F7" w:rsidRDefault="00CB0CD8" w:rsidP="00CB0CD8">
            <w:pPr>
              <w:spacing w:after="0" w:line="240" w:lineRule="auto"/>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w:t>
            </w:r>
          </w:p>
        </w:tc>
        <w:tc>
          <w:tcPr>
            <w:tcW w:w="673" w:type="pct"/>
            <w:tcBorders>
              <w:top w:val="nil"/>
              <w:left w:val="nil"/>
              <w:bottom w:val="single" w:sz="4" w:space="0" w:color="auto"/>
              <w:right w:val="single" w:sz="4" w:space="0" w:color="auto"/>
            </w:tcBorders>
            <w:shd w:val="clear" w:color="auto" w:fill="D9D9D9" w:themeFill="background1" w:themeFillShade="D9"/>
            <w:noWrap/>
            <w:vAlign w:val="bottom"/>
            <w:hideMark/>
          </w:tcPr>
          <w:p w14:paraId="777388C2"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37,57%</w:t>
            </w:r>
          </w:p>
        </w:tc>
        <w:tc>
          <w:tcPr>
            <w:tcW w:w="696" w:type="pct"/>
            <w:tcBorders>
              <w:top w:val="nil"/>
              <w:left w:val="nil"/>
              <w:bottom w:val="single" w:sz="4" w:space="0" w:color="auto"/>
              <w:right w:val="single" w:sz="4" w:space="0" w:color="auto"/>
            </w:tcBorders>
            <w:shd w:val="clear" w:color="auto" w:fill="D9D9D9" w:themeFill="background1" w:themeFillShade="D9"/>
            <w:noWrap/>
            <w:vAlign w:val="bottom"/>
            <w:hideMark/>
          </w:tcPr>
          <w:p w14:paraId="26527B21"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0,94%</w:t>
            </w:r>
          </w:p>
        </w:tc>
        <w:tc>
          <w:tcPr>
            <w:tcW w:w="834" w:type="pct"/>
            <w:tcBorders>
              <w:top w:val="nil"/>
              <w:left w:val="nil"/>
              <w:bottom w:val="single" w:sz="4" w:space="0" w:color="auto"/>
              <w:right w:val="single" w:sz="4" w:space="0" w:color="auto"/>
            </w:tcBorders>
            <w:shd w:val="clear" w:color="auto" w:fill="D9D9D9" w:themeFill="background1" w:themeFillShade="D9"/>
            <w:noWrap/>
            <w:vAlign w:val="bottom"/>
            <w:hideMark/>
          </w:tcPr>
          <w:p w14:paraId="454A762F"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61,49%</w:t>
            </w:r>
          </w:p>
        </w:tc>
        <w:tc>
          <w:tcPr>
            <w:tcW w:w="1119" w:type="pct"/>
            <w:tcBorders>
              <w:top w:val="nil"/>
              <w:left w:val="nil"/>
              <w:bottom w:val="single" w:sz="4" w:space="0" w:color="auto"/>
              <w:right w:val="single" w:sz="4" w:space="0" w:color="auto"/>
            </w:tcBorders>
            <w:shd w:val="clear" w:color="auto" w:fill="D9D9D9" w:themeFill="background1" w:themeFillShade="D9"/>
            <w:noWrap/>
            <w:vAlign w:val="bottom"/>
            <w:hideMark/>
          </w:tcPr>
          <w:p w14:paraId="54A4B0B4" w14:textId="77777777" w:rsidR="00CB0CD8" w:rsidRPr="00D032F7" w:rsidRDefault="00CB0CD8" w:rsidP="00CB0CD8">
            <w:pPr>
              <w:spacing w:after="0" w:line="240" w:lineRule="auto"/>
              <w:jc w:val="center"/>
              <w:rPr>
                <w:rFonts w:ascii="Calibri" w:eastAsia="Times New Roman" w:hAnsi="Calibri" w:cs="Times New Roman"/>
                <w:color w:val="000000"/>
                <w:sz w:val="18"/>
                <w:szCs w:val="18"/>
                <w:lang w:eastAsia="hr-HR"/>
              </w:rPr>
            </w:pPr>
            <w:r w:rsidRPr="00D032F7">
              <w:rPr>
                <w:rFonts w:ascii="Calibri" w:eastAsia="Times New Roman" w:hAnsi="Calibri" w:cs="Times New Roman"/>
                <w:color w:val="000000"/>
                <w:sz w:val="18"/>
                <w:szCs w:val="18"/>
                <w:lang w:eastAsia="hr-HR"/>
              </w:rPr>
              <w:t> </w:t>
            </w:r>
          </w:p>
        </w:tc>
        <w:tc>
          <w:tcPr>
            <w:tcW w:w="902" w:type="pct"/>
            <w:tcBorders>
              <w:top w:val="nil"/>
              <w:left w:val="nil"/>
              <w:bottom w:val="single" w:sz="4" w:space="0" w:color="auto"/>
              <w:right w:val="single" w:sz="4" w:space="0" w:color="auto"/>
            </w:tcBorders>
            <w:shd w:val="clear" w:color="auto" w:fill="D9D9D9" w:themeFill="background1" w:themeFillShade="D9"/>
            <w:vAlign w:val="bottom"/>
            <w:hideMark/>
          </w:tcPr>
          <w:p w14:paraId="4D1BDC1B" w14:textId="77777777" w:rsidR="00CB0CD8" w:rsidRPr="00D032F7" w:rsidRDefault="00CB0CD8" w:rsidP="00CB0CD8">
            <w:pPr>
              <w:spacing w:after="0" w:line="240" w:lineRule="auto"/>
              <w:jc w:val="center"/>
              <w:rPr>
                <w:rFonts w:ascii="Calibri" w:eastAsia="Times New Roman" w:hAnsi="Calibri" w:cs="Times New Roman"/>
                <w:bCs/>
                <w:color w:val="000000"/>
                <w:sz w:val="18"/>
                <w:szCs w:val="18"/>
                <w:lang w:eastAsia="hr-HR"/>
              </w:rPr>
            </w:pPr>
            <w:r w:rsidRPr="00D032F7">
              <w:rPr>
                <w:rFonts w:ascii="Calibri" w:eastAsia="Times New Roman" w:hAnsi="Calibri" w:cs="Times New Roman"/>
                <w:bCs/>
                <w:color w:val="000000"/>
                <w:sz w:val="18"/>
                <w:szCs w:val="18"/>
                <w:lang w:eastAsia="hr-HR"/>
              </w:rPr>
              <w:t>100,00%</w:t>
            </w:r>
          </w:p>
        </w:tc>
      </w:tr>
    </w:tbl>
    <w:p w14:paraId="60EC080D" w14:textId="279B4B0D" w:rsidR="0067747E" w:rsidRPr="00241AEB" w:rsidRDefault="002E4F57" w:rsidP="00E92750">
      <w:pPr>
        <w:spacing w:before="240" w:line="240" w:lineRule="auto"/>
        <w:jc w:val="both"/>
        <w:rPr>
          <w:rFonts w:cstheme="minorHAnsi"/>
        </w:rPr>
      </w:pPr>
      <w:r w:rsidRPr="00241AEB">
        <w:rPr>
          <w:rFonts w:cstheme="minorHAnsi"/>
        </w:rPr>
        <w:t xml:space="preserve">Na </w:t>
      </w:r>
      <w:r w:rsidRPr="00241AEB">
        <w:rPr>
          <w:rFonts w:cstheme="minorHAnsi"/>
        </w:rPr>
        <w:fldChar w:fldCharType="begin"/>
      </w:r>
      <w:r w:rsidRPr="00241AEB">
        <w:rPr>
          <w:rFonts w:cstheme="minorHAnsi"/>
        </w:rPr>
        <w:instrText xml:space="preserve"> REF _Ref467088946 \h </w:instrText>
      </w:r>
      <w:r w:rsidR="00D75DBF" w:rsidRPr="00241AEB">
        <w:rPr>
          <w:rFonts w:cstheme="minorHAnsi"/>
        </w:rPr>
        <w:instrText xml:space="preserve"> \* MERGEFORMAT </w:instrText>
      </w:r>
      <w:r w:rsidRPr="00241AEB">
        <w:rPr>
          <w:rFonts w:cstheme="minorHAnsi"/>
        </w:rPr>
      </w:r>
      <w:r w:rsidRPr="00241AEB">
        <w:rPr>
          <w:rFonts w:cstheme="minorHAnsi"/>
        </w:rPr>
        <w:fldChar w:fldCharType="separate"/>
      </w:r>
      <w:r w:rsidR="00B94B99">
        <w:rPr>
          <w:rFonts w:eastAsia="Calibri" w:cstheme="minorHAnsi"/>
          <w:b/>
          <w:bCs/>
        </w:rPr>
        <w:t>Slici</w:t>
      </w:r>
      <w:r w:rsidR="009C319B" w:rsidRPr="00241AEB">
        <w:rPr>
          <w:rFonts w:eastAsia="Calibri" w:cstheme="minorHAnsi"/>
          <w:b/>
          <w:bCs/>
        </w:rPr>
        <w:t xml:space="preserve"> </w:t>
      </w:r>
      <w:r w:rsidR="009C319B">
        <w:rPr>
          <w:rFonts w:eastAsia="Calibri" w:cstheme="minorHAnsi"/>
          <w:b/>
          <w:bCs/>
          <w:noProof/>
        </w:rPr>
        <w:t>7</w:t>
      </w:r>
      <w:r w:rsidR="009C319B" w:rsidRPr="00241AEB">
        <w:rPr>
          <w:rFonts w:eastAsia="Calibri" w:cstheme="minorHAnsi"/>
          <w:b/>
          <w:bCs/>
          <w:noProof/>
        </w:rPr>
        <w:t>.</w:t>
      </w:r>
      <w:r w:rsidR="009C319B">
        <w:rPr>
          <w:rFonts w:eastAsia="Calibri" w:cstheme="minorHAnsi"/>
          <w:b/>
          <w:bCs/>
          <w:noProof/>
        </w:rPr>
        <w:t>8</w:t>
      </w:r>
      <w:r w:rsidRPr="00241AEB">
        <w:rPr>
          <w:rFonts w:cstheme="minorHAnsi"/>
        </w:rPr>
        <w:fldChar w:fldCharType="end"/>
      </w:r>
      <w:r w:rsidR="00963C77" w:rsidRPr="00241AEB">
        <w:rPr>
          <w:rFonts w:cstheme="minorHAnsi"/>
        </w:rPr>
        <w:t xml:space="preserve"> prikazan je ukupni Kontrolni inventar</w:t>
      </w:r>
      <w:r w:rsidR="0067747E" w:rsidRPr="00241AEB">
        <w:rPr>
          <w:rFonts w:cstheme="minorHAnsi"/>
        </w:rPr>
        <w:t xml:space="preserve"> </w:t>
      </w:r>
      <w:r w:rsidR="00963C77" w:rsidRPr="00241AEB">
        <w:rPr>
          <w:rFonts w:cstheme="minorHAnsi"/>
        </w:rPr>
        <w:t xml:space="preserve">emisija </w:t>
      </w:r>
      <w:r w:rsidR="0067747E" w:rsidRPr="00241AEB">
        <w:rPr>
          <w:rFonts w:cstheme="minorHAnsi"/>
        </w:rPr>
        <w:t>CO</w:t>
      </w:r>
      <w:r w:rsidR="0067747E" w:rsidRPr="00241AEB">
        <w:rPr>
          <w:rFonts w:cstheme="minorHAnsi"/>
          <w:vertAlign w:val="subscript"/>
        </w:rPr>
        <w:t>2</w:t>
      </w:r>
      <w:r w:rsidR="00963C77" w:rsidRPr="00241AEB">
        <w:rPr>
          <w:rFonts w:cstheme="minorHAnsi"/>
        </w:rPr>
        <w:t xml:space="preserve"> po sektorima.</w:t>
      </w:r>
      <w:r w:rsidR="00D75DBF" w:rsidRPr="00241AEB">
        <w:rPr>
          <w:rFonts w:cstheme="minorHAnsi"/>
        </w:rPr>
        <w:t xml:space="preserve"> </w:t>
      </w:r>
      <w:r w:rsidR="00D75DBF" w:rsidRPr="00241AEB">
        <w:rPr>
          <w:rFonts w:cstheme="minorHAnsi"/>
        </w:rPr>
        <w:fldChar w:fldCharType="begin"/>
      </w:r>
      <w:r w:rsidR="00D75DBF" w:rsidRPr="00241AEB">
        <w:rPr>
          <w:rFonts w:cstheme="minorHAnsi"/>
        </w:rPr>
        <w:instrText xml:space="preserve"> REF _Ref467089116 \h  \* MERGEFORMAT </w:instrText>
      </w:r>
      <w:r w:rsidR="00D75DBF" w:rsidRPr="00241AEB">
        <w:rPr>
          <w:rFonts w:cstheme="minorHAnsi"/>
        </w:rPr>
      </w:r>
      <w:r w:rsidR="00D75DBF" w:rsidRPr="00241AEB">
        <w:rPr>
          <w:rFonts w:cstheme="minorHAnsi"/>
        </w:rPr>
        <w:fldChar w:fldCharType="separate"/>
      </w:r>
      <w:r w:rsidR="009C319B" w:rsidRPr="00241AEB">
        <w:rPr>
          <w:rFonts w:eastAsia="Calibri" w:cstheme="minorHAnsi"/>
          <w:b/>
          <w:bCs/>
        </w:rPr>
        <w:t xml:space="preserve">Slika </w:t>
      </w:r>
      <w:r w:rsidR="009C319B" w:rsidRPr="009C319B">
        <w:rPr>
          <w:rFonts w:eastAsia="Calibri" w:cstheme="minorHAnsi"/>
          <w:b/>
          <w:bCs/>
          <w:noProof/>
        </w:rPr>
        <w:t>7</w:t>
      </w:r>
      <w:r w:rsidR="009C319B" w:rsidRPr="00241AEB">
        <w:rPr>
          <w:rFonts w:eastAsia="Calibri" w:cstheme="minorHAnsi"/>
          <w:b/>
          <w:bCs/>
          <w:noProof/>
        </w:rPr>
        <w:t>.</w:t>
      </w:r>
      <w:r w:rsidR="009C319B" w:rsidRPr="009C319B">
        <w:rPr>
          <w:rFonts w:eastAsia="Calibri" w:cstheme="minorHAnsi"/>
          <w:b/>
          <w:bCs/>
          <w:noProof/>
        </w:rPr>
        <w:t>9</w:t>
      </w:r>
      <w:r w:rsidR="00D75DBF" w:rsidRPr="00241AEB">
        <w:rPr>
          <w:rFonts w:cstheme="minorHAnsi"/>
        </w:rPr>
        <w:fldChar w:fldCharType="end"/>
      </w:r>
      <w:r w:rsidR="00963C77" w:rsidRPr="00241AEB">
        <w:rPr>
          <w:rFonts w:cstheme="minorHAnsi"/>
        </w:rPr>
        <w:t xml:space="preserve"> prikazuje Kontrolni inventar CO</w:t>
      </w:r>
      <w:r w:rsidR="00963C77" w:rsidRPr="00241AEB">
        <w:rPr>
          <w:rFonts w:cstheme="minorHAnsi"/>
          <w:vertAlign w:val="subscript"/>
        </w:rPr>
        <w:t>2</w:t>
      </w:r>
      <w:r w:rsidR="0067747E" w:rsidRPr="00241AEB">
        <w:rPr>
          <w:rFonts w:cstheme="minorHAnsi"/>
        </w:rPr>
        <w:t xml:space="preserve"> po </w:t>
      </w:r>
      <w:r w:rsidR="00963C77" w:rsidRPr="00241AEB">
        <w:rPr>
          <w:rFonts w:cstheme="minorHAnsi"/>
        </w:rPr>
        <w:t>pojedinim energentima, a</w:t>
      </w:r>
      <w:r w:rsidR="00D75DBF" w:rsidRPr="00241AEB">
        <w:rPr>
          <w:rFonts w:cstheme="minorHAnsi"/>
        </w:rPr>
        <w:t xml:space="preserve"> </w:t>
      </w:r>
      <w:r w:rsidR="00D75DBF" w:rsidRPr="00241AEB">
        <w:rPr>
          <w:rFonts w:cstheme="minorHAnsi"/>
        </w:rPr>
        <w:fldChar w:fldCharType="begin"/>
      </w:r>
      <w:r w:rsidR="00D75DBF" w:rsidRPr="00241AEB">
        <w:rPr>
          <w:rFonts w:cstheme="minorHAnsi"/>
        </w:rPr>
        <w:instrText xml:space="preserve"> REF _Ref467089202 \h  \* MERGEFORMAT </w:instrText>
      </w:r>
      <w:r w:rsidR="00D75DBF" w:rsidRPr="00241AEB">
        <w:rPr>
          <w:rFonts w:cstheme="minorHAnsi"/>
        </w:rPr>
      </w:r>
      <w:r w:rsidR="00D75DBF" w:rsidRPr="00241AEB">
        <w:rPr>
          <w:rFonts w:cstheme="minorHAnsi"/>
        </w:rPr>
        <w:fldChar w:fldCharType="separate"/>
      </w:r>
      <w:r w:rsidR="009C319B" w:rsidRPr="009C319B">
        <w:rPr>
          <w:rFonts w:eastAsia="Calibri" w:cstheme="minorHAnsi"/>
          <w:b/>
          <w:bCs/>
        </w:rPr>
        <w:t xml:space="preserve">Slika </w:t>
      </w:r>
      <w:r w:rsidR="009C319B" w:rsidRPr="009C319B">
        <w:rPr>
          <w:rFonts w:eastAsia="Calibri" w:cstheme="minorHAnsi"/>
          <w:b/>
          <w:bCs/>
          <w:noProof/>
        </w:rPr>
        <w:t>7.10</w:t>
      </w:r>
      <w:r w:rsidR="00D75DBF" w:rsidRPr="00241AEB">
        <w:rPr>
          <w:rFonts w:cstheme="minorHAnsi"/>
        </w:rPr>
        <w:fldChar w:fldCharType="end"/>
      </w:r>
      <w:r w:rsidR="006F7D03" w:rsidRPr="00241AEB">
        <w:rPr>
          <w:rFonts w:cstheme="minorHAnsi"/>
        </w:rPr>
        <w:t xml:space="preserve"> daje skupni prikaz Kontrolnog inventara emisije</w:t>
      </w:r>
      <w:r w:rsidR="0067747E" w:rsidRPr="00241AEB">
        <w:rPr>
          <w:rFonts w:cstheme="minorHAnsi"/>
        </w:rPr>
        <w:t xml:space="preserve"> CO</w:t>
      </w:r>
      <w:r w:rsidR="0067747E" w:rsidRPr="00241AEB">
        <w:rPr>
          <w:rFonts w:cstheme="minorHAnsi"/>
          <w:vertAlign w:val="subscript"/>
        </w:rPr>
        <w:t xml:space="preserve">2 </w:t>
      </w:r>
      <w:r w:rsidR="00F45BCE" w:rsidRPr="00241AEB">
        <w:rPr>
          <w:rFonts w:cstheme="minorHAnsi"/>
        </w:rPr>
        <w:t xml:space="preserve"> po sektorima i energentima.</w:t>
      </w:r>
    </w:p>
    <w:p w14:paraId="3A2C932A" w14:textId="513DD496" w:rsidR="002E4F57" w:rsidRDefault="00B94B99" w:rsidP="00E92750">
      <w:pPr>
        <w:spacing w:after="0" w:line="240" w:lineRule="auto"/>
        <w:jc w:val="center"/>
        <w:rPr>
          <w:noProof/>
          <w:lang w:eastAsia="hr-HR"/>
        </w:rPr>
      </w:pPr>
      <w:r>
        <w:rPr>
          <w:noProof/>
          <w:lang w:eastAsia="hr-HR"/>
        </w:rPr>
        <w:drawing>
          <wp:inline distT="0" distB="0" distL="0" distR="0" wp14:anchorId="4C11582E" wp14:editId="312DAE0A">
            <wp:extent cx="4410075" cy="2543175"/>
            <wp:effectExtent l="0" t="0" r="0" b="0"/>
            <wp:docPr id="15" name="Chart 15">
              <a:extLst xmlns:a="http://schemas.openxmlformats.org/drawingml/2006/main">
                <a:ext uri="{FF2B5EF4-FFF2-40B4-BE49-F238E27FC236}">
                  <a16:creationId xmlns:a16="http://schemas.microsoft.com/office/drawing/2014/main" id="{2BF57733-950C-455A-BE0F-5FA1DA872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79FABFA" w14:textId="72743FBF" w:rsidR="0067747E" w:rsidRPr="00241AEB" w:rsidRDefault="002E4F57" w:rsidP="00E92750">
      <w:pPr>
        <w:spacing w:line="240" w:lineRule="auto"/>
        <w:jc w:val="center"/>
        <w:rPr>
          <w:rFonts w:cstheme="minorHAnsi"/>
        </w:rPr>
      </w:pPr>
      <w:bookmarkStart w:id="364" w:name="_Ref467088946"/>
      <w:bookmarkStart w:id="365" w:name="_Toc468277475"/>
      <w:r w:rsidRPr="00241AEB">
        <w:rPr>
          <w:rFonts w:eastAsia="Calibri" w:cstheme="minorHAnsi"/>
          <w:b/>
          <w:bCs/>
        </w:rPr>
        <w:t xml:space="preserve">Slika </w:t>
      </w:r>
      <w:r w:rsidRPr="00241AEB">
        <w:rPr>
          <w:rFonts w:eastAsia="Calibri" w:cstheme="minorHAnsi"/>
          <w:b/>
          <w:bCs/>
        </w:rPr>
        <w:fldChar w:fldCharType="begin"/>
      </w:r>
      <w:r w:rsidRPr="00241AEB">
        <w:rPr>
          <w:rFonts w:eastAsia="Calibri" w:cstheme="minorHAnsi"/>
          <w:b/>
          <w:bCs/>
        </w:rPr>
        <w:instrText xml:space="preserve"> STYLEREF 1 \s </w:instrText>
      </w:r>
      <w:r w:rsidRPr="00241AEB">
        <w:rPr>
          <w:rFonts w:eastAsia="Calibri" w:cstheme="minorHAnsi"/>
          <w:b/>
          <w:bCs/>
        </w:rPr>
        <w:fldChar w:fldCharType="separate"/>
      </w:r>
      <w:r w:rsidR="009C319B">
        <w:rPr>
          <w:rFonts w:eastAsia="Calibri" w:cstheme="minorHAnsi"/>
          <w:b/>
          <w:bCs/>
          <w:noProof/>
        </w:rPr>
        <w:t>7</w:t>
      </w:r>
      <w:r w:rsidRPr="00241AEB">
        <w:rPr>
          <w:rFonts w:eastAsia="Calibri" w:cstheme="minorHAnsi"/>
          <w:b/>
          <w:bCs/>
        </w:rPr>
        <w:fldChar w:fldCharType="end"/>
      </w:r>
      <w:r w:rsidRPr="00241AEB">
        <w:rPr>
          <w:rFonts w:eastAsia="Calibri" w:cstheme="minorHAnsi"/>
          <w:b/>
          <w:bCs/>
        </w:rPr>
        <w:t>.</w:t>
      </w:r>
      <w:r w:rsidRPr="00241AEB">
        <w:rPr>
          <w:rFonts w:eastAsia="Calibri" w:cstheme="minorHAnsi"/>
          <w:b/>
          <w:bCs/>
        </w:rPr>
        <w:fldChar w:fldCharType="begin"/>
      </w:r>
      <w:r w:rsidRPr="00241AEB">
        <w:rPr>
          <w:rFonts w:eastAsia="Calibri" w:cstheme="minorHAnsi"/>
          <w:b/>
          <w:bCs/>
        </w:rPr>
        <w:instrText xml:space="preserve"> SEQ Slika \* ARABIC \s 1 </w:instrText>
      </w:r>
      <w:r w:rsidRPr="00241AEB">
        <w:rPr>
          <w:rFonts w:eastAsia="Calibri" w:cstheme="minorHAnsi"/>
          <w:b/>
          <w:bCs/>
        </w:rPr>
        <w:fldChar w:fldCharType="separate"/>
      </w:r>
      <w:r w:rsidR="009C319B">
        <w:rPr>
          <w:rFonts w:eastAsia="Calibri" w:cstheme="minorHAnsi"/>
          <w:b/>
          <w:bCs/>
          <w:noProof/>
        </w:rPr>
        <w:t>8</w:t>
      </w:r>
      <w:r w:rsidRPr="00241AEB">
        <w:rPr>
          <w:rFonts w:eastAsia="Calibri" w:cstheme="minorHAnsi"/>
          <w:b/>
          <w:bCs/>
        </w:rPr>
        <w:fldChar w:fldCharType="end"/>
      </w:r>
      <w:bookmarkStart w:id="366" w:name="_Toc258239053"/>
      <w:bookmarkEnd w:id="364"/>
      <w:r w:rsidRPr="00241AEB">
        <w:rPr>
          <w:rFonts w:cstheme="minorHAnsi"/>
        </w:rPr>
        <w:t xml:space="preserve"> </w:t>
      </w:r>
      <w:r w:rsidR="006F7D03" w:rsidRPr="00241AEB">
        <w:rPr>
          <w:rFonts w:cstheme="minorHAnsi"/>
        </w:rPr>
        <w:t xml:space="preserve">Kontrolni inventar </w:t>
      </w:r>
      <w:r w:rsidR="006F7D03" w:rsidRPr="00241AEB">
        <w:t>e</w:t>
      </w:r>
      <w:r w:rsidR="0067747E" w:rsidRPr="00241AEB">
        <w:t>misija CO</w:t>
      </w:r>
      <w:r w:rsidR="0067747E" w:rsidRPr="00241AEB">
        <w:rPr>
          <w:vertAlign w:val="subscript"/>
        </w:rPr>
        <w:t>2</w:t>
      </w:r>
      <w:r w:rsidR="0067747E" w:rsidRPr="00241AEB">
        <w:t xml:space="preserve"> po sektorima</w:t>
      </w:r>
      <w:bookmarkEnd w:id="366"/>
      <w:r w:rsidR="006F7D03" w:rsidRPr="00241AEB">
        <w:t xml:space="preserve"> u 2015. godini</w:t>
      </w:r>
      <w:bookmarkEnd w:id="365"/>
    </w:p>
    <w:p w14:paraId="5D0AF187" w14:textId="0A75D785" w:rsidR="0067747E" w:rsidRPr="00241AEB" w:rsidRDefault="0067747E" w:rsidP="00E92750">
      <w:pPr>
        <w:spacing w:line="240" w:lineRule="auto"/>
        <w:jc w:val="both"/>
        <w:rPr>
          <w:rFonts w:eastAsia="Times New Roman" w:cstheme="minorHAnsi"/>
          <w:b/>
          <w:bCs/>
          <w:color w:val="000000"/>
          <w:lang w:eastAsia="hr-HR"/>
        </w:rPr>
      </w:pPr>
      <w:r w:rsidRPr="00241AEB">
        <w:rPr>
          <w:rFonts w:cstheme="minorHAnsi"/>
          <w:lang w:eastAsia="hr-HR"/>
        </w:rPr>
        <w:t xml:space="preserve">Ukupna emisija </w:t>
      </w:r>
      <w:r w:rsidR="009127F3" w:rsidRPr="00241AEB">
        <w:rPr>
          <w:rFonts w:cstheme="minorHAnsi"/>
          <w:lang w:eastAsia="hr-HR"/>
        </w:rPr>
        <w:t xml:space="preserve">Kontrolnog </w:t>
      </w:r>
      <w:r w:rsidRPr="00241AEB">
        <w:rPr>
          <w:rFonts w:cstheme="minorHAnsi"/>
          <w:lang w:eastAsia="hr-HR"/>
        </w:rPr>
        <w:t xml:space="preserve">inventara iznosi </w:t>
      </w:r>
      <w:r w:rsidR="0015516E">
        <w:rPr>
          <w:rFonts w:cstheme="minorHAnsi"/>
          <w:lang w:eastAsia="hr-HR"/>
        </w:rPr>
        <w:t>2 930</w:t>
      </w:r>
      <w:r w:rsidR="009127F3" w:rsidRPr="00241AEB">
        <w:rPr>
          <w:rFonts w:cstheme="minorHAnsi"/>
          <w:lang w:eastAsia="hr-HR"/>
        </w:rPr>
        <w:t xml:space="preserve"> </w:t>
      </w:r>
      <w:r w:rsidRPr="00241AEB">
        <w:rPr>
          <w:rFonts w:cstheme="minorHAnsi"/>
          <w:lang w:eastAsia="hr-HR"/>
        </w:rPr>
        <w:t>kt CO</w:t>
      </w:r>
      <w:r w:rsidRPr="00241AEB">
        <w:rPr>
          <w:rFonts w:cstheme="minorHAnsi"/>
          <w:vertAlign w:val="subscript"/>
          <w:lang w:eastAsia="hr-HR"/>
        </w:rPr>
        <w:t>2</w:t>
      </w:r>
      <w:r w:rsidRPr="00241AEB">
        <w:rPr>
          <w:rFonts w:cstheme="minorHAnsi"/>
          <w:lang w:eastAsia="hr-HR"/>
        </w:rPr>
        <w:t>. Najveći izvor emisije, kao i potrošnje energenata, je sektor zgradarstva s emisijom od</w:t>
      </w:r>
      <w:r w:rsidR="00F45BCE" w:rsidRPr="00241AEB">
        <w:rPr>
          <w:rFonts w:cstheme="minorHAnsi"/>
          <w:b/>
          <w:bCs/>
          <w:color w:val="000000"/>
        </w:rPr>
        <w:t xml:space="preserve"> </w:t>
      </w:r>
      <w:r w:rsidR="00965898">
        <w:rPr>
          <w:rFonts w:eastAsia="Times New Roman" w:cstheme="minorHAnsi"/>
          <w:bCs/>
          <w:color w:val="000000"/>
          <w:lang w:eastAsia="hr-HR"/>
        </w:rPr>
        <w:t>1 802</w:t>
      </w:r>
      <w:r w:rsidRPr="00241AEB">
        <w:rPr>
          <w:rFonts w:cstheme="minorHAnsi"/>
          <w:lang w:eastAsia="hr-HR"/>
        </w:rPr>
        <w:t xml:space="preserve"> kt CO</w:t>
      </w:r>
      <w:r w:rsidRPr="00241AEB">
        <w:rPr>
          <w:rFonts w:cstheme="minorHAnsi"/>
          <w:vertAlign w:val="subscript"/>
          <w:lang w:eastAsia="hr-HR"/>
        </w:rPr>
        <w:t>2</w:t>
      </w:r>
      <w:r w:rsidRPr="00241AEB">
        <w:rPr>
          <w:rFonts w:cstheme="minorHAnsi"/>
          <w:lang w:eastAsia="hr-HR"/>
        </w:rPr>
        <w:t>, a slijedi ga s</w:t>
      </w:r>
      <w:r w:rsidR="00F45BCE" w:rsidRPr="00241AEB">
        <w:rPr>
          <w:rFonts w:cstheme="minorHAnsi"/>
          <w:lang w:eastAsia="hr-HR"/>
        </w:rPr>
        <w:t>ektor prometa s emisijom od 1 101</w:t>
      </w:r>
      <w:r w:rsidRPr="00241AEB">
        <w:rPr>
          <w:rFonts w:cstheme="minorHAnsi"/>
          <w:lang w:eastAsia="hr-HR"/>
        </w:rPr>
        <w:t xml:space="preserve"> kt CO</w:t>
      </w:r>
      <w:r w:rsidRPr="00241AEB">
        <w:rPr>
          <w:rFonts w:cstheme="minorHAnsi"/>
          <w:vertAlign w:val="subscript"/>
          <w:lang w:eastAsia="hr-HR"/>
        </w:rPr>
        <w:t>2</w:t>
      </w:r>
      <w:r w:rsidRPr="00241AEB">
        <w:rPr>
          <w:rFonts w:cstheme="minorHAnsi"/>
          <w:lang w:eastAsia="hr-HR"/>
        </w:rPr>
        <w:t xml:space="preserve">. </w:t>
      </w:r>
    </w:p>
    <w:p w14:paraId="07E0B5BE" w14:textId="286CD27A" w:rsidR="0067747E" w:rsidRDefault="006936FC" w:rsidP="00E92750">
      <w:pPr>
        <w:spacing w:after="0" w:line="240" w:lineRule="auto"/>
        <w:jc w:val="center"/>
        <w:rPr>
          <w:noProof/>
          <w:lang w:eastAsia="hr-HR"/>
        </w:rPr>
      </w:pPr>
      <w:r>
        <w:rPr>
          <w:noProof/>
          <w:lang w:eastAsia="hr-HR"/>
        </w:rPr>
        <w:lastRenderedPageBreak/>
        <w:drawing>
          <wp:inline distT="0" distB="0" distL="0" distR="0" wp14:anchorId="71D36C4E" wp14:editId="350AB2BB">
            <wp:extent cx="5836920" cy="3221665"/>
            <wp:effectExtent l="0" t="0" r="0" b="0"/>
            <wp:docPr id="166" name="Chart 166">
              <a:extLst xmlns:a="http://schemas.openxmlformats.org/drawingml/2006/main">
                <a:ext uri="{FF2B5EF4-FFF2-40B4-BE49-F238E27FC236}">
                  <a16:creationId xmlns:a16="http://schemas.microsoft.com/office/drawing/2014/main" id="{EB203FA0-F075-4382-9CE9-368FDBE4B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EA92EE3" w14:textId="124E5368" w:rsidR="002E4F57" w:rsidRPr="00241AEB" w:rsidRDefault="002E4F57" w:rsidP="00E92750">
      <w:pPr>
        <w:pStyle w:val="Heading6"/>
        <w:numPr>
          <w:ilvl w:val="0"/>
          <w:numId w:val="0"/>
        </w:numPr>
        <w:spacing w:after="240" w:line="240" w:lineRule="auto"/>
        <w:jc w:val="center"/>
        <w:rPr>
          <w:rFonts w:asciiTheme="minorHAnsi" w:hAnsiTheme="minorHAnsi" w:cstheme="minorHAnsi"/>
        </w:rPr>
      </w:pPr>
      <w:bookmarkStart w:id="367" w:name="_Ref467089116"/>
      <w:bookmarkStart w:id="368" w:name="_Toc468277476"/>
      <w:r w:rsidRPr="00241AEB">
        <w:rPr>
          <w:rFonts w:asciiTheme="minorHAnsi" w:eastAsia="Calibri" w:hAnsiTheme="minorHAnsi" w:cstheme="minorHAnsi"/>
          <w:b/>
          <w:bCs/>
          <w:i w:val="0"/>
        </w:rPr>
        <w:t xml:space="preserve">Slika </w:t>
      </w:r>
      <w:r w:rsidRPr="00241AEB">
        <w:rPr>
          <w:rFonts w:asciiTheme="minorHAnsi" w:eastAsia="Calibri" w:hAnsiTheme="minorHAnsi" w:cstheme="minorHAnsi"/>
          <w:b/>
          <w:bCs/>
          <w:i w:val="0"/>
        </w:rPr>
        <w:fldChar w:fldCharType="begin"/>
      </w:r>
      <w:r w:rsidRPr="00241AEB">
        <w:rPr>
          <w:rFonts w:asciiTheme="minorHAnsi" w:eastAsia="Calibri" w:hAnsiTheme="minorHAnsi" w:cstheme="minorHAnsi"/>
          <w:b/>
          <w:bCs/>
          <w:i w:val="0"/>
        </w:rPr>
        <w:instrText xml:space="preserve"> STYLEREF 1 \s </w:instrText>
      </w:r>
      <w:r w:rsidRPr="00241AEB">
        <w:rPr>
          <w:rFonts w:asciiTheme="minorHAnsi" w:eastAsia="Calibri" w:hAnsiTheme="minorHAnsi" w:cstheme="minorHAnsi"/>
          <w:b/>
          <w:bCs/>
          <w:i w:val="0"/>
        </w:rPr>
        <w:fldChar w:fldCharType="separate"/>
      </w:r>
      <w:r w:rsidR="009C319B">
        <w:rPr>
          <w:rFonts w:asciiTheme="minorHAnsi" w:eastAsia="Calibri" w:hAnsiTheme="minorHAnsi" w:cstheme="minorHAnsi"/>
          <w:b/>
          <w:bCs/>
          <w:i w:val="0"/>
          <w:noProof/>
        </w:rPr>
        <w:t>7</w:t>
      </w:r>
      <w:r w:rsidRPr="00241AEB">
        <w:rPr>
          <w:rFonts w:asciiTheme="minorHAnsi" w:eastAsia="Calibri" w:hAnsiTheme="minorHAnsi" w:cstheme="minorHAnsi"/>
          <w:b/>
          <w:bCs/>
          <w:i w:val="0"/>
        </w:rPr>
        <w:fldChar w:fldCharType="end"/>
      </w:r>
      <w:r w:rsidRPr="00241AEB">
        <w:rPr>
          <w:rFonts w:asciiTheme="minorHAnsi" w:eastAsia="Calibri" w:hAnsiTheme="minorHAnsi" w:cstheme="minorHAnsi"/>
          <w:b/>
          <w:bCs/>
          <w:i w:val="0"/>
        </w:rPr>
        <w:t>.</w:t>
      </w:r>
      <w:r w:rsidRPr="00241AEB">
        <w:rPr>
          <w:rFonts w:asciiTheme="minorHAnsi" w:eastAsia="Calibri" w:hAnsiTheme="minorHAnsi" w:cstheme="minorHAnsi"/>
          <w:b/>
          <w:bCs/>
          <w:i w:val="0"/>
        </w:rPr>
        <w:fldChar w:fldCharType="begin"/>
      </w:r>
      <w:r w:rsidRPr="00241AEB">
        <w:rPr>
          <w:rFonts w:asciiTheme="minorHAnsi" w:eastAsia="Calibri" w:hAnsiTheme="minorHAnsi" w:cstheme="minorHAnsi"/>
          <w:b/>
          <w:bCs/>
          <w:i w:val="0"/>
        </w:rPr>
        <w:instrText xml:space="preserve"> SEQ Slika \* ARABIC \s 1 </w:instrText>
      </w:r>
      <w:r w:rsidRPr="00241AEB">
        <w:rPr>
          <w:rFonts w:asciiTheme="minorHAnsi" w:eastAsia="Calibri" w:hAnsiTheme="minorHAnsi" w:cstheme="minorHAnsi"/>
          <w:b/>
          <w:bCs/>
          <w:i w:val="0"/>
        </w:rPr>
        <w:fldChar w:fldCharType="separate"/>
      </w:r>
      <w:r w:rsidR="009C319B">
        <w:rPr>
          <w:rFonts w:asciiTheme="minorHAnsi" w:eastAsia="Calibri" w:hAnsiTheme="minorHAnsi" w:cstheme="minorHAnsi"/>
          <w:b/>
          <w:bCs/>
          <w:i w:val="0"/>
          <w:noProof/>
        </w:rPr>
        <w:t>9</w:t>
      </w:r>
      <w:r w:rsidRPr="00241AEB">
        <w:rPr>
          <w:rFonts w:asciiTheme="minorHAnsi" w:eastAsia="Calibri" w:hAnsiTheme="minorHAnsi" w:cstheme="minorHAnsi"/>
          <w:b/>
          <w:bCs/>
          <w:i w:val="0"/>
        </w:rPr>
        <w:fldChar w:fldCharType="end"/>
      </w:r>
      <w:bookmarkStart w:id="369" w:name="_Toc258239054"/>
      <w:bookmarkEnd w:id="367"/>
      <w:r w:rsidRPr="00241AEB">
        <w:rPr>
          <w:rFonts w:asciiTheme="minorHAnsi" w:hAnsiTheme="minorHAnsi" w:cstheme="minorHAnsi"/>
          <w:i w:val="0"/>
        </w:rPr>
        <w:t xml:space="preserve"> </w:t>
      </w:r>
      <w:r w:rsidR="00F45BCE" w:rsidRPr="00241AEB">
        <w:rPr>
          <w:rFonts w:asciiTheme="minorHAnsi" w:hAnsiTheme="minorHAnsi" w:cstheme="minorHAnsi"/>
          <w:i w:val="0"/>
        </w:rPr>
        <w:t>Kontrolni inventar emisija CO</w:t>
      </w:r>
      <w:r w:rsidR="00F45BCE" w:rsidRPr="00241AEB">
        <w:rPr>
          <w:rFonts w:asciiTheme="minorHAnsi" w:hAnsiTheme="minorHAnsi" w:cstheme="minorHAnsi"/>
          <w:i w:val="0"/>
          <w:vertAlign w:val="subscript"/>
        </w:rPr>
        <w:t>2</w:t>
      </w:r>
      <w:r w:rsidRPr="00241AEB">
        <w:rPr>
          <w:rFonts w:asciiTheme="minorHAnsi" w:hAnsiTheme="minorHAnsi" w:cstheme="minorHAnsi"/>
          <w:i w:val="0"/>
        </w:rPr>
        <w:t xml:space="preserve"> po energentima</w:t>
      </w:r>
      <w:bookmarkEnd w:id="369"/>
      <w:r w:rsidR="00CF7E37" w:rsidRPr="00241AEB">
        <w:rPr>
          <w:rFonts w:asciiTheme="minorHAnsi" w:hAnsiTheme="minorHAnsi" w:cstheme="minorHAnsi"/>
          <w:i w:val="0"/>
        </w:rPr>
        <w:t xml:space="preserve"> u 2015. godini</w:t>
      </w:r>
      <w:bookmarkEnd w:id="368"/>
    </w:p>
    <w:p w14:paraId="299956FE" w14:textId="6D669A8B" w:rsidR="0067747E" w:rsidRPr="00241AEB" w:rsidRDefault="0067747E" w:rsidP="00E92750">
      <w:pPr>
        <w:spacing w:line="240" w:lineRule="auto"/>
        <w:jc w:val="both"/>
        <w:rPr>
          <w:rFonts w:ascii="Calibri" w:eastAsia="Times New Roman" w:hAnsi="Calibri" w:cs="Calibri"/>
          <w:b/>
          <w:bCs/>
          <w:color w:val="000000"/>
          <w:sz w:val="18"/>
          <w:szCs w:val="18"/>
          <w:lang w:eastAsia="hr-HR"/>
        </w:rPr>
      </w:pPr>
      <w:r w:rsidRPr="00241AEB">
        <w:rPr>
          <w:rFonts w:cstheme="minorHAnsi"/>
          <w:lang w:eastAsia="hr-HR"/>
        </w:rPr>
        <w:t>Emisija CO</w:t>
      </w:r>
      <w:r w:rsidRPr="00241AEB">
        <w:rPr>
          <w:rFonts w:cstheme="minorHAnsi"/>
          <w:vertAlign w:val="subscript"/>
          <w:lang w:eastAsia="hr-HR"/>
        </w:rPr>
        <w:t>2</w:t>
      </w:r>
      <w:r w:rsidRPr="00241AEB">
        <w:rPr>
          <w:rFonts w:cstheme="minorHAnsi"/>
          <w:lang w:eastAsia="hr-HR"/>
        </w:rPr>
        <w:t xml:space="preserve"> iz </w:t>
      </w:r>
      <w:r w:rsidR="00B13B6E" w:rsidRPr="00241AEB">
        <w:rPr>
          <w:rFonts w:cstheme="minorHAnsi"/>
          <w:lang w:eastAsia="hr-HR"/>
        </w:rPr>
        <w:t xml:space="preserve">električne energije u 2015. godini iznosila je </w:t>
      </w:r>
      <w:r w:rsidR="006936FC">
        <w:rPr>
          <w:rFonts w:ascii="Calibri" w:eastAsia="Times New Roman" w:hAnsi="Calibri" w:cs="Calibri"/>
          <w:bCs/>
          <w:color w:val="000000"/>
          <w:lang w:eastAsia="hr-HR"/>
        </w:rPr>
        <w:t>711</w:t>
      </w:r>
      <w:r w:rsidR="00B13B6E" w:rsidRPr="00241AEB">
        <w:rPr>
          <w:rFonts w:ascii="Calibri" w:eastAsia="Times New Roman" w:hAnsi="Calibri" w:cs="Calibri"/>
          <w:bCs/>
          <w:color w:val="000000"/>
          <w:lang w:eastAsia="hr-HR"/>
        </w:rPr>
        <w:t xml:space="preserve"> </w:t>
      </w:r>
      <w:r w:rsidRPr="00241AEB">
        <w:rPr>
          <w:rFonts w:cstheme="minorHAnsi"/>
          <w:lang w:eastAsia="hr-HR"/>
        </w:rPr>
        <w:t>kt CO</w:t>
      </w:r>
      <w:r w:rsidRPr="00241AEB">
        <w:rPr>
          <w:rFonts w:cstheme="minorHAnsi"/>
          <w:vertAlign w:val="subscript"/>
          <w:lang w:eastAsia="hr-HR"/>
        </w:rPr>
        <w:t>2</w:t>
      </w:r>
      <w:r w:rsidR="00FA7DCA">
        <w:rPr>
          <w:rFonts w:cstheme="minorHAnsi"/>
          <w:lang w:eastAsia="hr-HR"/>
        </w:rPr>
        <w:t>, što čini 24,26</w:t>
      </w:r>
      <w:r w:rsidRPr="00241AEB">
        <w:rPr>
          <w:rFonts w:cstheme="minorHAnsi"/>
          <w:lang w:eastAsia="hr-HR"/>
        </w:rPr>
        <w:t xml:space="preserve">% ukupne emisije </w:t>
      </w:r>
      <w:r w:rsidR="00B13B6E" w:rsidRPr="00241AEB">
        <w:rPr>
          <w:rFonts w:cstheme="minorHAnsi"/>
          <w:lang w:eastAsia="hr-HR"/>
        </w:rPr>
        <w:t xml:space="preserve">Kontrolnog </w:t>
      </w:r>
      <w:r w:rsidRPr="00241AEB">
        <w:rPr>
          <w:rFonts w:cstheme="minorHAnsi"/>
          <w:lang w:eastAsia="hr-HR"/>
        </w:rPr>
        <w:t>inventara. Dominantni izvo</w:t>
      </w:r>
      <w:r w:rsidR="00B13B6E" w:rsidRPr="00241AEB">
        <w:rPr>
          <w:rFonts w:cstheme="minorHAnsi"/>
          <w:lang w:eastAsia="hr-HR"/>
        </w:rPr>
        <w:t>ri emisija, uz električnu energiju su diz</w:t>
      </w:r>
      <w:r w:rsidR="00FA7DCA">
        <w:rPr>
          <w:rFonts w:cstheme="minorHAnsi"/>
          <w:lang w:eastAsia="hr-HR"/>
        </w:rPr>
        <w:t>el, prirodni plin i toplana</w:t>
      </w:r>
      <w:r w:rsidR="00B13B6E" w:rsidRPr="00241AEB">
        <w:rPr>
          <w:rFonts w:cstheme="minorHAnsi"/>
          <w:lang w:eastAsia="hr-HR"/>
        </w:rPr>
        <w:t xml:space="preserve"> </w:t>
      </w:r>
      <w:r w:rsidRPr="00241AEB">
        <w:rPr>
          <w:rFonts w:cstheme="minorHAnsi"/>
          <w:lang w:eastAsia="hr-HR"/>
        </w:rPr>
        <w:t xml:space="preserve">s </w:t>
      </w:r>
      <w:r w:rsidR="00B13B6E" w:rsidRPr="00241AEB">
        <w:rPr>
          <w:rFonts w:cstheme="minorHAnsi"/>
          <w:lang w:eastAsia="hr-HR"/>
        </w:rPr>
        <w:t>emisijama od 671</w:t>
      </w:r>
      <w:r w:rsidRPr="00241AEB">
        <w:rPr>
          <w:rFonts w:cstheme="minorHAnsi"/>
          <w:lang w:eastAsia="hr-HR"/>
        </w:rPr>
        <w:t xml:space="preserve"> kt CO</w:t>
      </w:r>
      <w:r w:rsidRPr="00241AEB">
        <w:rPr>
          <w:rFonts w:cstheme="minorHAnsi"/>
          <w:vertAlign w:val="subscript"/>
          <w:lang w:eastAsia="hr-HR"/>
        </w:rPr>
        <w:t>2</w:t>
      </w:r>
      <w:r w:rsidR="00B13B6E" w:rsidRPr="00241AEB">
        <w:rPr>
          <w:rFonts w:cstheme="minorHAnsi"/>
          <w:lang w:eastAsia="hr-HR"/>
        </w:rPr>
        <w:t>, 615</w:t>
      </w:r>
      <w:r w:rsidRPr="00241AEB">
        <w:rPr>
          <w:rFonts w:cstheme="minorHAnsi"/>
          <w:lang w:eastAsia="hr-HR"/>
        </w:rPr>
        <w:t xml:space="preserve"> kt CO</w:t>
      </w:r>
      <w:r w:rsidRPr="00241AEB">
        <w:rPr>
          <w:rFonts w:cstheme="minorHAnsi"/>
          <w:vertAlign w:val="subscript"/>
          <w:lang w:eastAsia="hr-HR"/>
        </w:rPr>
        <w:t>2</w:t>
      </w:r>
      <w:r w:rsidR="00B13B6E" w:rsidRPr="00241AEB">
        <w:rPr>
          <w:rFonts w:cstheme="minorHAnsi"/>
          <w:lang w:eastAsia="hr-HR"/>
        </w:rPr>
        <w:t>, 44</w:t>
      </w:r>
      <w:r w:rsidR="006936FC">
        <w:rPr>
          <w:rFonts w:cstheme="minorHAnsi"/>
          <w:lang w:eastAsia="hr-HR"/>
        </w:rPr>
        <w:t>4</w:t>
      </w:r>
      <w:r w:rsidRPr="00241AEB">
        <w:rPr>
          <w:rFonts w:cstheme="minorHAnsi"/>
          <w:lang w:eastAsia="hr-HR"/>
        </w:rPr>
        <w:t xml:space="preserve"> kt CO</w:t>
      </w:r>
      <w:r w:rsidRPr="00241AEB">
        <w:rPr>
          <w:rFonts w:cstheme="minorHAnsi"/>
          <w:vertAlign w:val="subscript"/>
          <w:lang w:eastAsia="hr-HR"/>
        </w:rPr>
        <w:t>2</w:t>
      </w:r>
      <w:r w:rsidR="00B13B6E" w:rsidRPr="00241AEB">
        <w:rPr>
          <w:rFonts w:cstheme="minorHAnsi"/>
          <w:lang w:eastAsia="hr-HR"/>
        </w:rPr>
        <w:t>.</w:t>
      </w:r>
      <w:r w:rsidRPr="00241AEB">
        <w:rPr>
          <w:rFonts w:cstheme="minorHAnsi"/>
          <w:lang w:eastAsia="hr-HR"/>
        </w:rPr>
        <w:t xml:space="preserve"> Udio emisija navedenih </w:t>
      </w:r>
      <w:r w:rsidR="00B13B6E" w:rsidRPr="00241AEB">
        <w:rPr>
          <w:rFonts w:cstheme="minorHAnsi"/>
          <w:lang w:eastAsia="hr-HR"/>
        </w:rPr>
        <w:t>ene</w:t>
      </w:r>
      <w:r w:rsidR="00FA7DCA">
        <w:rPr>
          <w:rFonts w:cstheme="minorHAnsi"/>
          <w:lang w:eastAsia="hr-HR"/>
        </w:rPr>
        <w:t>rgenata zajedno čini preko 80</w:t>
      </w:r>
      <w:r w:rsidRPr="00241AEB">
        <w:rPr>
          <w:rFonts w:cstheme="minorHAnsi"/>
          <w:lang w:eastAsia="hr-HR"/>
        </w:rPr>
        <w:t>% ukupne emisije CO</w:t>
      </w:r>
      <w:r w:rsidRPr="00241AEB">
        <w:rPr>
          <w:rFonts w:cstheme="minorHAnsi"/>
          <w:vertAlign w:val="subscript"/>
          <w:lang w:eastAsia="hr-HR"/>
        </w:rPr>
        <w:t>2</w:t>
      </w:r>
      <w:r w:rsidRPr="00241AEB">
        <w:rPr>
          <w:rFonts w:cstheme="minorHAnsi"/>
          <w:lang w:eastAsia="hr-HR"/>
        </w:rPr>
        <w:t xml:space="preserve"> Grada Zagreba.</w:t>
      </w:r>
    </w:p>
    <w:p w14:paraId="5A12643F" w14:textId="61BC94E1" w:rsidR="00F45BCE" w:rsidRDefault="006936FC" w:rsidP="00E92750">
      <w:pPr>
        <w:spacing w:after="0" w:line="240" w:lineRule="auto"/>
        <w:jc w:val="center"/>
        <w:rPr>
          <w:noProof/>
          <w:lang w:eastAsia="hr-HR"/>
        </w:rPr>
      </w:pPr>
      <w:r>
        <w:rPr>
          <w:noProof/>
          <w:lang w:eastAsia="hr-HR"/>
        </w:rPr>
        <w:drawing>
          <wp:inline distT="0" distB="0" distL="0" distR="0" wp14:anchorId="1AA85FFF" wp14:editId="08EED7B2">
            <wp:extent cx="4095750" cy="2876550"/>
            <wp:effectExtent l="0" t="0" r="0" b="0"/>
            <wp:docPr id="167" name="Chart 167">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5357189" w14:textId="6F686B02" w:rsidR="00D75DBF" w:rsidRPr="00241AEB" w:rsidRDefault="00D75DBF" w:rsidP="00E92750">
      <w:pPr>
        <w:spacing w:line="240" w:lineRule="auto"/>
        <w:jc w:val="center"/>
      </w:pPr>
      <w:bookmarkStart w:id="370" w:name="_Ref467089202"/>
      <w:bookmarkStart w:id="371" w:name="_Toc468277477"/>
      <w:r w:rsidRPr="00241AEB">
        <w:rPr>
          <w:b/>
        </w:rPr>
        <w:t xml:space="preserve">Slika </w:t>
      </w:r>
      <w:r w:rsidRPr="00241AEB">
        <w:rPr>
          <w:b/>
        </w:rPr>
        <w:fldChar w:fldCharType="begin"/>
      </w:r>
      <w:r w:rsidRPr="00241AEB">
        <w:rPr>
          <w:b/>
        </w:rPr>
        <w:instrText xml:space="preserve"> STYLEREF 1 \s </w:instrText>
      </w:r>
      <w:r w:rsidRPr="00241AEB">
        <w:rPr>
          <w:b/>
        </w:rPr>
        <w:fldChar w:fldCharType="separate"/>
      </w:r>
      <w:r w:rsidR="009C319B">
        <w:rPr>
          <w:b/>
          <w:noProof/>
        </w:rPr>
        <w:t>7</w:t>
      </w:r>
      <w:r w:rsidRPr="00241AEB">
        <w:rPr>
          <w:b/>
        </w:rPr>
        <w:fldChar w:fldCharType="end"/>
      </w:r>
      <w:r w:rsidRPr="00241AEB">
        <w:rPr>
          <w:b/>
        </w:rPr>
        <w:t>.</w:t>
      </w:r>
      <w:r w:rsidRPr="00241AEB">
        <w:rPr>
          <w:b/>
        </w:rPr>
        <w:fldChar w:fldCharType="begin"/>
      </w:r>
      <w:r w:rsidRPr="00241AEB">
        <w:rPr>
          <w:b/>
        </w:rPr>
        <w:instrText xml:space="preserve"> SEQ Slika \* ARABIC \s 1 </w:instrText>
      </w:r>
      <w:r w:rsidRPr="00241AEB">
        <w:rPr>
          <w:b/>
        </w:rPr>
        <w:fldChar w:fldCharType="separate"/>
      </w:r>
      <w:r w:rsidR="009C319B">
        <w:rPr>
          <w:b/>
          <w:noProof/>
        </w:rPr>
        <w:t>10</w:t>
      </w:r>
      <w:r w:rsidRPr="00241AEB">
        <w:rPr>
          <w:b/>
        </w:rPr>
        <w:fldChar w:fldCharType="end"/>
      </w:r>
      <w:bookmarkStart w:id="372" w:name="_Toc258239055"/>
      <w:bookmarkEnd w:id="370"/>
      <w:r w:rsidRPr="00241AEB">
        <w:t xml:space="preserve"> Prikaz </w:t>
      </w:r>
      <w:r w:rsidR="00B13B6E" w:rsidRPr="00241AEB">
        <w:t xml:space="preserve">Kontrolnog inventara </w:t>
      </w:r>
      <w:r w:rsidRPr="00241AEB">
        <w:t>emisije CO</w:t>
      </w:r>
      <w:r w:rsidRPr="00241AEB">
        <w:rPr>
          <w:vertAlign w:val="subscript"/>
        </w:rPr>
        <w:t>2</w:t>
      </w:r>
      <w:r w:rsidRPr="00241AEB">
        <w:t xml:space="preserve"> po sektorima i energentima</w:t>
      </w:r>
      <w:bookmarkEnd w:id="372"/>
      <w:r w:rsidR="00CF7E37" w:rsidRPr="00241AEB">
        <w:t xml:space="preserve"> u 2015. godini</w:t>
      </w:r>
      <w:bookmarkEnd w:id="371"/>
    </w:p>
    <w:p w14:paraId="19A1F8E8" w14:textId="5F943BBD" w:rsidR="00D41B36" w:rsidRPr="00241AEB" w:rsidRDefault="00DA0CCB" w:rsidP="00E92750">
      <w:pPr>
        <w:spacing w:after="0" w:line="240" w:lineRule="auto"/>
        <w:jc w:val="both"/>
        <w:rPr>
          <w:rFonts w:cstheme="minorHAnsi"/>
          <w:lang w:eastAsia="hr-HR"/>
        </w:rPr>
      </w:pPr>
      <w:r w:rsidRPr="00241AEB">
        <w:rPr>
          <w:rFonts w:cstheme="minorHAnsi"/>
          <w:lang w:eastAsia="hr-HR"/>
        </w:rPr>
        <w:t>Najveći udi</w:t>
      </w:r>
      <w:r w:rsidR="004C165F">
        <w:rPr>
          <w:rFonts w:cstheme="minorHAnsi"/>
          <w:lang w:eastAsia="hr-HR"/>
        </w:rPr>
        <w:t>o 61,49</w:t>
      </w:r>
      <w:r w:rsidRPr="00241AEB">
        <w:rPr>
          <w:rFonts w:cstheme="minorHAnsi"/>
          <w:lang w:eastAsia="hr-HR"/>
        </w:rPr>
        <w:t>%</w:t>
      </w:r>
      <w:r w:rsidR="00CF7E37" w:rsidRPr="00241AEB">
        <w:rPr>
          <w:rFonts w:cstheme="minorHAnsi"/>
          <w:lang w:eastAsia="hr-HR"/>
        </w:rPr>
        <w:t xml:space="preserve"> u ukupno Kontrolnom inventaru emisija</w:t>
      </w:r>
      <w:r w:rsidR="0067747E" w:rsidRPr="00241AEB">
        <w:rPr>
          <w:rFonts w:cstheme="minorHAnsi"/>
          <w:lang w:eastAsia="hr-HR"/>
        </w:rPr>
        <w:t xml:space="preserve"> CO</w:t>
      </w:r>
      <w:r w:rsidR="0067747E" w:rsidRPr="00241AEB">
        <w:rPr>
          <w:rFonts w:cstheme="minorHAnsi"/>
          <w:vertAlign w:val="subscript"/>
          <w:lang w:eastAsia="hr-HR"/>
        </w:rPr>
        <w:t xml:space="preserve">2 </w:t>
      </w:r>
      <w:r w:rsidR="0067747E" w:rsidRPr="00241AEB">
        <w:rPr>
          <w:rFonts w:cstheme="minorHAnsi"/>
          <w:lang w:eastAsia="hr-HR"/>
        </w:rPr>
        <w:t>ima sektor zgradarstva, nakon k</w:t>
      </w:r>
      <w:r w:rsidRPr="00241AEB">
        <w:rPr>
          <w:rFonts w:cstheme="minorHAnsi"/>
          <w:lang w:eastAsia="hr-HR"/>
        </w:rPr>
        <w:t>oj</w:t>
      </w:r>
      <w:r w:rsidR="006936FC">
        <w:rPr>
          <w:rFonts w:cstheme="minorHAnsi"/>
          <w:lang w:eastAsia="hr-HR"/>
        </w:rPr>
        <w:t>eg slijedi sektor prometa s 37,5</w:t>
      </w:r>
      <w:r w:rsidR="004C165F">
        <w:rPr>
          <w:rFonts w:cstheme="minorHAnsi"/>
          <w:lang w:eastAsia="hr-HR"/>
        </w:rPr>
        <w:t>7</w:t>
      </w:r>
      <w:r w:rsidR="0067747E" w:rsidRPr="00241AEB">
        <w:rPr>
          <w:rFonts w:cstheme="minorHAnsi"/>
          <w:lang w:eastAsia="hr-HR"/>
        </w:rPr>
        <w:t xml:space="preserve">%. </w:t>
      </w:r>
      <w:r w:rsidR="006936FC">
        <w:rPr>
          <w:rFonts w:cstheme="minorHAnsi"/>
          <w:lang w:eastAsia="hr-HR"/>
        </w:rPr>
        <w:t>Emisije električne energije (661</w:t>
      </w:r>
      <w:r w:rsidR="0067747E" w:rsidRPr="00241AEB">
        <w:rPr>
          <w:rFonts w:cstheme="minorHAnsi"/>
          <w:lang w:eastAsia="hr-HR"/>
        </w:rPr>
        <w:t xml:space="preserve"> kt CO</w:t>
      </w:r>
      <w:r w:rsidR="0067747E" w:rsidRPr="00241AEB">
        <w:rPr>
          <w:rFonts w:cstheme="minorHAnsi"/>
          <w:vertAlign w:val="subscript"/>
          <w:lang w:eastAsia="hr-HR"/>
        </w:rPr>
        <w:t>2</w:t>
      </w:r>
      <w:r w:rsidRPr="00241AEB">
        <w:rPr>
          <w:rFonts w:cstheme="minorHAnsi"/>
          <w:lang w:eastAsia="hr-HR"/>
        </w:rPr>
        <w:t>) i prirodnog plina (614</w:t>
      </w:r>
      <w:r w:rsidR="0067747E" w:rsidRPr="00241AEB">
        <w:rPr>
          <w:rFonts w:cstheme="minorHAnsi"/>
          <w:lang w:eastAsia="hr-HR"/>
        </w:rPr>
        <w:t xml:space="preserve"> kt CO</w:t>
      </w:r>
      <w:r w:rsidR="0067747E" w:rsidRPr="00241AEB">
        <w:rPr>
          <w:rFonts w:cstheme="minorHAnsi"/>
          <w:vertAlign w:val="subscript"/>
          <w:lang w:eastAsia="hr-HR"/>
        </w:rPr>
        <w:t>2</w:t>
      </w:r>
      <w:r w:rsidR="0067747E" w:rsidRPr="00241AEB">
        <w:rPr>
          <w:rFonts w:cstheme="minorHAnsi"/>
          <w:lang w:eastAsia="hr-HR"/>
        </w:rPr>
        <w:t>) su najzastupljenije u sektoru zgradarstva dok su u sektoru prometa najveće emisij</w:t>
      </w:r>
      <w:r w:rsidRPr="00241AEB">
        <w:rPr>
          <w:rFonts w:cstheme="minorHAnsi"/>
          <w:lang w:eastAsia="hr-HR"/>
        </w:rPr>
        <w:t>e nastale potrošnjom dizela (671</w:t>
      </w:r>
      <w:r w:rsidR="0067747E" w:rsidRPr="00241AEB">
        <w:rPr>
          <w:rFonts w:cstheme="minorHAnsi"/>
          <w:lang w:eastAsia="hr-HR"/>
        </w:rPr>
        <w:t xml:space="preserve"> kt CO</w:t>
      </w:r>
      <w:r w:rsidR="0067747E" w:rsidRPr="00241AEB">
        <w:rPr>
          <w:rFonts w:cstheme="minorHAnsi"/>
          <w:vertAlign w:val="subscript"/>
          <w:lang w:eastAsia="hr-HR"/>
        </w:rPr>
        <w:t>2</w:t>
      </w:r>
      <w:r w:rsidRPr="00241AEB">
        <w:rPr>
          <w:rFonts w:cstheme="minorHAnsi"/>
          <w:lang w:eastAsia="hr-HR"/>
        </w:rPr>
        <w:t>) i benzina (372</w:t>
      </w:r>
      <w:r w:rsidR="0067747E" w:rsidRPr="00241AEB">
        <w:rPr>
          <w:rFonts w:cstheme="minorHAnsi"/>
          <w:lang w:eastAsia="hr-HR"/>
        </w:rPr>
        <w:t xml:space="preserve"> kt CO</w:t>
      </w:r>
      <w:r w:rsidR="0067747E" w:rsidRPr="00241AEB">
        <w:rPr>
          <w:rFonts w:cstheme="minorHAnsi"/>
          <w:vertAlign w:val="subscript"/>
          <w:lang w:eastAsia="hr-HR"/>
        </w:rPr>
        <w:t>2</w:t>
      </w:r>
      <w:r w:rsidRPr="00241AEB">
        <w:rPr>
          <w:rFonts w:cstheme="minorHAnsi"/>
          <w:lang w:eastAsia="hr-HR"/>
        </w:rPr>
        <w:t>).</w:t>
      </w:r>
      <w:r w:rsidR="00D41B36" w:rsidRPr="00241AEB">
        <w:rPr>
          <w:rFonts w:cstheme="minorHAnsi"/>
          <w:lang w:eastAsia="hr-HR"/>
        </w:rPr>
        <w:br w:type="page"/>
      </w:r>
    </w:p>
    <w:p w14:paraId="5AD9A077" w14:textId="0D4505A5" w:rsidR="006438FE" w:rsidRPr="00241AEB" w:rsidRDefault="006438FE" w:rsidP="00E92750">
      <w:pPr>
        <w:pStyle w:val="Heading1"/>
        <w:spacing w:after="240" w:line="240" w:lineRule="auto"/>
        <w:jc w:val="both"/>
        <w:rPr>
          <w:rFonts w:eastAsia="Times New Roman"/>
          <w:b/>
        </w:rPr>
      </w:pPr>
      <w:bookmarkStart w:id="373" w:name="_Toc468345390"/>
      <w:r w:rsidRPr="00241AEB">
        <w:rPr>
          <w:rFonts w:eastAsia="Times New Roman"/>
          <w:b/>
        </w:rPr>
        <w:lastRenderedPageBreak/>
        <w:t xml:space="preserve">USPOREDBA </w:t>
      </w:r>
      <w:r w:rsidR="009D5765" w:rsidRPr="00241AEB">
        <w:rPr>
          <w:rFonts w:eastAsia="Times New Roman"/>
          <w:b/>
        </w:rPr>
        <w:t>REFERENTNOG INVENTARA EMISIJA CO</w:t>
      </w:r>
      <w:r w:rsidR="009D5765" w:rsidRPr="00241AEB">
        <w:rPr>
          <w:rFonts w:eastAsia="Times New Roman"/>
          <w:b/>
          <w:vertAlign w:val="subscript"/>
        </w:rPr>
        <w:t>2</w:t>
      </w:r>
      <w:r w:rsidR="009D5765" w:rsidRPr="00241AEB">
        <w:rPr>
          <w:rFonts w:eastAsia="Times New Roman"/>
          <w:b/>
        </w:rPr>
        <w:t xml:space="preserve"> ZA 2008. GODINU</w:t>
      </w:r>
      <w:r w:rsidR="00D8353F" w:rsidRPr="00241AEB">
        <w:rPr>
          <w:rFonts w:eastAsia="Times New Roman"/>
          <w:b/>
        </w:rPr>
        <w:t xml:space="preserve"> I KONTROLNOG INVENTARA ZA 2015. GODINU</w:t>
      </w:r>
      <w:r w:rsidR="009D5765" w:rsidRPr="00241AEB">
        <w:rPr>
          <w:rFonts w:eastAsia="Times New Roman"/>
          <w:b/>
        </w:rPr>
        <w:t xml:space="preserve"> ZA SEKTORE ZGRADARSTVA, PROMETA I JAVNE RASVJETE</w:t>
      </w:r>
      <w:bookmarkEnd w:id="373"/>
    </w:p>
    <w:p w14:paraId="6F33A6C5" w14:textId="1757A365" w:rsidR="00D16C76" w:rsidRPr="00241AEB" w:rsidRDefault="00081AF5" w:rsidP="00E92750">
      <w:pPr>
        <w:pStyle w:val="Heading2"/>
        <w:spacing w:after="240"/>
      </w:pPr>
      <w:bookmarkStart w:id="374" w:name="_Toc468345391"/>
      <w:r w:rsidRPr="00241AEB">
        <w:t>Usporedba Referentnog i Kontrolnog inventara emisije CO</w:t>
      </w:r>
      <w:r w:rsidRPr="00241AEB">
        <w:rPr>
          <w:vertAlign w:val="subscript"/>
        </w:rPr>
        <w:t>2</w:t>
      </w:r>
      <w:bookmarkEnd w:id="374"/>
    </w:p>
    <w:p w14:paraId="726C8E63" w14:textId="7CDBC045" w:rsidR="00DC1A01" w:rsidRPr="000B27C7" w:rsidRDefault="00B237C9" w:rsidP="00B40D79">
      <w:pPr>
        <w:spacing w:line="240" w:lineRule="auto"/>
        <w:jc w:val="both"/>
        <w:rPr>
          <w:rFonts w:ascii="Calibri" w:eastAsia="Calibri" w:hAnsi="Calibri" w:cs="Times New Roman"/>
        </w:rPr>
      </w:pPr>
      <w:r w:rsidRPr="000B27C7">
        <w:rPr>
          <w:rFonts w:ascii="Calibri" w:eastAsia="Calibri" w:hAnsi="Calibri" w:cs="Times New Roman"/>
        </w:rPr>
        <w:t xml:space="preserve">U </w:t>
      </w:r>
      <w:r w:rsidR="000B27C7" w:rsidRPr="000B27C7">
        <w:rPr>
          <w:rFonts w:ascii="Calibri" w:eastAsia="Calibri" w:hAnsi="Calibri" w:cs="Times New Roman"/>
        </w:rPr>
        <w:fldChar w:fldCharType="begin"/>
      </w:r>
      <w:r w:rsidR="000B27C7" w:rsidRPr="000B27C7">
        <w:rPr>
          <w:rFonts w:ascii="Calibri" w:eastAsia="Calibri" w:hAnsi="Calibri" w:cs="Times New Roman"/>
        </w:rPr>
        <w:instrText xml:space="preserve"> REF _Ref466987118 \h </w:instrText>
      </w:r>
      <w:r w:rsidR="000B27C7">
        <w:rPr>
          <w:rFonts w:ascii="Calibri" w:eastAsia="Calibri" w:hAnsi="Calibri" w:cs="Times New Roman"/>
        </w:rPr>
        <w:instrText xml:space="preserve"> \* MERGEFORMAT </w:instrText>
      </w:r>
      <w:r w:rsidR="000B27C7" w:rsidRPr="000B27C7">
        <w:rPr>
          <w:rFonts w:ascii="Calibri" w:eastAsia="Calibri" w:hAnsi="Calibri" w:cs="Times New Roman"/>
        </w:rPr>
      </w:r>
      <w:r w:rsidR="000B27C7" w:rsidRPr="000B27C7">
        <w:rPr>
          <w:rFonts w:ascii="Calibri" w:eastAsia="Calibri" w:hAnsi="Calibri" w:cs="Times New Roman"/>
        </w:rPr>
        <w:fldChar w:fldCharType="separate"/>
      </w:r>
      <w:r w:rsidR="00B92AE9">
        <w:rPr>
          <w:rFonts w:ascii="Calibri" w:eastAsia="Calibri" w:hAnsi="Calibri" w:cs="Times New Roman"/>
          <w:b/>
          <w:bCs/>
        </w:rPr>
        <w:t>Tablici</w:t>
      </w:r>
      <w:r w:rsidR="009C319B" w:rsidRPr="009C319B">
        <w:rPr>
          <w:rFonts w:ascii="Calibri" w:eastAsia="Calibri" w:hAnsi="Calibri" w:cs="Times New Roman"/>
          <w:b/>
          <w:bCs/>
        </w:rPr>
        <w:t xml:space="preserve"> </w:t>
      </w:r>
      <w:r w:rsidR="009C319B" w:rsidRPr="009C319B">
        <w:rPr>
          <w:rFonts w:ascii="Calibri" w:eastAsia="Calibri" w:hAnsi="Calibri" w:cs="Times New Roman"/>
          <w:b/>
          <w:bCs/>
          <w:noProof/>
        </w:rPr>
        <w:t>8.1</w:t>
      </w:r>
      <w:r w:rsidR="000B27C7" w:rsidRPr="000B27C7">
        <w:rPr>
          <w:rFonts w:ascii="Calibri" w:eastAsia="Calibri" w:hAnsi="Calibri" w:cs="Times New Roman"/>
        </w:rPr>
        <w:fldChar w:fldCharType="end"/>
      </w:r>
      <w:r w:rsidR="000B27C7" w:rsidRPr="000B27C7">
        <w:rPr>
          <w:rFonts w:ascii="Calibri" w:eastAsia="Calibri" w:hAnsi="Calibri" w:cs="Times New Roman"/>
        </w:rPr>
        <w:t xml:space="preserve"> </w:t>
      </w:r>
      <w:r w:rsidR="00DC1A01" w:rsidRPr="000B27C7">
        <w:rPr>
          <w:rFonts w:ascii="Calibri" w:eastAsia="Calibri" w:hAnsi="Calibri" w:cs="Times New Roman"/>
        </w:rPr>
        <w:t>prikazan je Referentni inventar</w:t>
      </w:r>
      <w:r w:rsidR="00D8175C" w:rsidRPr="000B27C7">
        <w:rPr>
          <w:rFonts w:ascii="Calibri" w:eastAsia="Calibri" w:hAnsi="Calibri" w:cs="Times New Roman"/>
        </w:rPr>
        <w:t xml:space="preserve"> emisije CO</w:t>
      </w:r>
      <w:r w:rsidR="00D8175C" w:rsidRPr="000B27C7">
        <w:rPr>
          <w:rFonts w:ascii="Calibri" w:eastAsia="Calibri" w:hAnsi="Calibri" w:cs="Times New Roman"/>
          <w:vertAlign w:val="subscript"/>
        </w:rPr>
        <w:t xml:space="preserve">2 </w:t>
      </w:r>
      <w:bookmarkStart w:id="375" w:name="_Toc248427243"/>
      <w:bookmarkStart w:id="376" w:name="_Toc251924029"/>
      <w:r w:rsidR="003262D8" w:rsidRPr="000B27C7">
        <w:rPr>
          <w:rFonts w:ascii="Calibri" w:eastAsia="Calibri" w:hAnsi="Calibri" w:cs="Times New Roman"/>
        </w:rPr>
        <w:t>po sektorima i energentima</w:t>
      </w:r>
      <w:r w:rsidRPr="000B27C7">
        <w:rPr>
          <w:rFonts w:ascii="Calibri" w:eastAsia="Calibri" w:hAnsi="Calibri" w:cs="Times New Roman"/>
        </w:rPr>
        <w:t xml:space="preserve"> u 2008. godini, dok</w:t>
      </w:r>
      <w:r w:rsidR="00DC1A01" w:rsidRPr="000B27C7">
        <w:rPr>
          <w:rFonts w:ascii="Calibri" w:eastAsia="Calibri" w:hAnsi="Calibri" w:cs="Times New Roman"/>
        </w:rPr>
        <w:t xml:space="preserve"> je</w:t>
      </w:r>
      <w:r w:rsidRPr="000B27C7">
        <w:rPr>
          <w:rFonts w:ascii="Calibri" w:eastAsia="Calibri" w:hAnsi="Calibri" w:cs="Times New Roman"/>
        </w:rPr>
        <w:t xml:space="preserve"> u </w:t>
      </w:r>
      <w:r w:rsidR="000B27C7" w:rsidRPr="000B27C7">
        <w:rPr>
          <w:rFonts w:ascii="Calibri" w:eastAsia="Calibri" w:hAnsi="Calibri" w:cs="Times New Roman"/>
        </w:rPr>
        <w:fldChar w:fldCharType="begin"/>
      </w:r>
      <w:r w:rsidR="000B27C7" w:rsidRPr="000B27C7">
        <w:rPr>
          <w:rFonts w:ascii="Calibri" w:eastAsia="Calibri" w:hAnsi="Calibri" w:cs="Times New Roman"/>
        </w:rPr>
        <w:instrText xml:space="preserve"> REF _Ref468029744 \h </w:instrText>
      </w:r>
      <w:r w:rsidR="000B27C7">
        <w:rPr>
          <w:rFonts w:ascii="Calibri" w:eastAsia="Calibri" w:hAnsi="Calibri" w:cs="Times New Roman"/>
        </w:rPr>
        <w:instrText xml:space="preserve"> \* MERGEFORMAT </w:instrText>
      </w:r>
      <w:r w:rsidR="000B27C7" w:rsidRPr="000B27C7">
        <w:rPr>
          <w:rFonts w:ascii="Calibri" w:eastAsia="Calibri" w:hAnsi="Calibri" w:cs="Times New Roman"/>
        </w:rPr>
      </w:r>
      <w:r w:rsidR="000B27C7" w:rsidRPr="000B27C7">
        <w:rPr>
          <w:rFonts w:ascii="Calibri" w:eastAsia="Calibri" w:hAnsi="Calibri" w:cs="Times New Roman"/>
        </w:rPr>
        <w:fldChar w:fldCharType="separate"/>
      </w:r>
      <w:r w:rsidR="00B92AE9">
        <w:rPr>
          <w:rFonts w:ascii="Calibri" w:eastAsia="Calibri" w:hAnsi="Calibri" w:cs="Times New Roman"/>
          <w:b/>
          <w:bCs/>
        </w:rPr>
        <w:t>Tablici</w:t>
      </w:r>
      <w:r w:rsidR="009C319B" w:rsidRPr="009C319B">
        <w:rPr>
          <w:rFonts w:ascii="Calibri" w:eastAsia="Calibri" w:hAnsi="Calibri" w:cs="Times New Roman"/>
          <w:b/>
          <w:bCs/>
        </w:rPr>
        <w:t xml:space="preserve"> </w:t>
      </w:r>
      <w:r w:rsidR="009C319B" w:rsidRPr="009C319B">
        <w:rPr>
          <w:rFonts w:ascii="Calibri" w:eastAsia="Calibri" w:hAnsi="Calibri" w:cs="Times New Roman"/>
          <w:b/>
          <w:bCs/>
          <w:noProof/>
        </w:rPr>
        <w:t>8.2</w:t>
      </w:r>
      <w:r w:rsidR="000B27C7" w:rsidRPr="000B27C7">
        <w:rPr>
          <w:rFonts w:ascii="Calibri" w:eastAsia="Calibri" w:hAnsi="Calibri" w:cs="Times New Roman"/>
        </w:rPr>
        <w:fldChar w:fldCharType="end"/>
      </w:r>
      <w:r w:rsidR="00B40D79" w:rsidRPr="000B27C7">
        <w:rPr>
          <w:rFonts w:ascii="Calibri" w:eastAsia="Calibri" w:hAnsi="Calibri" w:cs="Times New Roman"/>
        </w:rPr>
        <w:t xml:space="preserve"> prikazan Kontrolni inventar emisije CO</w:t>
      </w:r>
      <w:r w:rsidR="00B40D79" w:rsidRPr="000B27C7">
        <w:rPr>
          <w:rFonts w:ascii="Calibri" w:eastAsia="Calibri" w:hAnsi="Calibri" w:cs="Times New Roman"/>
          <w:vertAlign w:val="subscript"/>
        </w:rPr>
        <w:t>2</w:t>
      </w:r>
      <w:r w:rsidR="00B40D79" w:rsidRPr="000B27C7">
        <w:rPr>
          <w:rFonts w:ascii="Calibri" w:eastAsia="Calibri" w:hAnsi="Calibri" w:cs="Times New Roman"/>
        </w:rPr>
        <w:t>.</w:t>
      </w:r>
      <w:r w:rsidR="001F3725" w:rsidRPr="000B27C7">
        <w:rPr>
          <w:rFonts w:ascii="Calibri" w:eastAsia="Calibri" w:hAnsi="Calibri" w:cs="Times New Roman"/>
        </w:rPr>
        <w:t xml:space="preserve"> </w:t>
      </w:r>
    </w:p>
    <w:p w14:paraId="70F65CC2" w14:textId="6CBA5B0A" w:rsidR="00755092" w:rsidRPr="00882DAD" w:rsidRDefault="00755092" w:rsidP="00E92750">
      <w:pPr>
        <w:spacing w:before="240" w:after="0" w:line="240" w:lineRule="auto"/>
        <w:jc w:val="both"/>
        <w:rPr>
          <w:rFonts w:ascii="Calibri" w:eastAsia="Calibri" w:hAnsi="Calibri" w:cs="Times New Roman"/>
        </w:rPr>
      </w:pPr>
      <w:bookmarkStart w:id="377" w:name="_Ref466987118"/>
      <w:bookmarkStart w:id="378" w:name="_Toc468277519"/>
      <w:bookmarkEnd w:id="375"/>
      <w:bookmarkEnd w:id="376"/>
      <w:r w:rsidRPr="00882DAD">
        <w:rPr>
          <w:rFonts w:ascii="Calibri" w:eastAsia="Calibri" w:hAnsi="Calibri" w:cs="Times New Roman"/>
          <w:b/>
          <w:bCs/>
        </w:rPr>
        <w:t xml:space="preserve">Tablica </w:t>
      </w:r>
      <w:r w:rsidR="000B3499" w:rsidRPr="00882DAD">
        <w:rPr>
          <w:rFonts w:ascii="Calibri" w:eastAsia="Calibri" w:hAnsi="Calibri" w:cs="Times New Roman"/>
          <w:b/>
          <w:bCs/>
        </w:rPr>
        <w:fldChar w:fldCharType="begin"/>
      </w:r>
      <w:r w:rsidR="000B3499" w:rsidRPr="00882DAD">
        <w:rPr>
          <w:rFonts w:ascii="Calibri" w:eastAsia="Calibri" w:hAnsi="Calibri" w:cs="Times New Roman"/>
          <w:b/>
          <w:bCs/>
        </w:rPr>
        <w:instrText xml:space="preserve"> STYLEREF 1 \s </w:instrText>
      </w:r>
      <w:r w:rsidR="000B3499" w:rsidRPr="00882DAD">
        <w:rPr>
          <w:rFonts w:ascii="Calibri" w:eastAsia="Calibri" w:hAnsi="Calibri" w:cs="Times New Roman"/>
          <w:b/>
          <w:bCs/>
        </w:rPr>
        <w:fldChar w:fldCharType="separate"/>
      </w:r>
      <w:r w:rsidR="009C319B" w:rsidRPr="00882DAD">
        <w:rPr>
          <w:rFonts w:ascii="Calibri" w:eastAsia="Calibri" w:hAnsi="Calibri" w:cs="Times New Roman"/>
          <w:b/>
          <w:bCs/>
          <w:noProof/>
        </w:rPr>
        <w:t>8</w:t>
      </w:r>
      <w:r w:rsidR="000B3499" w:rsidRPr="00882DAD">
        <w:rPr>
          <w:rFonts w:ascii="Calibri" w:eastAsia="Calibri" w:hAnsi="Calibri" w:cs="Times New Roman"/>
          <w:b/>
          <w:bCs/>
        </w:rPr>
        <w:fldChar w:fldCharType="end"/>
      </w:r>
      <w:r w:rsidR="000B3499" w:rsidRPr="00882DAD">
        <w:rPr>
          <w:rFonts w:ascii="Calibri" w:eastAsia="Calibri" w:hAnsi="Calibri" w:cs="Times New Roman"/>
          <w:b/>
          <w:bCs/>
        </w:rPr>
        <w:t>.</w:t>
      </w:r>
      <w:r w:rsidR="000B3499" w:rsidRPr="00882DAD">
        <w:rPr>
          <w:rFonts w:ascii="Calibri" w:eastAsia="Calibri" w:hAnsi="Calibri" w:cs="Times New Roman"/>
          <w:b/>
          <w:bCs/>
        </w:rPr>
        <w:fldChar w:fldCharType="begin"/>
      </w:r>
      <w:r w:rsidR="000B3499" w:rsidRPr="00882DAD">
        <w:rPr>
          <w:rFonts w:ascii="Calibri" w:eastAsia="Calibri" w:hAnsi="Calibri" w:cs="Times New Roman"/>
          <w:b/>
          <w:bCs/>
        </w:rPr>
        <w:instrText xml:space="preserve"> SEQ Tablica \* ARABIC \s 1 </w:instrText>
      </w:r>
      <w:r w:rsidR="000B3499" w:rsidRPr="00882DAD">
        <w:rPr>
          <w:rFonts w:ascii="Calibri" w:eastAsia="Calibri" w:hAnsi="Calibri" w:cs="Times New Roman"/>
          <w:b/>
          <w:bCs/>
        </w:rPr>
        <w:fldChar w:fldCharType="separate"/>
      </w:r>
      <w:r w:rsidR="009C319B" w:rsidRPr="00882DAD">
        <w:rPr>
          <w:rFonts w:ascii="Calibri" w:eastAsia="Calibri" w:hAnsi="Calibri" w:cs="Times New Roman"/>
          <w:b/>
          <w:bCs/>
          <w:noProof/>
        </w:rPr>
        <w:t>1</w:t>
      </w:r>
      <w:r w:rsidR="000B3499" w:rsidRPr="00882DAD">
        <w:rPr>
          <w:rFonts w:ascii="Calibri" w:eastAsia="Calibri" w:hAnsi="Calibri" w:cs="Times New Roman"/>
          <w:b/>
          <w:bCs/>
        </w:rPr>
        <w:fldChar w:fldCharType="end"/>
      </w:r>
      <w:bookmarkEnd w:id="377"/>
      <w:r w:rsidRPr="00882DAD">
        <w:rPr>
          <w:rFonts w:ascii="Calibri" w:eastAsia="Calibri" w:hAnsi="Calibri" w:cs="Times New Roman"/>
          <w:b/>
          <w:bCs/>
        </w:rPr>
        <w:t xml:space="preserve"> </w:t>
      </w:r>
      <w:r w:rsidR="00B40D79" w:rsidRPr="00882DAD">
        <w:rPr>
          <w:rFonts w:ascii="Calibri" w:eastAsia="Calibri" w:hAnsi="Calibri" w:cs="Times New Roman"/>
          <w:bCs/>
        </w:rPr>
        <w:t>Referentni</w:t>
      </w:r>
      <w:r w:rsidR="005D6F74" w:rsidRPr="00882DAD">
        <w:rPr>
          <w:rFonts w:ascii="Calibri" w:eastAsia="Calibri" w:hAnsi="Calibri" w:cs="Times New Roman"/>
          <w:bCs/>
        </w:rPr>
        <w:t xml:space="preserve"> inventar</w:t>
      </w:r>
      <w:r w:rsidR="005D6F74" w:rsidRPr="00882DAD">
        <w:rPr>
          <w:rFonts w:ascii="Calibri" w:eastAsia="Calibri" w:hAnsi="Calibri" w:cs="Times New Roman"/>
          <w:b/>
          <w:bCs/>
        </w:rPr>
        <w:t xml:space="preserve"> </w:t>
      </w:r>
      <w:r w:rsidR="005D6F74" w:rsidRPr="00882DAD">
        <w:rPr>
          <w:rFonts w:ascii="Calibri" w:eastAsia="Calibri" w:hAnsi="Calibri" w:cs="Times New Roman"/>
        </w:rPr>
        <w:t>e</w:t>
      </w:r>
      <w:r w:rsidRPr="00882DAD">
        <w:rPr>
          <w:rFonts w:ascii="Calibri" w:eastAsia="Calibri" w:hAnsi="Calibri" w:cs="Times New Roman"/>
        </w:rPr>
        <w:t>misija CO</w:t>
      </w:r>
      <w:r w:rsidRPr="00882DAD">
        <w:rPr>
          <w:rFonts w:ascii="Calibri" w:eastAsia="Calibri" w:hAnsi="Calibri" w:cs="Times New Roman"/>
          <w:vertAlign w:val="subscript"/>
        </w:rPr>
        <w:t>2</w:t>
      </w:r>
      <w:r w:rsidRPr="00882DAD">
        <w:rPr>
          <w:rFonts w:ascii="Calibri" w:eastAsia="Calibri" w:hAnsi="Calibri" w:cs="Times New Roman"/>
        </w:rPr>
        <w:t xml:space="preserve"> po sek</w:t>
      </w:r>
      <w:r w:rsidR="005D6F74" w:rsidRPr="00882DAD">
        <w:rPr>
          <w:rFonts w:ascii="Calibri" w:eastAsia="Calibri" w:hAnsi="Calibri" w:cs="Times New Roman"/>
        </w:rPr>
        <w:t xml:space="preserve">torima i energentima, </w:t>
      </w:r>
      <w:r w:rsidR="000B27C7" w:rsidRPr="00882DAD">
        <w:rPr>
          <w:rFonts w:ascii="Calibri" w:eastAsia="Calibri" w:hAnsi="Calibri" w:cs="Times New Roman"/>
        </w:rPr>
        <w:t>2008</w:t>
      </w:r>
      <w:r w:rsidRPr="00882DAD">
        <w:rPr>
          <w:rFonts w:ascii="Calibri" w:eastAsia="Calibri" w:hAnsi="Calibri" w:cs="Times New Roman"/>
        </w:rPr>
        <w:t>. godina</w:t>
      </w:r>
      <w:bookmarkEnd w:id="378"/>
      <w:r w:rsidRPr="00882DAD">
        <w:rPr>
          <w:rFonts w:ascii="Calibri" w:eastAsia="Calibri" w:hAnsi="Calibri" w:cs="Times New Roman"/>
        </w:rPr>
        <w:t xml:space="preserve"> </w:t>
      </w:r>
    </w:p>
    <w:tbl>
      <w:tblPr>
        <w:tblW w:w="9070" w:type="dxa"/>
        <w:tblInd w:w="103" w:type="dxa"/>
        <w:tblLook w:val="04A0" w:firstRow="1" w:lastRow="0" w:firstColumn="1" w:lastColumn="0" w:noHBand="0" w:noVBand="1"/>
      </w:tblPr>
      <w:tblGrid>
        <w:gridCol w:w="2450"/>
        <w:gridCol w:w="1318"/>
        <w:gridCol w:w="1217"/>
        <w:gridCol w:w="1312"/>
        <w:gridCol w:w="1494"/>
        <w:gridCol w:w="1279"/>
      </w:tblGrid>
      <w:tr w:rsidR="00B40D79" w:rsidRPr="00C7716D" w14:paraId="4E6F0B4F" w14:textId="77777777" w:rsidTr="007D5D38">
        <w:trPr>
          <w:trHeight w:val="285"/>
        </w:trPr>
        <w:tc>
          <w:tcPr>
            <w:tcW w:w="245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413915"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Energent</w:t>
            </w:r>
          </w:p>
        </w:tc>
        <w:tc>
          <w:tcPr>
            <w:tcW w:w="534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78378EA0"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Emisija t CO</w:t>
            </w:r>
            <w:r w:rsidRPr="00C7716D">
              <w:rPr>
                <w:rFonts w:ascii="Calibri" w:eastAsia="Times New Roman" w:hAnsi="Calibri" w:cs="Calibri"/>
                <w:bCs/>
                <w:color w:val="000000"/>
                <w:sz w:val="20"/>
                <w:szCs w:val="20"/>
                <w:vertAlign w:val="subscript"/>
                <w:lang w:eastAsia="hr-HR"/>
              </w:rPr>
              <w:t>2</w:t>
            </w:r>
          </w:p>
        </w:tc>
        <w:tc>
          <w:tcPr>
            <w:tcW w:w="1279" w:type="dxa"/>
            <w:tcBorders>
              <w:top w:val="single" w:sz="4" w:space="0" w:color="auto"/>
              <w:left w:val="nil"/>
              <w:bottom w:val="single" w:sz="4" w:space="0" w:color="auto"/>
              <w:right w:val="single" w:sz="4" w:space="0" w:color="auto"/>
            </w:tcBorders>
            <w:shd w:val="clear" w:color="000000" w:fill="D9D9D9"/>
            <w:vAlign w:val="center"/>
            <w:hideMark/>
          </w:tcPr>
          <w:p w14:paraId="06679295"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w:t>
            </w:r>
          </w:p>
        </w:tc>
      </w:tr>
      <w:tr w:rsidR="00B40D79" w:rsidRPr="00C7716D" w14:paraId="0ED6B695" w14:textId="77777777" w:rsidTr="007D5D38">
        <w:trPr>
          <w:trHeight w:val="232"/>
        </w:trPr>
        <w:tc>
          <w:tcPr>
            <w:tcW w:w="2450" w:type="dxa"/>
            <w:vMerge/>
            <w:tcBorders>
              <w:top w:val="single" w:sz="4" w:space="0" w:color="auto"/>
              <w:left w:val="single" w:sz="4" w:space="0" w:color="auto"/>
              <w:bottom w:val="single" w:sz="4" w:space="0" w:color="auto"/>
              <w:right w:val="single" w:sz="4" w:space="0" w:color="auto"/>
            </w:tcBorders>
            <w:vAlign w:val="center"/>
            <w:hideMark/>
          </w:tcPr>
          <w:p w14:paraId="1511C3D9"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p>
        </w:tc>
        <w:tc>
          <w:tcPr>
            <w:tcW w:w="1318" w:type="dxa"/>
            <w:tcBorders>
              <w:top w:val="nil"/>
              <w:left w:val="nil"/>
              <w:bottom w:val="single" w:sz="4" w:space="0" w:color="auto"/>
              <w:right w:val="single" w:sz="4" w:space="0" w:color="auto"/>
            </w:tcBorders>
            <w:shd w:val="clear" w:color="000000" w:fill="D9D9D9"/>
            <w:vAlign w:val="center"/>
            <w:hideMark/>
          </w:tcPr>
          <w:p w14:paraId="65930FC1"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Promet</w:t>
            </w:r>
          </w:p>
        </w:tc>
        <w:tc>
          <w:tcPr>
            <w:tcW w:w="1217" w:type="dxa"/>
            <w:tcBorders>
              <w:top w:val="nil"/>
              <w:left w:val="nil"/>
              <w:bottom w:val="single" w:sz="4" w:space="0" w:color="auto"/>
              <w:right w:val="single" w:sz="4" w:space="0" w:color="auto"/>
            </w:tcBorders>
            <w:shd w:val="clear" w:color="000000" w:fill="D9D9D9"/>
            <w:vAlign w:val="center"/>
            <w:hideMark/>
          </w:tcPr>
          <w:p w14:paraId="55D05A98"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Javna rasvjeta</w:t>
            </w:r>
          </w:p>
        </w:tc>
        <w:tc>
          <w:tcPr>
            <w:tcW w:w="1312" w:type="dxa"/>
            <w:tcBorders>
              <w:top w:val="nil"/>
              <w:left w:val="nil"/>
              <w:bottom w:val="single" w:sz="4" w:space="0" w:color="auto"/>
              <w:right w:val="single" w:sz="4" w:space="0" w:color="auto"/>
            </w:tcBorders>
            <w:shd w:val="clear" w:color="000000" w:fill="D9D9D9"/>
            <w:noWrap/>
            <w:vAlign w:val="center"/>
            <w:hideMark/>
          </w:tcPr>
          <w:p w14:paraId="3530603F"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Zgradarstvo</w:t>
            </w:r>
          </w:p>
        </w:tc>
        <w:tc>
          <w:tcPr>
            <w:tcW w:w="1494" w:type="dxa"/>
            <w:tcBorders>
              <w:top w:val="nil"/>
              <w:left w:val="nil"/>
              <w:bottom w:val="single" w:sz="4" w:space="0" w:color="auto"/>
              <w:right w:val="single" w:sz="4" w:space="0" w:color="auto"/>
            </w:tcBorders>
            <w:shd w:val="clear" w:color="000000" w:fill="D9D9D9"/>
            <w:vAlign w:val="center"/>
            <w:hideMark/>
          </w:tcPr>
          <w:p w14:paraId="1BE9215D"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Ukupno po energentima</w:t>
            </w:r>
          </w:p>
        </w:tc>
        <w:tc>
          <w:tcPr>
            <w:tcW w:w="1279" w:type="dxa"/>
            <w:tcBorders>
              <w:top w:val="nil"/>
              <w:left w:val="nil"/>
              <w:bottom w:val="single" w:sz="4" w:space="0" w:color="auto"/>
              <w:right w:val="single" w:sz="4" w:space="0" w:color="auto"/>
            </w:tcBorders>
            <w:shd w:val="clear" w:color="000000" w:fill="D9D9D9"/>
            <w:vAlign w:val="center"/>
            <w:hideMark/>
          </w:tcPr>
          <w:p w14:paraId="59B1A368"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Udio po energentima</w:t>
            </w:r>
          </w:p>
        </w:tc>
      </w:tr>
      <w:tr w:rsidR="00B40D79" w:rsidRPr="00C7716D" w14:paraId="0981CA13" w14:textId="77777777" w:rsidTr="007D5D38">
        <w:trPr>
          <w:trHeight w:val="255"/>
        </w:trPr>
        <w:tc>
          <w:tcPr>
            <w:tcW w:w="2450" w:type="dxa"/>
            <w:tcBorders>
              <w:top w:val="nil"/>
              <w:left w:val="single" w:sz="4" w:space="0" w:color="auto"/>
              <w:bottom w:val="single" w:sz="4" w:space="0" w:color="auto"/>
              <w:right w:val="single" w:sz="4" w:space="0" w:color="auto"/>
            </w:tcBorders>
            <w:shd w:val="clear" w:color="000000" w:fill="D9D9D9"/>
            <w:noWrap/>
            <w:vAlign w:val="center"/>
            <w:hideMark/>
          </w:tcPr>
          <w:p w14:paraId="5E2737E3"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Dizel</w:t>
            </w:r>
          </w:p>
        </w:tc>
        <w:tc>
          <w:tcPr>
            <w:tcW w:w="1318" w:type="dxa"/>
            <w:tcBorders>
              <w:top w:val="nil"/>
              <w:left w:val="nil"/>
              <w:bottom w:val="single" w:sz="4" w:space="0" w:color="auto"/>
              <w:right w:val="single" w:sz="4" w:space="0" w:color="auto"/>
            </w:tcBorders>
            <w:shd w:val="clear" w:color="auto" w:fill="auto"/>
            <w:noWrap/>
            <w:vAlign w:val="center"/>
            <w:hideMark/>
          </w:tcPr>
          <w:p w14:paraId="2197DD6D" w14:textId="451FEC3E"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558 </w:t>
            </w:r>
            <w:r w:rsidR="00B40D79" w:rsidRPr="00C7716D">
              <w:rPr>
                <w:rFonts w:ascii="Calibri" w:eastAsia="Times New Roman" w:hAnsi="Calibri" w:cs="Calibri"/>
                <w:color w:val="000000"/>
                <w:sz w:val="20"/>
                <w:szCs w:val="20"/>
                <w:lang w:eastAsia="hr-HR"/>
              </w:rPr>
              <w:t>037,30</w:t>
            </w:r>
          </w:p>
        </w:tc>
        <w:tc>
          <w:tcPr>
            <w:tcW w:w="1217" w:type="dxa"/>
            <w:tcBorders>
              <w:top w:val="nil"/>
              <w:left w:val="nil"/>
              <w:bottom w:val="single" w:sz="4" w:space="0" w:color="auto"/>
              <w:right w:val="single" w:sz="4" w:space="0" w:color="auto"/>
            </w:tcBorders>
            <w:shd w:val="clear" w:color="auto" w:fill="auto"/>
            <w:noWrap/>
            <w:vAlign w:val="center"/>
            <w:hideMark/>
          </w:tcPr>
          <w:p w14:paraId="5A166FE5"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 </w:t>
            </w:r>
          </w:p>
        </w:tc>
        <w:tc>
          <w:tcPr>
            <w:tcW w:w="1312" w:type="dxa"/>
            <w:tcBorders>
              <w:top w:val="nil"/>
              <w:left w:val="nil"/>
              <w:bottom w:val="single" w:sz="4" w:space="0" w:color="auto"/>
              <w:right w:val="single" w:sz="4" w:space="0" w:color="auto"/>
            </w:tcBorders>
            <w:shd w:val="clear" w:color="auto" w:fill="auto"/>
            <w:noWrap/>
            <w:vAlign w:val="center"/>
            <w:hideMark/>
          </w:tcPr>
          <w:p w14:paraId="29CF811B"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 </w:t>
            </w:r>
          </w:p>
        </w:tc>
        <w:tc>
          <w:tcPr>
            <w:tcW w:w="1494" w:type="dxa"/>
            <w:tcBorders>
              <w:top w:val="nil"/>
              <w:left w:val="nil"/>
              <w:bottom w:val="single" w:sz="4" w:space="0" w:color="auto"/>
              <w:right w:val="single" w:sz="4" w:space="0" w:color="auto"/>
            </w:tcBorders>
            <w:shd w:val="clear" w:color="auto" w:fill="auto"/>
            <w:noWrap/>
            <w:vAlign w:val="center"/>
            <w:hideMark/>
          </w:tcPr>
          <w:p w14:paraId="1898A547" w14:textId="7A68B4E0"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558 </w:t>
            </w:r>
            <w:r w:rsidR="00B40D79" w:rsidRPr="00C7716D">
              <w:rPr>
                <w:rFonts w:ascii="Calibri" w:eastAsia="Times New Roman" w:hAnsi="Calibri" w:cs="Calibri"/>
                <w:color w:val="000000"/>
                <w:sz w:val="20"/>
                <w:szCs w:val="20"/>
                <w:lang w:eastAsia="hr-HR"/>
              </w:rPr>
              <w:t>037,30</w:t>
            </w:r>
          </w:p>
        </w:tc>
        <w:tc>
          <w:tcPr>
            <w:tcW w:w="1279" w:type="dxa"/>
            <w:tcBorders>
              <w:top w:val="nil"/>
              <w:left w:val="nil"/>
              <w:bottom w:val="single" w:sz="4" w:space="0" w:color="auto"/>
              <w:right w:val="single" w:sz="4" w:space="0" w:color="auto"/>
            </w:tcBorders>
            <w:shd w:val="clear" w:color="auto" w:fill="auto"/>
            <w:vAlign w:val="center"/>
            <w:hideMark/>
          </w:tcPr>
          <w:p w14:paraId="33095EAC"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19,97%</w:t>
            </w:r>
          </w:p>
        </w:tc>
      </w:tr>
      <w:tr w:rsidR="00B40D79" w:rsidRPr="00C7716D" w14:paraId="4B58D572" w14:textId="77777777" w:rsidTr="007D5D38">
        <w:trPr>
          <w:trHeight w:val="255"/>
        </w:trPr>
        <w:tc>
          <w:tcPr>
            <w:tcW w:w="2450" w:type="dxa"/>
            <w:tcBorders>
              <w:top w:val="nil"/>
              <w:left w:val="single" w:sz="4" w:space="0" w:color="auto"/>
              <w:bottom w:val="single" w:sz="4" w:space="0" w:color="auto"/>
              <w:right w:val="single" w:sz="4" w:space="0" w:color="auto"/>
            </w:tcBorders>
            <w:shd w:val="clear" w:color="000000" w:fill="D9D9D9"/>
            <w:noWrap/>
            <w:vAlign w:val="center"/>
            <w:hideMark/>
          </w:tcPr>
          <w:p w14:paraId="5331E95B"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Motorni benzin</w:t>
            </w:r>
          </w:p>
        </w:tc>
        <w:tc>
          <w:tcPr>
            <w:tcW w:w="1318" w:type="dxa"/>
            <w:tcBorders>
              <w:top w:val="nil"/>
              <w:left w:val="nil"/>
              <w:bottom w:val="single" w:sz="4" w:space="0" w:color="auto"/>
              <w:right w:val="single" w:sz="4" w:space="0" w:color="auto"/>
            </w:tcBorders>
            <w:shd w:val="clear" w:color="auto" w:fill="auto"/>
            <w:noWrap/>
            <w:vAlign w:val="center"/>
            <w:hideMark/>
          </w:tcPr>
          <w:p w14:paraId="3CD23993" w14:textId="333A85F7"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417 </w:t>
            </w:r>
            <w:r w:rsidR="00B40D79" w:rsidRPr="00C7716D">
              <w:rPr>
                <w:rFonts w:ascii="Calibri" w:eastAsia="Times New Roman" w:hAnsi="Calibri" w:cs="Calibri"/>
                <w:color w:val="000000"/>
                <w:sz w:val="20"/>
                <w:szCs w:val="20"/>
                <w:lang w:eastAsia="hr-HR"/>
              </w:rPr>
              <w:t>817,80</w:t>
            </w:r>
          </w:p>
        </w:tc>
        <w:tc>
          <w:tcPr>
            <w:tcW w:w="1217" w:type="dxa"/>
            <w:tcBorders>
              <w:top w:val="nil"/>
              <w:left w:val="nil"/>
              <w:bottom w:val="single" w:sz="4" w:space="0" w:color="auto"/>
              <w:right w:val="single" w:sz="4" w:space="0" w:color="auto"/>
            </w:tcBorders>
            <w:shd w:val="clear" w:color="auto" w:fill="auto"/>
            <w:noWrap/>
            <w:vAlign w:val="center"/>
            <w:hideMark/>
          </w:tcPr>
          <w:p w14:paraId="67F79D5C"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 </w:t>
            </w:r>
          </w:p>
        </w:tc>
        <w:tc>
          <w:tcPr>
            <w:tcW w:w="1312" w:type="dxa"/>
            <w:tcBorders>
              <w:top w:val="nil"/>
              <w:left w:val="nil"/>
              <w:bottom w:val="single" w:sz="4" w:space="0" w:color="auto"/>
              <w:right w:val="single" w:sz="4" w:space="0" w:color="auto"/>
            </w:tcBorders>
            <w:shd w:val="clear" w:color="auto" w:fill="auto"/>
            <w:noWrap/>
            <w:vAlign w:val="center"/>
            <w:hideMark/>
          </w:tcPr>
          <w:p w14:paraId="215CADE9"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 </w:t>
            </w:r>
          </w:p>
        </w:tc>
        <w:tc>
          <w:tcPr>
            <w:tcW w:w="1494" w:type="dxa"/>
            <w:tcBorders>
              <w:top w:val="nil"/>
              <w:left w:val="nil"/>
              <w:bottom w:val="single" w:sz="4" w:space="0" w:color="auto"/>
              <w:right w:val="single" w:sz="4" w:space="0" w:color="auto"/>
            </w:tcBorders>
            <w:shd w:val="clear" w:color="auto" w:fill="auto"/>
            <w:noWrap/>
            <w:vAlign w:val="center"/>
            <w:hideMark/>
          </w:tcPr>
          <w:p w14:paraId="7B88952A" w14:textId="48388F7A"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417 </w:t>
            </w:r>
            <w:r w:rsidR="00B40D79" w:rsidRPr="00C7716D">
              <w:rPr>
                <w:rFonts w:ascii="Calibri" w:eastAsia="Times New Roman" w:hAnsi="Calibri" w:cs="Calibri"/>
                <w:color w:val="000000"/>
                <w:sz w:val="20"/>
                <w:szCs w:val="20"/>
                <w:lang w:eastAsia="hr-HR"/>
              </w:rPr>
              <w:t>817,80</w:t>
            </w:r>
          </w:p>
        </w:tc>
        <w:tc>
          <w:tcPr>
            <w:tcW w:w="1279" w:type="dxa"/>
            <w:tcBorders>
              <w:top w:val="nil"/>
              <w:left w:val="nil"/>
              <w:bottom w:val="single" w:sz="4" w:space="0" w:color="auto"/>
              <w:right w:val="single" w:sz="4" w:space="0" w:color="auto"/>
            </w:tcBorders>
            <w:shd w:val="clear" w:color="auto" w:fill="auto"/>
            <w:vAlign w:val="center"/>
            <w:hideMark/>
          </w:tcPr>
          <w:p w14:paraId="41CF5E13"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14,96%</w:t>
            </w:r>
          </w:p>
        </w:tc>
      </w:tr>
      <w:tr w:rsidR="00B40D79" w:rsidRPr="00C7716D" w14:paraId="596ADE73" w14:textId="77777777" w:rsidTr="007D5D38">
        <w:trPr>
          <w:trHeight w:val="255"/>
        </w:trPr>
        <w:tc>
          <w:tcPr>
            <w:tcW w:w="2450" w:type="dxa"/>
            <w:tcBorders>
              <w:top w:val="nil"/>
              <w:left w:val="single" w:sz="4" w:space="0" w:color="auto"/>
              <w:bottom w:val="single" w:sz="4" w:space="0" w:color="auto"/>
              <w:right w:val="single" w:sz="4" w:space="0" w:color="auto"/>
            </w:tcBorders>
            <w:shd w:val="clear" w:color="000000" w:fill="D9D9D9"/>
            <w:noWrap/>
            <w:vAlign w:val="center"/>
            <w:hideMark/>
          </w:tcPr>
          <w:p w14:paraId="2A014863"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LPG</w:t>
            </w:r>
          </w:p>
        </w:tc>
        <w:tc>
          <w:tcPr>
            <w:tcW w:w="1318" w:type="dxa"/>
            <w:tcBorders>
              <w:top w:val="nil"/>
              <w:left w:val="nil"/>
              <w:bottom w:val="single" w:sz="4" w:space="0" w:color="auto"/>
              <w:right w:val="single" w:sz="4" w:space="0" w:color="auto"/>
            </w:tcBorders>
            <w:shd w:val="clear" w:color="auto" w:fill="auto"/>
            <w:noWrap/>
            <w:vAlign w:val="center"/>
            <w:hideMark/>
          </w:tcPr>
          <w:p w14:paraId="0E42CCDE" w14:textId="3085BD96"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6 </w:t>
            </w:r>
            <w:r w:rsidR="00B40D79" w:rsidRPr="00C7716D">
              <w:rPr>
                <w:rFonts w:ascii="Calibri" w:eastAsia="Times New Roman" w:hAnsi="Calibri" w:cs="Calibri"/>
                <w:color w:val="000000"/>
                <w:sz w:val="20"/>
                <w:szCs w:val="20"/>
                <w:lang w:eastAsia="hr-HR"/>
              </w:rPr>
              <w:t>688,70</w:t>
            </w:r>
          </w:p>
        </w:tc>
        <w:tc>
          <w:tcPr>
            <w:tcW w:w="1217" w:type="dxa"/>
            <w:tcBorders>
              <w:top w:val="nil"/>
              <w:left w:val="nil"/>
              <w:bottom w:val="single" w:sz="4" w:space="0" w:color="auto"/>
              <w:right w:val="single" w:sz="4" w:space="0" w:color="auto"/>
            </w:tcBorders>
            <w:shd w:val="clear" w:color="auto" w:fill="auto"/>
            <w:noWrap/>
            <w:vAlign w:val="center"/>
            <w:hideMark/>
          </w:tcPr>
          <w:p w14:paraId="33BA1E64"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 </w:t>
            </w:r>
          </w:p>
        </w:tc>
        <w:tc>
          <w:tcPr>
            <w:tcW w:w="1312" w:type="dxa"/>
            <w:tcBorders>
              <w:top w:val="nil"/>
              <w:left w:val="nil"/>
              <w:bottom w:val="single" w:sz="4" w:space="0" w:color="auto"/>
              <w:right w:val="single" w:sz="4" w:space="0" w:color="auto"/>
            </w:tcBorders>
            <w:shd w:val="clear" w:color="auto" w:fill="auto"/>
            <w:noWrap/>
            <w:vAlign w:val="center"/>
            <w:hideMark/>
          </w:tcPr>
          <w:p w14:paraId="062CAF95"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58,80</w:t>
            </w:r>
          </w:p>
        </w:tc>
        <w:tc>
          <w:tcPr>
            <w:tcW w:w="1494" w:type="dxa"/>
            <w:tcBorders>
              <w:top w:val="nil"/>
              <w:left w:val="nil"/>
              <w:bottom w:val="single" w:sz="4" w:space="0" w:color="auto"/>
              <w:right w:val="single" w:sz="4" w:space="0" w:color="auto"/>
            </w:tcBorders>
            <w:shd w:val="clear" w:color="auto" w:fill="auto"/>
            <w:noWrap/>
            <w:vAlign w:val="center"/>
            <w:hideMark/>
          </w:tcPr>
          <w:p w14:paraId="7B58A504" w14:textId="1CA46254"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6 </w:t>
            </w:r>
            <w:r w:rsidR="00B40D79" w:rsidRPr="00C7716D">
              <w:rPr>
                <w:rFonts w:ascii="Calibri" w:eastAsia="Times New Roman" w:hAnsi="Calibri" w:cs="Calibri"/>
                <w:color w:val="000000"/>
                <w:sz w:val="20"/>
                <w:szCs w:val="20"/>
                <w:lang w:eastAsia="hr-HR"/>
              </w:rPr>
              <w:t>747,50</w:t>
            </w:r>
          </w:p>
        </w:tc>
        <w:tc>
          <w:tcPr>
            <w:tcW w:w="1279" w:type="dxa"/>
            <w:tcBorders>
              <w:top w:val="nil"/>
              <w:left w:val="nil"/>
              <w:bottom w:val="single" w:sz="4" w:space="0" w:color="auto"/>
              <w:right w:val="single" w:sz="4" w:space="0" w:color="auto"/>
            </w:tcBorders>
            <w:shd w:val="clear" w:color="auto" w:fill="auto"/>
            <w:vAlign w:val="center"/>
            <w:hideMark/>
          </w:tcPr>
          <w:p w14:paraId="12BF8C02"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0,24%</w:t>
            </w:r>
          </w:p>
        </w:tc>
      </w:tr>
      <w:tr w:rsidR="00B40D79" w:rsidRPr="00C7716D" w14:paraId="6A1F64BB" w14:textId="77777777" w:rsidTr="007D5D38">
        <w:trPr>
          <w:trHeight w:val="255"/>
        </w:trPr>
        <w:tc>
          <w:tcPr>
            <w:tcW w:w="2450" w:type="dxa"/>
            <w:tcBorders>
              <w:top w:val="nil"/>
              <w:left w:val="single" w:sz="4" w:space="0" w:color="auto"/>
              <w:bottom w:val="single" w:sz="4" w:space="0" w:color="auto"/>
              <w:right w:val="single" w:sz="4" w:space="0" w:color="auto"/>
            </w:tcBorders>
            <w:shd w:val="clear" w:color="000000" w:fill="D9D9D9"/>
            <w:noWrap/>
            <w:vAlign w:val="center"/>
            <w:hideMark/>
          </w:tcPr>
          <w:p w14:paraId="73E4C4AE"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Električna energija</w:t>
            </w:r>
          </w:p>
        </w:tc>
        <w:tc>
          <w:tcPr>
            <w:tcW w:w="1318" w:type="dxa"/>
            <w:tcBorders>
              <w:top w:val="nil"/>
              <w:left w:val="nil"/>
              <w:bottom w:val="single" w:sz="4" w:space="0" w:color="auto"/>
              <w:right w:val="single" w:sz="4" w:space="0" w:color="auto"/>
            </w:tcBorders>
            <w:shd w:val="clear" w:color="auto" w:fill="auto"/>
            <w:noWrap/>
            <w:vAlign w:val="center"/>
            <w:hideMark/>
          </w:tcPr>
          <w:p w14:paraId="2A5A3E6C" w14:textId="1B1437ED"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22 </w:t>
            </w:r>
            <w:r w:rsidR="00B40D79" w:rsidRPr="00C7716D">
              <w:rPr>
                <w:rFonts w:ascii="Calibri" w:eastAsia="Times New Roman" w:hAnsi="Calibri" w:cs="Calibri"/>
                <w:color w:val="000000"/>
                <w:sz w:val="20"/>
                <w:szCs w:val="20"/>
                <w:lang w:eastAsia="hr-HR"/>
              </w:rPr>
              <w:t>474,00</w:t>
            </w:r>
          </w:p>
        </w:tc>
        <w:tc>
          <w:tcPr>
            <w:tcW w:w="1217" w:type="dxa"/>
            <w:tcBorders>
              <w:top w:val="nil"/>
              <w:left w:val="nil"/>
              <w:bottom w:val="single" w:sz="4" w:space="0" w:color="auto"/>
              <w:right w:val="single" w:sz="4" w:space="0" w:color="auto"/>
            </w:tcBorders>
            <w:shd w:val="clear" w:color="auto" w:fill="auto"/>
            <w:noWrap/>
            <w:vAlign w:val="center"/>
            <w:hideMark/>
          </w:tcPr>
          <w:p w14:paraId="63198EC6" w14:textId="6B465A87"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29 </w:t>
            </w:r>
            <w:r w:rsidR="00B40D79" w:rsidRPr="00C7716D">
              <w:rPr>
                <w:rFonts w:ascii="Calibri" w:eastAsia="Times New Roman" w:hAnsi="Calibri" w:cs="Calibri"/>
                <w:color w:val="000000"/>
                <w:sz w:val="20"/>
                <w:szCs w:val="20"/>
                <w:lang w:eastAsia="hr-HR"/>
              </w:rPr>
              <w:t>102,30</w:t>
            </w:r>
          </w:p>
        </w:tc>
        <w:tc>
          <w:tcPr>
            <w:tcW w:w="1312" w:type="dxa"/>
            <w:tcBorders>
              <w:top w:val="nil"/>
              <w:left w:val="nil"/>
              <w:bottom w:val="single" w:sz="4" w:space="0" w:color="auto"/>
              <w:right w:val="single" w:sz="4" w:space="0" w:color="auto"/>
            </w:tcBorders>
            <w:shd w:val="clear" w:color="auto" w:fill="auto"/>
            <w:noWrap/>
            <w:vAlign w:val="center"/>
            <w:hideMark/>
          </w:tcPr>
          <w:p w14:paraId="66871E17" w14:textId="6BD5E217"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559 </w:t>
            </w:r>
            <w:r w:rsidR="00B40D79" w:rsidRPr="00C7716D">
              <w:rPr>
                <w:rFonts w:ascii="Calibri" w:eastAsia="Times New Roman" w:hAnsi="Calibri" w:cs="Calibri"/>
                <w:color w:val="000000"/>
                <w:sz w:val="20"/>
                <w:szCs w:val="20"/>
                <w:lang w:eastAsia="hr-HR"/>
              </w:rPr>
              <w:t>132,00</w:t>
            </w:r>
          </w:p>
        </w:tc>
        <w:tc>
          <w:tcPr>
            <w:tcW w:w="1494" w:type="dxa"/>
            <w:tcBorders>
              <w:top w:val="nil"/>
              <w:left w:val="nil"/>
              <w:bottom w:val="single" w:sz="4" w:space="0" w:color="auto"/>
              <w:right w:val="single" w:sz="4" w:space="0" w:color="auto"/>
            </w:tcBorders>
            <w:shd w:val="clear" w:color="auto" w:fill="auto"/>
            <w:noWrap/>
            <w:vAlign w:val="center"/>
            <w:hideMark/>
          </w:tcPr>
          <w:p w14:paraId="689A423A" w14:textId="2A774B5C"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610 </w:t>
            </w:r>
            <w:r w:rsidR="00B40D79" w:rsidRPr="00C7716D">
              <w:rPr>
                <w:rFonts w:ascii="Calibri" w:eastAsia="Times New Roman" w:hAnsi="Calibri" w:cs="Calibri"/>
                <w:color w:val="000000"/>
                <w:sz w:val="20"/>
                <w:szCs w:val="20"/>
                <w:lang w:eastAsia="hr-HR"/>
              </w:rPr>
              <w:t>708,30</w:t>
            </w:r>
          </w:p>
        </w:tc>
        <w:tc>
          <w:tcPr>
            <w:tcW w:w="1279" w:type="dxa"/>
            <w:tcBorders>
              <w:top w:val="nil"/>
              <w:left w:val="nil"/>
              <w:bottom w:val="single" w:sz="4" w:space="0" w:color="auto"/>
              <w:right w:val="single" w:sz="4" w:space="0" w:color="auto"/>
            </w:tcBorders>
            <w:shd w:val="clear" w:color="auto" w:fill="auto"/>
            <w:vAlign w:val="center"/>
            <w:hideMark/>
          </w:tcPr>
          <w:p w14:paraId="00EB9E2A"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21,86%</w:t>
            </w:r>
          </w:p>
        </w:tc>
      </w:tr>
      <w:tr w:rsidR="00B40D79" w:rsidRPr="00C7716D" w14:paraId="7DB77182" w14:textId="77777777" w:rsidTr="007D5D38">
        <w:trPr>
          <w:trHeight w:val="255"/>
        </w:trPr>
        <w:tc>
          <w:tcPr>
            <w:tcW w:w="2450" w:type="dxa"/>
            <w:tcBorders>
              <w:top w:val="nil"/>
              <w:left w:val="single" w:sz="4" w:space="0" w:color="auto"/>
              <w:bottom w:val="single" w:sz="4" w:space="0" w:color="auto"/>
              <w:right w:val="single" w:sz="4" w:space="0" w:color="auto"/>
            </w:tcBorders>
            <w:shd w:val="clear" w:color="000000" w:fill="D9D9D9"/>
            <w:noWrap/>
            <w:vAlign w:val="center"/>
            <w:hideMark/>
          </w:tcPr>
          <w:p w14:paraId="516851F8"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Loživo ulje</w:t>
            </w:r>
          </w:p>
        </w:tc>
        <w:tc>
          <w:tcPr>
            <w:tcW w:w="1318" w:type="dxa"/>
            <w:tcBorders>
              <w:top w:val="nil"/>
              <w:left w:val="nil"/>
              <w:bottom w:val="single" w:sz="4" w:space="0" w:color="auto"/>
              <w:right w:val="single" w:sz="4" w:space="0" w:color="auto"/>
            </w:tcBorders>
            <w:shd w:val="clear" w:color="auto" w:fill="auto"/>
            <w:noWrap/>
            <w:vAlign w:val="center"/>
            <w:hideMark/>
          </w:tcPr>
          <w:p w14:paraId="2A1D7BF3"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 </w:t>
            </w:r>
          </w:p>
        </w:tc>
        <w:tc>
          <w:tcPr>
            <w:tcW w:w="1217" w:type="dxa"/>
            <w:tcBorders>
              <w:top w:val="nil"/>
              <w:left w:val="nil"/>
              <w:bottom w:val="single" w:sz="4" w:space="0" w:color="auto"/>
              <w:right w:val="single" w:sz="4" w:space="0" w:color="auto"/>
            </w:tcBorders>
            <w:shd w:val="clear" w:color="auto" w:fill="auto"/>
            <w:noWrap/>
            <w:vAlign w:val="center"/>
            <w:hideMark/>
          </w:tcPr>
          <w:p w14:paraId="4828DF7C"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 </w:t>
            </w:r>
          </w:p>
        </w:tc>
        <w:tc>
          <w:tcPr>
            <w:tcW w:w="1312" w:type="dxa"/>
            <w:tcBorders>
              <w:top w:val="nil"/>
              <w:left w:val="nil"/>
              <w:bottom w:val="single" w:sz="4" w:space="0" w:color="auto"/>
              <w:right w:val="single" w:sz="4" w:space="0" w:color="auto"/>
            </w:tcBorders>
            <w:shd w:val="clear" w:color="auto" w:fill="auto"/>
            <w:noWrap/>
            <w:vAlign w:val="center"/>
            <w:hideMark/>
          </w:tcPr>
          <w:p w14:paraId="63127974" w14:textId="3D7D7F0A"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99 </w:t>
            </w:r>
            <w:r w:rsidR="00B40D79" w:rsidRPr="00C7716D">
              <w:rPr>
                <w:rFonts w:ascii="Calibri" w:eastAsia="Times New Roman" w:hAnsi="Calibri" w:cs="Calibri"/>
                <w:color w:val="000000"/>
                <w:sz w:val="20"/>
                <w:szCs w:val="20"/>
                <w:lang w:eastAsia="hr-HR"/>
              </w:rPr>
              <w:t>316,30</w:t>
            </w:r>
          </w:p>
        </w:tc>
        <w:tc>
          <w:tcPr>
            <w:tcW w:w="1494" w:type="dxa"/>
            <w:tcBorders>
              <w:top w:val="nil"/>
              <w:left w:val="nil"/>
              <w:bottom w:val="single" w:sz="4" w:space="0" w:color="auto"/>
              <w:right w:val="single" w:sz="4" w:space="0" w:color="auto"/>
            </w:tcBorders>
            <w:shd w:val="clear" w:color="auto" w:fill="auto"/>
            <w:noWrap/>
            <w:vAlign w:val="center"/>
            <w:hideMark/>
          </w:tcPr>
          <w:p w14:paraId="56CA3613" w14:textId="17DA2E39"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99 </w:t>
            </w:r>
            <w:r w:rsidR="00B40D79" w:rsidRPr="00C7716D">
              <w:rPr>
                <w:rFonts w:ascii="Calibri" w:eastAsia="Times New Roman" w:hAnsi="Calibri" w:cs="Calibri"/>
                <w:color w:val="000000"/>
                <w:sz w:val="20"/>
                <w:szCs w:val="20"/>
                <w:lang w:eastAsia="hr-HR"/>
              </w:rPr>
              <w:t>316,30</w:t>
            </w:r>
          </w:p>
        </w:tc>
        <w:tc>
          <w:tcPr>
            <w:tcW w:w="1279" w:type="dxa"/>
            <w:tcBorders>
              <w:top w:val="nil"/>
              <w:left w:val="nil"/>
              <w:bottom w:val="single" w:sz="4" w:space="0" w:color="auto"/>
              <w:right w:val="single" w:sz="4" w:space="0" w:color="auto"/>
            </w:tcBorders>
            <w:shd w:val="clear" w:color="auto" w:fill="auto"/>
            <w:vAlign w:val="center"/>
            <w:hideMark/>
          </w:tcPr>
          <w:p w14:paraId="26895610"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3,55%</w:t>
            </w:r>
          </w:p>
        </w:tc>
      </w:tr>
      <w:tr w:rsidR="00B40D79" w:rsidRPr="00C7716D" w14:paraId="31815A5F" w14:textId="77777777" w:rsidTr="007D5D38">
        <w:trPr>
          <w:trHeight w:val="255"/>
        </w:trPr>
        <w:tc>
          <w:tcPr>
            <w:tcW w:w="2450" w:type="dxa"/>
            <w:tcBorders>
              <w:top w:val="nil"/>
              <w:left w:val="single" w:sz="4" w:space="0" w:color="auto"/>
              <w:bottom w:val="single" w:sz="4" w:space="0" w:color="auto"/>
              <w:right w:val="single" w:sz="4" w:space="0" w:color="auto"/>
            </w:tcBorders>
            <w:shd w:val="clear" w:color="000000" w:fill="D9D9D9"/>
            <w:noWrap/>
            <w:vAlign w:val="center"/>
            <w:hideMark/>
          </w:tcPr>
          <w:p w14:paraId="018A964B"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Prirodni plin</w:t>
            </w:r>
          </w:p>
        </w:tc>
        <w:tc>
          <w:tcPr>
            <w:tcW w:w="1318" w:type="dxa"/>
            <w:tcBorders>
              <w:top w:val="nil"/>
              <w:left w:val="nil"/>
              <w:bottom w:val="single" w:sz="4" w:space="0" w:color="auto"/>
              <w:right w:val="single" w:sz="4" w:space="0" w:color="auto"/>
            </w:tcBorders>
            <w:shd w:val="clear" w:color="auto" w:fill="auto"/>
            <w:noWrap/>
            <w:vAlign w:val="center"/>
            <w:hideMark/>
          </w:tcPr>
          <w:p w14:paraId="3CB47DB5"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90,10</w:t>
            </w:r>
          </w:p>
        </w:tc>
        <w:tc>
          <w:tcPr>
            <w:tcW w:w="1217" w:type="dxa"/>
            <w:tcBorders>
              <w:top w:val="nil"/>
              <w:left w:val="nil"/>
              <w:bottom w:val="single" w:sz="4" w:space="0" w:color="auto"/>
              <w:right w:val="single" w:sz="4" w:space="0" w:color="auto"/>
            </w:tcBorders>
            <w:shd w:val="clear" w:color="auto" w:fill="auto"/>
            <w:noWrap/>
            <w:vAlign w:val="center"/>
            <w:hideMark/>
          </w:tcPr>
          <w:p w14:paraId="73476703"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71,80</w:t>
            </w:r>
          </w:p>
        </w:tc>
        <w:tc>
          <w:tcPr>
            <w:tcW w:w="1312" w:type="dxa"/>
            <w:tcBorders>
              <w:top w:val="nil"/>
              <w:left w:val="nil"/>
              <w:bottom w:val="single" w:sz="4" w:space="0" w:color="auto"/>
              <w:right w:val="single" w:sz="4" w:space="0" w:color="auto"/>
            </w:tcBorders>
            <w:shd w:val="clear" w:color="auto" w:fill="auto"/>
            <w:noWrap/>
            <w:vAlign w:val="center"/>
            <w:hideMark/>
          </w:tcPr>
          <w:p w14:paraId="1547D6BA" w14:textId="50488EFD"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634 </w:t>
            </w:r>
            <w:r w:rsidR="00B40D79" w:rsidRPr="00C7716D">
              <w:rPr>
                <w:rFonts w:ascii="Calibri" w:eastAsia="Times New Roman" w:hAnsi="Calibri" w:cs="Calibri"/>
                <w:color w:val="000000"/>
                <w:sz w:val="20"/>
                <w:szCs w:val="20"/>
                <w:lang w:eastAsia="hr-HR"/>
              </w:rPr>
              <w:t>876,60</w:t>
            </w:r>
          </w:p>
        </w:tc>
        <w:tc>
          <w:tcPr>
            <w:tcW w:w="1494" w:type="dxa"/>
            <w:tcBorders>
              <w:top w:val="nil"/>
              <w:left w:val="nil"/>
              <w:bottom w:val="single" w:sz="4" w:space="0" w:color="auto"/>
              <w:right w:val="single" w:sz="4" w:space="0" w:color="auto"/>
            </w:tcBorders>
            <w:shd w:val="clear" w:color="auto" w:fill="auto"/>
            <w:noWrap/>
            <w:vAlign w:val="center"/>
            <w:hideMark/>
          </w:tcPr>
          <w:p w14:paraId="00056222" w14:textId="3A65837C"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635 </w:t>
            </w:r>
            <w:r w:rsidR="00B40D79" w:rsidRPr="00C7716D">
              <w:rPr>
                <w:rFonts w:ascii="Calibri" w:eastAsia="Times New Roman" w:hAnsi="Calibri" w:cs="Calibri"/>
                <w:color w:val="000000"/>
                <w:sz w:val="20"/>
                <w:szCs w:val="20"/>
                <w:lang w:eastAsia="hr-HR"/>
              </w:rPr>
              <w:t>038,50</w:t>
            </w:r>
          </w:p>
        </w:tc>
        <w:tc>
          <w:tcPr>
            <w:tcW w:w="1279" w:type="dxa"/>
            <w:tcBorders>
              <w:top w:val="nil"/>
              <w:left w:val="nil"/>
              <w:bottom w:val="single" w:sz="4" w:space="0" w:color="auto"/>
              <w:right w:val="single" w:sz="4" w:space="0" w:color="auto"/>
            </w:tcBorders>
            <w:shd w:val="clear" w:color="auto" w:fill="auto"/>
            <w:vAlign w:val="center"/>
            <w:hideMark/>
          </w:tcPr>
          <w:p w14:paraId="69926D8B"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22,73%</w:t>
            </w:r>
          </w:p>
        </w:tc>
      </w:tr>
      <w:tr w:rsidR="00B40D79" w:rsidRPr="00C7716D" w14:paraId="2E6750B5" w14:textId="77777777" w:rsidTr="007D5D38">
        <w:trPr>
          <w:trHeight w:val="255"/>
        </w:trPr>
        <w:tc>
          <w:tcPr>
            <w:tcW w:w="2450" w:type="dxa"/>
            <w:tcBorders>
              <w:top w:val="nil"/>
              <w:left w:val="single" w:sz="4" w:space="0" w:color="auto"/>
              <w:bottom w:val="single" w:sz="4" w:space="0" w:color="auto"/>
              <w:right w:val="single" w:sz="4" w:space="0" w:color="auto"/>
            </w:tcBorders>
            <w:shd w:val="clear" w:color="000000" w:fill="D9D9D9"/>
            <w:noWrap/>
            <w:vAlign w:val="center"/>
            <w:hideMark/>
          </w:tcPr>
          <w:p w14:paraId="4A74ACED"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Toplana</w:t>
            </w:r>
          </w:p>
        </w:tc>
        <w:tc>
          <w:tcPr>
            <w:tcW w:w="1318" w:type="dxa"/>
            <w:tcBorders>
              <w:top w:val="nil"/>
              <w:left w:val="nil"/>
              <w:bottom w:val="single" w:sz="4" w:space="0" w:color="auto"/>
              <w:right w:val="single" w:sz="4" w:space="0" w:color="auto"/>
            </w:tcBorders>
            <w:shd w:val="clear" w:color="auto" w:fill="auto"/>
            <w:noWrap/>
            <w:vAlign w:val="center"/>
            <w:hideMark/>
          </w:tcPr>
          <w:p w14:paraId="791AE5B2"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 </w:t>
            </w:r>
          </w:p>
        </w:tc>
        <w:tc>
          <w:tcPr>
            <w:tcW w:w="1217" w:type="dxa"/>
            <w:tcBorders>
              <w:top w:val="nil"/>
              <w:left w:val="nil"/>
              <w:bottom w:val="single" w:sz="4" w:space="0" w:color="auto"/>
              <w:right w:val="single" w:sz="4" w:space="0" w:color="auto"/>
            </w:tcBorders>
            <w:shd w:val="clear" w:color="auto" w:fill="auto"/>
            <w:noWrap/>
            <w:vAlign w:val="center"/>
            <w:hideMark/>
          </w:tcPr>
          <w:p w14:paraId="17EAE98F"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 </w:t>
            </w:r>
          </w:p>
        </w:tc>
        <w:tc>
          <w:tcPr>
            <w:tcW w:w="1312" w:type="dxa"/>
            <w:tcBorders>
              <w:top w:val="nil"/>
              <w:left w:val="nil"/>
              <w:bottom w:val="single" w:sz="4" w:space="0" w:color="auto"/>
              <w:right w:val="single" w:sz="4" w:space="0" w:color="auto"/>
            </w:tcBorders>
            <w:shd w:val="clear" w:color="auto" w:fill="auto"/>
            <w:noWrap/>
            <w:vAlign w:val="center"/>
            <w:hideMark/>
          </w:tcPr>
          <w:p w14:paraId="2A0ECB39" w14:textId="33678237"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466 </w:t>
            </w:r>
            <w:r w:rsidR="00B40D79" w:rsidRPr="00C7716D">
              <w:rPr>
                <w:rFonts w:ascii="Calibri" w:eastAsia="Times New Roman" w:hAnsi="Calibri" w:cs="Calibri"/>
                <w:color w:val="000000"/>
                <w:sz w:val="20"/>
                <w:szCs w:val="20"/>
                <w:lang w:eastAsia="hr-HR"/>
              </w:rPr>
              <w:t>137,10</w:t>
            </w:r>
          </w:p>
        </w:tc>
        <w:tc>
          <w:tcPr>
            <w:tcW w:w="1494" w:type="dxa"/>
            <w:tcBorders>
              <w:top w:val="nil"/>
              <w:left w:val="nil"/>
              <w:bottom w:val="single" w:sz="4" w:space="0" w:color="auto"/>
              <w:right w:val="single" w:sz="4" w:space="0" w:color="auto"/>
            </w:tcBorders>
            <w:shd w:val="clear" w:color="auto" w:fill="auto"/>
            <w:noWrap/>
            <w:vAlign w:val="center"/>
            <w:hideMark/>
          </w:tcPr>
          <w:p w14:paraId="14970CFF" w14:textId="4CACE2EA" w:rsidR="00B40D79" w:rsidRPr="00C7716D" w:rsidRDefault="007D5D38" w:rsidP="00B40D79">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466 </w:t>
            </w:r>
            <w:r w:rsidR="00B40D79" w:rsidRPr="00C7716D">
              <w:rPr>
                <w:rFonts w:ascii="Calibri" w:eastAsia="Times New Roman" w:hAnsi="Calibri" w:cs="Calibri"/>
                <w:color w:val="000000"/>
                <w:sz w:val="20"/>
                <w:szCs w:val="20"/>
                <w:lang w:eastAsia="hr-HR"/>
              </w:rPr>
              <w:t>080,70</w:t>
            </w:r>
          </w:p>
        </w:tc>
        <w:tc>
          <w:tcPr>
            <w:tcW w:w="1279" w:type="dxa"/>
            <w:tcBorders>
              <w:top w:val="nil"/>
              <w:left w:val="nil"/>
              <w:bottom w:val="single" w:sz="4" w:space="0" w:color="auto"/>
              <w:right w:val="single" w:sz="4" w:space="0" w:color="auto"/>
            </w:tcBorders>
            <w:shd w:val="clear" w:color="auto" w:fill="auto"/>
            <w:vAlign w:val="center"/>
            <w:hideMark/>
          </w:tcPr>
          <w:p w14:paraId="01DA4A76" w14:textId="77777777" w:rsidR="00B40D79" w:rsidRPr="00C7716D" w:rsidRDefault="00B40D79" w:rsidP="00B40D79">
            <w:pPr>
              <w:spacing w:after="0" w:line="240" w:lineRule="auto"/>
              <w:jc w:val="center"/>
              <w:rPr>
                <w:rFonts w:ascii="Calibri" w:eastAsia="Times New Roman" w:hAnsi="Calibri" w:cs="Calibri"/>
                <w:color w:val="000000"/>
                <w:sz w:val="20"/>
                <w:szCs w:val="20"/>
                <w:lang w:eastAsia="hr-HR"/>
              </w:rPr>
            </w:pPr>
            <w:r w:rsidRPr="00C7716D">
              <w:rPr>
                <w:rFonts w:ascii="Calibri" w:eastAsia="Times New Roman" w:hAnsi="Calibri" w:cs="Calibri"/>
                <w:color w:val="000000"/>
                <w:sz w:val="20"/>
                <w:szCs w:val="20"/>
                <w:lang w:eastAsia="hr-HR"/>
              </w:rPr>
              <w:t>16,68%</w:t>
            </w:r>
          </w:p>
        </w:tc>
      </w:tr>
      <w:tr w:rsidR="00B40D79" w:rsidRPr="00C7716D" w14:paraId="7E3CA136" w14:textId="77777777" w:rsidTr="007D5D38">
        <w:trPr>
          <w:trHeight w:val="255"/>
        </w:trPr>
        <w:tc>
          <w:tcPr>
            <w:tcW w:w="2450" w:type="dxa"/>
            <w:tcBorders>
              <w:top w:val="nil"/>
              <w:left w:val="single" w:sz="4" w:space="0" w:color="auto"/>
              <w:bottom w:val="single" w:sz="4" w:space="0" w:color="auto"/>
              <w:right w:val="single" w:sz="4" w:space="0" w:color="auto"/>
            </w:tcBorders>
            <w:shd w:val="clear" w:color="000000" w:fill="D9D9D9"/>
            <w:noWrap/>
            <w:vAlign w:val="center"/>
            <w:hideMark/>
          </w:tcPr>
          <w:p w14:paraId="4C90004E"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UKUPNO</w:t>
            </w:r>
          </w:p>
        </w:tc>
        <w:tc>
          <w:tcPr>
            <w:tcW w:w="1318" w:type="dxa"/>
            <w:tcBorders>
              <w:top w:val="nil"/>
              <w:left w:val="nil"/>
              <w:bottom w:val="single" w:sz="4" w:space="0" w:color="auto"/>
              <w:right w:val="single" w:sz="4" w:space="0" w:color="auto"/>
            </w:tcBorders>
            <w:shd w:val="clear" w:color="000000" w:fill="D9D9D9"/>
            <w:noWrap/>
            <w:vAlign w:val="center"/>
            <w:hideMark/>
          </w:tcPr>
          <w:p w14:paraId="4B6884EE" w14:textId="140BB21F" w:rsidR="00B40D79" w:rsidRPr="00C7716D" w:rsidRDefault="007D5D38" w:rsidP="00B40D79">
            <w:pPr>
              <w:spacing w:after="0" w:line="240" w:lineRule="auto"/>
              <w:jc w:val="center"/>
              <w:rPr>
                <w:rFonts w:ascii="Calibri" w:eastAsia="Times New Roman" w:hAnsi="Calibri" w:cs="Calibri"/>
                <w:bCs/>
                <w:color w:val="000000"/>
                <w:sz w:val="20"/>
                <w:szCs w:val="20"/>
                <w:lang w:eastAsia="hr-HR"/>
              </w:rPr>
            </w:pPr>
            <w:r>
              <w:rPr>
                <w:rFonts w:ascii="Calibri" w:eastAsia="Times New Roman" w:hAnsi="Calibri" w:cs="Calibri"/>
                <w:bCs/>
                <w:color w:val="000000"/>
                <w:sz w:val="20"/>
                <w:szCs w:val="20"/>
                <w:lang w:eastAsia="hr-HR"/>
              </w:rPr>
              <w:t xml:space="preserve">1 005 </w:t>
            </w:r>
            <w:r w:rsidR="00B40D79" w:rsidRPr="00C7716D">
              <w:rPr>
                <w:rFonts w:ascii="Calibri" w:eastAsia="Times New Roman" w:hAnsi="Calibri" w:cs="Calibri"/>
                <w:bCs/>
                <w:color w:val="000000"/>
                <w:sz w:val="20"/>
                <w:szCs w:val="20"/>
                <w:lang w:eastAsia="hr-HR"/>
              </w:rPr>
              <w:t>107,90</w:t>
            </w:r>
          </w:p>
        </w:tc>
        <w:tc>
          <w:tcPr>
            <w:tcW w:w="1217" w:type="dxa"/>
            <w:tcBorders>
              <w:top w:val="nil"/>
              <w:left w:val="nil"/>
              <w:bottom w:val="single" w:sz="4" w:space="0" w:color="auto"/>
              <w:right w:val="single" w:sz="4" w:space="0" w:color="auto"/>
            </w:tcBorders>
            <w:shd w:val="clear" w:color="000000" w:fill="D9D9D9"/>
            <w:noWrap/>
            <w:vAlign w:val="center"/>
            <w:hideMark/>
          </w:tcPr>
          <w:p w14:paraId="03C07B14" w14:textId="23B512C1" w:rsidR="00B40D79" w:rsidRPr="00C7716D" w:rsidRDefault="007D5D38" w:rsidP="00B40D79">
            <w:pPr>
              <w:spacing w:after="0" w:line="240" w:lineRule="auto"/>
              <w:jc w:val="center"/>
              <w:rPr>
                <w:rFonts w:ascii="Calibri" w:eastAsia="Times New Roman" w:hAnsi="Calibri" w:cs="Calibri"/>
                <w:bCs/>
                <w:color w:val="000000"/>
                <w:sz w:val="20"/>
                <w:szCs w:val="20"/>
                <w:lang w:eastAsia="hr-HR"/>
              </w:rPr>
            </w:pPr>
            <w:r>
              <w:rPr>
                <w:rFonts w:ascii="Calibri" w:eastAsia="Times New Roman" w:hAnsi="Calibri" w:cs="Calibri"/>
                <w:bCs/>
                <w:color w:val="000000"/>
                <w:sz w:val="20"/>
                <w:szCs w:val="20"/>
                <w:lang w:eastAsia="hr-HR"/>
              </w:rPr>
              <w:t xml:space="preserve">29 </w:t>
            </w:r>
            <w:r w:rsidR="00B40D79" w:rsidRPr="00C7716D">
              <w:rPr>
                <w:rFonts w:ascii="Calibri" w:eastAsia="Times New Roman" w:hAnsi="Calibri" w:cs="Calibri"/>
                <w:bCs/>
                <w:color w:val="000000"/>
                <w:sz w:val="20"/>
                <w:szCs w:val="20"/>
                <w:lang w:eastAsia="hr-HR"/>
              </w:rPr>
              <w:t>174,10</w:t>
            </w:r>
          </w:p>
        </w:tc>
        <w:tc>
          <w:tcPr>
            <w:tcW w:w="1312" w:type="dxa"/>
            <w:tcBorders>
              <w:top w:val="nil"/>
              <w:left w:val="nil"/>
              <w:bottom w:val="single" w:sz="4" w:space="0" w:color="auto"/>
              <w:right w:val="single" w:sz="4" w:space="0" w:color="auto"/>
            </w:tcBorders>
            <w:shd w:val="clear" w:color="000000" w:fill="D9D9D9"/>
            <w:noWrap/>
            <w:vAlign w:val="center"/>
            <w:hideMark/>
          </w:tcPr>
          <w:p w14:paraId="0A3E4EDD" w14:textId="3E7620DA" w:rsidR="00B40D79" w:rsidRPr="00C7716D" w:rsidRDefault="007D5D38" w:rsidP="00B40D79">
            <w:pPr>
              <w:spacing w:after="0" w:line="240" w:lineRule="auto"/>
              <w:jc w:val="center"/>
              <w:rPr>
                <w:rFonts w:ascii="Calibri" w:eastAsia="Times New Roman" w:hAnsi="Calibri" w:cs="Calibri"/>
                <w:bCs/>
                <w:color w:val="000000"/>
                <w:sz w:val="20"/>
                <w:szCs w:val="20"/>
                <w:lang w:eastAsia="hr-HR"/>
              </w:rPr>
            </w:pPr>
            <w:r>
              <w:rPr>
                <w:rFonts w:ascii="Calibri" w:eastAsia="Times New Roman" w:hAnsi="Calibri" w:cs="Calibri"/>
                <w:bCs/>
                <w:color w:val="000000"/>
                <w:sz w:val="20"/>
                <w:szCs w:val="20"/>
                <w:lang w:eastAsia="hr-HR"/>
              </w:rPr>
              <w:t xml:space="preserve">1 759 </w:t>
            </w:r>
            <w:r w:rsidR="00B40D79" w:rsidRPr="00C7716D">
              <w:rPr>
                <w:rFonts w:ascii="Calibri" w:eastAsia="Times New Roman" w:hAnsi="Calibri" w:cs="Calibri"/>
                <w:bCs/>
                <w:color w:val="000000"/>
                <w:sz w:val="20"/>
                <w:szCs w:val="20"/>
                <w:lang w:eastAsia="hr-HR"/>
              </w:rPr>
              <w:t>520,80</w:t>
            </w:r>
          </w:p>
        </w:tc>
        <w:tc>
          <w:tcPr>
            <w:tcW w:w="1494" w:type="dxa"/>
            <w:tcBorders>
              <w:top w:val="nil"/>
              <w:left w:val="nil"/>
              <w:bottom w:val="single" w:sz="4" w:space="0" w:color="auto"/>
              <w:right w:val="single" w:sz="4" w:space="0" w:color="auto"/>
            </w:tcBorders>
            <w:shd w:val="clear" w:color="000000" w:fill="D9D9D9"/>
            <w:noWrap/>
            <w:vAlign w:val="center"/>
            <w:hideMark/>
          </w:tcPr>
          <w:p w14:paraId="1364284A" w14:textId="50F4D650" w:rsidR="00B40D79" w:rsidRPr="00C7716D" w:rsidRDefault="007D5D38" w:rsidP="00B40D79">
            <w:pPr>
              <w:spacing w:after="0" w:line="240" w:lineRule="auto"/>
              <w:jc w:val="center"/>
              <w:rPr>
                <w:rFonts w:ascii="Calibri" w:eastAsia="Times New Roman" w:hAnsi="Calibri" w:cs="Calibri"/>
                <w:bCs/>
                <w:color w:val="000000"/>
                <w:sz w:val="20"/>
                <w:szCs w:val="20"/>
                <w:lang w:eastAsia="hr-HR"/>
              </w:rPr>
            </w:pPr>
            <w:r>
              <w:rPr>
                <w:rFonts w:ascii="Calibri" w:eastAsia="Times New Roman" w:hAnsi="Calibri" w:cs="Calibri"/>
                <w:bCs/>
                <w:color w:val="000000"/>
                <w:sz w:val="20"/>
                <w:szCs w:val="20"/>
                <w:lang w:eastAsia="hr-HR"/>
              </w:rPr>
              <w:t xml:space="preserve">2 793 </w:t>
            </w:r>
            <w:r w:rsidR="00B40D79" w:rsidRPr="00C7716D">
              <w:rPr>
                <w:rFonts w:ascii="Calibri" w:eastAsia="Times New Roman" w:hAnsi="Calibri" w:cs="Calibri"/>
                <w:bCs/>
                <w:color w:val="000000"/>
                <w:sz w:val="20"/>
                <w:szCs w:val="20"/>
                <w:lang w:eastAsia="hr-HR"/>
              </w:rPr>
              <w:t>746,40</w:t>
            </w:r>
          </w:p>
        </w:tc>
        <w:tc>
          <w:tcPr>
            <w:tcW w:w="1279" w:type="dxa"/>
            <w:tcBorders>
              <w:top w:val="nil"/>
              <w:left w:val="nil"/>
              <w:bottom w:val="single" w:sz="4" w:space="0" w:color="auto"/>
              <w:right w:val="single" w:sz="4" w:space="0" w:color="auto"/>
            </w:tcBorders>
            <w:shd w:val="clear" w:color="000000" w:fill="D9D9D9"/>
            <w:vAlign w:val="center"/>
            <w:hideMark/>
          </w:tcPr>
          <w:p w14:paraId="046A549C"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100,00%</w:t>
            </w:r>
          </w:p>
        </w:tc>
      </w:tr>
      <w:tr w:rsidR="00B40D79" w:rsidRPr="00C7716D" w14:paraId="5A4C387E" w14:textId="77777777" w:rsidTr="007D5D38">
        <w:trPr>
          <w:trHeight w:val="255"/>
        </w:trPr>
        <w:tc>
          <w:tcPr>
            <w:tcW w:w="2450" w:type="dxa"/>
            <w:tcBorders>
              <w:top w:val="nil"/>
              <w:left w:val="single" w:sz="4" w:space="0" w:color="auto"/>
              <w:bottom w:val="single" w:sz="4" w:space="0" w:color="auto"/>
              <w:right w:val="single" w:sz="4" w:space="0" w:color="auto"/>
            </w:tcBorders>
            <w:shd w:val="clear" w:color="000000" w:fill="D9D9D9"/>
            <w:noWrap/>
            <w:vAlign w:val="center"/>
            <w:hideMark/>
          </w:tcPr>
          <w:p w14:paraId="77018BD3" w14:textId="77777777" w:rsidR="00B40D79" w:rsidRPr="00C7716D" w:rsidRDefault="00B40D79" w:rsidP="00B40D79">
            <w:pPr>
              <w:spacing w:after="0" w:line="240" w:lineRule="auto"/>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Udio pojedinog sektora, %</w:t>
            </w:r>
          </w:p>
        </w:tc>
        <w:tc>
          <w:tcPr>
            <w:tcW w:w="1318" w:type="dxa"/>
            <w:tcBorders>
              <w:top w:val="nil"/>
              <w:left w:val="nil"/>
              <w:bottom w:val="single" w:sz="4" w:space="0" w:color="auto"/>
              <w:right w:val="single" w:sz="4" w:space="0" w:color="auto"/>
            </w:tcBorders>
            <w:shd w:val="clear" w:color="000000" w:fill="D9D9D9"/>
            <w:noWrap/>
            <w:vAlign w:val="center"/>
            <w:hideMark/>
          </w:tcPr>
          <w:p w14:paraId="115E1D8F"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35,98%</w:t>
            </w:r>
          </w:p>
        </w:tc>
        <w:tc>
          <w:tcPr>
            <w:tcW w:w="1217" w:type="dxa"/>
            <w:tcBorders>
              <w:top w:val="nil"/>
              <w:left w:val="nil"/>
              <w:bottom w:val="single" w:sz="4" w:space="0" w:color="auto"/>
              <w:right w:val="single" w:sz="4" w:space="0" w:color="auto"/>
            </w:tcBorders>
            <w:shd w:val="clear" w:color="000000" w:fill="D9D9D9"/>
            <w:noWrap/>
            <w:vAlign w:val="center"/>
            <w:hideMark/>
          </w:tcPr>
          <w:p w14:paraId="62A0ACD2"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1,04%</w:t>
            </w:r>
          </w:p>
        </w:tc>
        <w:tc>
          <w:tcPr>
            <w:tcW w:w="1312" w:type="dxa"/>
            <w:tcBorders>
              <w:top w:val="nil"/>
              <w:left w:val="nil"/>
              <w:bottom w:val="single" w:sz="4" w:space="0" w:color="auto"/>
              <w:right w:val="single" w:sz="4" w:space="0" w:color="auto"/>
            </w:tcBorders>
            <w:shd w:val="clear" w:color="000000" w:fill="D9D9D9"/>
            <w:noWrap/>
            <w:vAlign w:val="center"/>
            <w:hideMark/>
          </w:tcPr>
          <w:p w14:paraId="4912E521"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62,98%</w:t>
            </w:r>
          </w:p>
        </w:tc>
        <w:tc>
          <w:tcPr>
            <w:tcW w:w="1494" w:type="dxa"/>
            <w:tcBorders>
              <w:top w:val="nil"/>
              <w:left w:val="nil"/>
              <w:bottom w:val="single" w:sz="4" w:space="0" w:color="auto"/>
              <w:right w:val="single" w:sz="4" w:space="0" w:color="auto"/>
            </w:tcBorders>
            <w:shd w:val="clear" w:color="000000" w:fill="D9D9D9"/>
            <w:noWrap/>
            <w:vAlign w:val="center"/>
            <w:hideMark/>
          </w:tcPr>
          <w:p w14:paraId="74ED11F4"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100,00%</w:t>
            </w:r>
          </w:p>
        </w:tc>
        <w:tc>
          <w:tcPr>
            <w:tcW w:w="1279" w:type="dxa"/>
            <w:tcBorders>
              <w:top w:val="nil"/>
              <w:left w:val="nil"/>
              <w:bottom w:val="single" w:sz="4" w:space="0" w:color="auto"/>
              <w:right w:val="single" w:sz="4" w:space="0" w:color="auto"/>
            </w:tcBorders>
            <w:shd w:val="clear" w:color="000000" w:fill="D9D9D9"/>
            <w:vAlign w:val="center"/>
            <w:hideMark/>
          </w:tcPr>
          <w:p w14:paraId="45D6BE38" w14:textId="77777777" w:rsidR="00B40D79" w:rsidRPr="00C7716D" w:rsidRDefault="00B40D79" w:rsidP="00B40D79">
            <w:pPr>
              <w:spacing w:after="0" w:line="240" w:lineRule="auto"/>
              <w:jc w:val="center"/>
              <w:rPr>
                <w:rFonts w:ascii="Calibri" w:eastAsia="Times New Roman" w:hAnsi="Calibri" w:cs="Calibri"/>
                <w:bCs/>
                <w:color w:val="000000"/>
                <w:sz w:val="20"/>
                <w:szCs w:val="20"/>
                <w:lang w:eastAsia="hr-HR"/>
              </w:rPr>
            </w:pPr>
            <w:r w:rsidRPr="00C7716D">
              <w:rPr>
                <w:rFonts w:ascii="Calibri" w:eastAsia="Times New Roman" w:hAnsi="Calibri" w:cs="Calibri"/>
                <w:bCs/>
                <w:color w:val="000000"/>
                <w:sz w:val="20"/>
                <w:szCs w:val="20"/>
                <w:lang w:eastAsia="hr-HR"/>
              </w:rPr>
              <w:t> </w:t>
            </w:r>
          </w:p>
        </w:tc>
      </w:tr>
    </w:tbl>
    <w:p w14:paraId="6EFD478B" w14:textId="77777777" w:rsidR="00B40D79" w:rsidRPr="00882DAD" w:rsidRDefault="00B40D79" w:rsidP="00B40D79">
      <w:pPr>
        <w:spacing w:before="240" w:after="0" w:line="240" w:lineRule="auto"/>
        <w:jc w:val="both"/>
        <w:rPr>
          <w:rFonts w:ascii="Calibri" w:eastAsia="Calibri" w:hAnsi="Calibri" w:cs="Times New Roman"/>
        </w:rPr>
      </w:pPr>
      <w:bookmarkStart w:id="379" w:name="_Ref468029744"/>
      <w:bookmarkStart w:id="380" w:name="_Toc468277520"/>
      <w:r w:rsidRPr="00882DAD">
        <w:rPr>
          <w:rFonts w:ascii="Calibri" w:eastAsia="Calibri" w:hAnsi="Calibri" w:cs="Times New Roman"/>
          <w:b/>
          <w:bCs/>
        </w:rPr>
        <w:t xml:space="preserve">Tablica </w:t>
      </w:r>
      <w:r w:rsidRPr="00882DAD">
        <w:rPr>
          <w:rFonts w:ascii="Calibri" w:eastAsia="Calibri" w:hAnsi="Calibri" w:cs="Times New Roman"/>
          <w:b/>
          <w:bCs/>
        </w:rPr>
        <w:fldChar w:fldCharType="begin"/>
      </w:r>
      <w:r w:rsidRPr="00882DAD">
        <w:rPr>
          <w:rFonts w:ascii="Calibri" w:eastAsia="Calibri" w:hAnsi="Calibri" w:cs="Times New Roman"/>
          <w:b/>
          <w:bCs/>
        </w:rPr>
        <w:instrText xml:space="preserve"> STYLEREF 1 \s </w:instrText>
      </w:r>
      <w:r w:rsidRPr="00882DAD">
        <w:rPr>
          <w:rFonts w:ascii="Calibri" w:eastAsia="Calibri" w:hAnsi="Calibri" w:cs="Times New Roman"/>
          <w:b/>
          <w:bCs/>
        </w:rPr>
        <w:fldChar w:fldCharType="separate"/>
      </w:r>
      <w:r w:rsidR="009C319B" w:rsidRPr="00882DAD">
        <w:rPr>
          <w:rFonts w:ascii="Calibri" w:eastAsia="Calibri" w:hAnsi="Calibri" w:cs="Times New Roman"/>
          <w:b/>
          <w:bCs/>
          <w:noProof/>
        </w:rPr>
        <w:t>8</w:t>
      </w:r>
      <w:r w:rsidRPr="00882DAD">
        <w:rPr>
          <w:rFonts w:ascii="Calibri" w:eastAsia="Calibri" w:hAnsi="Calibri" w:cs="Times New Roman"/>
          <w:b/>
          <w:bCs/>
        </w:rPr>
        <w:fldChar w:fldCharType="end"/>
      </w:r>
      <w:r w:rsidRPr="00882DAD">
        <w:rPr>
          <w:rFonts w:ascii="Calibri" w:eastAsia="Calibri" w:hAnsi="Calibri" w:cs="Times New Roman"/>
          <w:b/>
          <w:bCs/>
        </w:rPr>
        <w:t>.</w:t>
      </w:r>
      <w:r w:rsidRPr="00882DAD">
        <w:rPr>
          <w:rFonts w:ascii="Calibri" w:eastAsia="Calibri" w:hAnsi="Calibri" w:cs="Times New Roman"/>
          <w:b/>
          <w:bCs/>
        </w:rPr>
        <w:fldChar w:fldCharType="begin"/>
      </w:r>
      <w:r w:rsidRPr="00882DAD">
        <w:rPr>
          <w:rFonts w:ascii="Calibri" w:eastAsia="Calibri" w:hAnsi="Calibri" w:cs="Times New Roman"/>
          <w:b/>
          <w:bCs/>
        </w:rPr>
        <w:instrText xml:space="preserve"> SEQ Tablica \* ARABIC \s 1 </w:instrText>
      </w:r>
      <w:r w:rsidRPr="00882DAD">
        <w:rPr>
          <w:rFonts w:ascii="Calibri" w:eastAsia="Calibri" w:hAnsi="Calibri" w:cs="Times New Roman"/>
          <w:b/>
          <w:bCs/>
        </w:rPr>
        <w:fldChar w:fldCharType="separate"/>
      </w:r>
      <w:r w:rsidR="009C319B" w:rsidRPr="00882DAD">
        <w:rPr>
          <w:rFonts w:ascii="Calibri" w:eastAsia="Calibri" w:hAnsi="Calibri" w:cs="Times New Roman"/>
          <w:b/>
          <w:bCs/>
          <w:noProof/>
        </w:rPr>
        <w:t>2</w:t>
      </w:r>
      <w:r w:rsidRPr="00882DAD">
        <w:rPr>
          <w:rFonts w:ascii="Calibri" w:eastAsia="Calibri" w:hAnsi="Calibri" w:cs="Times New Roman"/>
          <w:b/>
          <w:bCs/>
        </w:rPr>
        <w:fldChar w:fldCharType="end"/>
      </w:r>
      <w:bookmarkEnd w:id="379"/>
      <w:r w:rsidRPr="00882DAD">
        <w:rPr>
          <w:rFonts w:ascii="Calibri" w:eastAsia="Calibri" w:hAnsi="Calibri" w:cs="Times New Roman"/>
          <w:b/>
          <w:bCs/>
        </w:rPr>
        <w:t xml:space="preserve"> </w:t>
      </w:r>
      <w:r w:rsidRPr="00882DAD">
        <w:rPr>
          <w:rFonts w:ascii="Calibri" w:eastAsia="Calibri" w:hAnsi="Calibri" w:cs="Times New Roman"/>
          <w:bCs/>
        </w:rPr>
        <w:t>Kontrolni inventar</w:t>
      </w:r>
      <w:r w:rsidRPr="00882DAD">
        <w:rPr>
          <w:rFonts w:ascii="Calibri" w:eastAsia="Calibri" w:hAnsi="Calibri" w:cs="Times New Roman"/>
          <w:b/>
          <w:bCs/>
        </w:rPr>
        <w:t xml:space="preserve"> </w:t>
      </w:r>
      <w:r w:rsidRPr="00882DAD">
        <w:rPr>
          <w:rFonts w:ascii="Calibri" w:eastAsia="Calibri" w:hAnsi="Calibri" w:cs="Times New Roman"/>
        </w:rPr>
        <w:t>emisija CO</w:t>
      </w:r>
      <w:r w:rsidRPr="00882DAD">
        <w:rPr>
          <w:rFonts w:ascii="Calibri" w:eastAsia="Calibri" w:hAnsi="Calibri" w:cs="Times New Roman"/>
          <w:vertAlign w:val="subscript"/>
        </w:rPr>
        <w:t>2</w:t>
      </w:r>
      <w:r w:rsidRPr="00882DAD">
        <w:rPr>
          <w:rFonts w:ascii="Calibri" w:eastAsia="Calibri" w:hAnsi="Calibri" w:cs="Times New Roman"/>
        </w:rPr>
        <w:t xml:space="preserve"> po sektorima i energentima, 2015. godina</w:t>
      </w:r>
      <w:bookmarkEnd w:id="380"/>
      <w:r w:rsidRPr="00882DAD">
        <w:rPr>
          <w:rFonts w:ascii="Calibri" w:eastAsia="Calibri" w:hAnsi="Calibri" w:cs="Times New Roman"/>
        </w:rPr>
        <w:t xml:space="preserve"> </w:t>
      </w:r>
    </w:p>
    <w:tbl>
      <w:tblPr>
        <w:tblW w:w="4809" w:type="pct"/>
        <w:tblInd w:w="108" w:type="dxa"/>
        <w:tblLook w:val="04A0" w:firstRow="1" w:lastRow="0" w:firstColumn="1" w:lastColumn="0" w:noHBand="0" w:noVBand="1"/>
      </w:tblPr>
      <w:tblGrid>
        <w:gridCol w:w="2342"/>
        <w:gridCol w:w="1310"/>
        <w:gridCol w:w="1161"/>
        <w:gridCol w:w="1269"/>
        <w:gridCol w:w="1374"/>
        <w:gridCol w:w="1258"/>
      </w:tblGrid>
      <w:tr w:rsidR="000951E4" w:rsidRPr="00C7716D" w14:paraId="745F1770" w14:textId="77777777" w:rsidTr="0055306B">
        <w:trPr>
          <w:trHeight w:val="300"/>
        </w:trPr>
        <w:tc>
          <w:tcPr>
            <w:tcW w:w="1349" w:type="pct"/>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E8D5D6" w14:textId="77777777" w:rsidR="000951E4" w:rsidRPr="00C7716D" w:rsidRDefault="000951E4" w:rsidP="000951E4">
            <w:pPr>
              <w:spacing w:after="0" w:line="240" w:lineRule="auto"/>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Energent</w:t>
            </w:r>
          </w:p>
        </w:tc>
        <w:tc>
          <w:tcPr>
            <w:tcW w:w="2937" w:type="pct"/>
            <w:gridSpan w:val="4"/>
            <w:tcBorders>
              <w:top w:val="single" w:sz="4" w:space="0" w:color="auto"/>
              <w:left w:val="nil"/>
              <w:bottom w:val="single" w:sz="4" w:space="0" w:color="auto"/>
              <w:right w:val="single" w:sz="4" w:space="0" w:color="auto"/>
            </w:tcBorders>
            <w:shd w:val="clear" w:color="000000" w:fill="D9D9D9"/>
            <w:noWrap/>
            <w:vAlign w:val="bottom"/>
            <w:hideMark/>
          </w:tcPr>
          <w:p w14:paraId="396027DE"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Emisija, t CO₂</w:t>
            </w:r>
          </w:p>
        </w:tc>
        <w:tc>
          <w:tcPr>
            <w:tcW w:w="714" w:type="pct"/>
            <w:tcBorders>
              <w:top w:val="single" w:sz="4" w:space="0" w:color="auto"/>
              <w:left w:val="nil"/>
              <w:bottom w:val="single" w:sz="4" w:space="0" w:color="auto"/>
              <w:right w:val="single" w:sz="4" w:space="0" w:color="auto"/>
            </w:tcBorders>
            <w:shd w:val="clear" w:color="000000" w:fill="D9D9D9"/>
            <w:vAlign w:val="bottom"/>
            <w:hideMark/>
          </w:tcPr>
          <w:p w14:paraId="38E6412C"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w:t>
            </w:r>
          </w:p>
        </w:tc>
      </w:tr>
      <w:tr w:rsidR="00C7716D" w:rsidRPr="00C7716D" w14:paraId="76E14A25" w14:textId="77777777" w:rsidTr="00C7716D">
        <w:trPr>
          <w:trHeight w:val="480"/>
        </w:trPr>
        <w:tc>
          <w:tcPr>
            <w:tcW w:w="1349" w:type="pct"/>
            <w:vMerge/>
            <w:tcBorders>
              <w:top w:val="single" w:sz="4" w:space="0" w:color="auto"/>
              <w:left w:val="single" w:sz="4" w:space="0" w:color="auto"/>
              <w:bottom w:val="single" w:sz="4" w:space="0" w:color="auto"/>
              <w:right w:val="single" w:sz="4" w:space="0" w:color="auto"/>
            </w:tcBorders>
            <w:vAlign w:val="center"/>
            <w:hideMark/>
          </w:tcPr>
          <w:p w14:paraId="7F131773" w14:textId="77777777" w:rsidR="000951E4" w:rsidRPr="00C7716D" w:rsidRDefault="000951E4" w:rsidP="000951E4">
            <w:pPr>
              <w:spacing w:after="0" w:line="240" w:lineRule="auto"/>
              <w:rPr>
                <w:rFonts w:ascii="Calibri" w:eastAsia="Times New Roman" w:hAnsi="Calibri" w:cs="Times New Roman"/>
                <w:bCs/>
                <w:color w:val="000000"/>
                <w:sz w:val="20"/>
                <w:szCs w:val="20"/>
                <w:lang w:eastAsia="hr-HR"/>
              </w:rPr>
            </w:pPr>
          </w:p>
        </w:tc>
        <w:tc>
          <w:tcPr>
            <w:tcW w:w="756" w:type="pct"/>
            <w:tcBorders>
              <w:top w:val="nil"/>
              <w:left w:val="nil"/>
              <w:bottom w:val="single" w:sz="4" w:space="0" w:color="auto"/>
              <w:right w:val="single" w:sz="4" w:space="0" w:color="auto"/>
            </w:tcBorders>
            <w:shd w:val="clear" w:color="000000" w:fill="D9D9D9"/>
            <w:hideMark/>
          </w:tcPr>
          <w:p w14:paraId="1A77890C"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Promet</w:t>
            </w:r>
          </w:p>
        </w:tc>
        <w:tc>
          <w:tcPr>
            <w:tcW w:w="671" w:type="pct"/>
            <w:tcBorders>
              <w:top w:val="nil"/>
              <w:left w:val="nil"/>
              <w:bottom w:val="single" w:sz="4" w:space="0" w:color="auto"/>
              <w:right w:val="single" w:sz="4" w:space="0" w:color="auto"/>
            </w:tcBorders>
            <w:shd w:val="clear" w:color="000000" w:fill="D9D9D9"/>
            <w:hideMark/>
          </w:tcPr>
          <w:p w14:paraId="76D144FB"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Javna rasvjeta</w:t>
            </w:r>
          </w:p>
        </w:tc>
        <w:tc>
          <w:tcPr>
            <w:tcW w:w="717" w:type="pct"/>
            <w:tcBorders>
              <w:top w:val="nil"/>
              <w:left w:val="nil"/>
              <w:bottom w:val="single" w:sz="4" w:space="0" w:color="auto"/>
              <w:right w:val="single" w:sz="4" w:space="0" w:color="auto"/>
            </w:tcBorders>
            <w:shd w:val="clear" w:color="000000" w:fill="D9D9D9"/>
            <w:noWrap/>
            <w:hideMark/>
          </w:tcPr>
          <w:p w14:paraId="55505728"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Zgradarstvo</w:t>
            </w:r>
          </w:p>
        </w:tc>
        <w:tc>
          <w:tcPr>
            <w:tcW w:w="793" w:type="pct"/>
            <w:tcBorders>
              <w:top w:val="nil"/>
              <w:left w:val="nil"/>
              <w:bottom w:val="single" w:sz="4" w:space="0" w:color="auto"/>
              <w:right w:val="single" w:sz="4" w:space="0" w:color="auto"/>
            </w:tcBorders>
            <w:shd w:val="clear" w:color="000000" w:fill="D9D9D9"/>
            <w:hideMark/>
          </w:tcPr>
          <w:p w14:paraId="062C6AAF"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Ukupno po energentima</w:t>
            </w:r>
          </w:p>
        </w:tc>
        <w:tc>
          <w:tcPr>
            <w:tcW w:w="714" w:type="pct"/>
            <w:tcBorders>
              <w:top w:val="nil"/>
              <w:left w:val="nil"/>
              <w:bottom w:val="single" w:sz="4" w:space="0" w:color="auto"/>
              <w:right w:val="single" w:sz="4" w:space="0" w:color="auto"/>
            </w:tcBorders>
            <w:shd w:val="clear" w:color="000000" w:fill="D9D9D9"/>
            <w:hideMark/>
          </w:tcPr>
          <w:p w14:paraId="7105642F"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Udio po energentima</w:t>
            </w:r>
          </w:p>
        </w:tc>
      </w:tr>
      <w:tr w:rsidR="00C7716D" w:rsidRPr="00C7716D" w14:paraId="3D8A6DFA"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3BE65D03"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Dizel</w:t>
            </w:r>
          </w:p>
        </w:tc>
        <w:tc>
          <w:tcPr>
            <w:tcW w:w="756" w:type="pct"/>
            <w:tcBorders>
              <w:top w:val="nil"/>
              <w:left w:val="nil"/>
              <w:bottom w:val="single" w:sz="4" w:space="0" w:color="auto"/>
              <w:right w:val="single" w:sz="4" w:space="0" w:color="auto"/>
            </w:tcBorders>
            <w:shd w:val="clear" w:color="auto" w:fill="auto"/>
            <w:vAlign w:val="bottom"/>
            <w:hideMark/>
          </w:tcPr>
          <w:p w14:paraId="0F8B0167" w14:textId="3352F8BE"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671 </w:t>
            </w:r>
            <w:r w:rsidR="000951E4" w:rsidRPr="00C7716D">
              <w:rPr>
                <w:rFonts w:ascii="Calibri" w:eastAsia="Times New Roman" w:hAnsi="Calibri" w:cs="Times New Roman"/>
                <w:bCs/>
                <w:color w:val="000000"/>
                <w:sz w:val="20"/>
                <w:szCs w:val="20"/>
                <w:lang w:eastAsia="hr-HR"/>
              </w:rPr>
              <w:t>042,61</w:t>
            </w:r>
          </w:p>
        </w:tc>
        <w:tc>
          <w:tcPr>
            <w:tcW w:w="671" w:type="pct"/>
            <w:tcBorders>
              <w:top w:val="nil"/>
              <w:left w:val="nil"/>
              <w:bottom w:val="single" w:sz="4" w:space="0" w:color="auto"/>
              <w:right w:val="single" w:sz="4" w:space="0" w:color="auto"/>
            </w:tcBorders>
            <w:shd w:val="clear" w:color="auto" w:fill="auto"/>
            <w:noWrap/>
            <w:vAlign w:val="bottom"/>
            <w:hideMark/>
          </w:tcPr>
          <w:p w14:paraId="62C18091"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17" w:type="pct"/>
            <w:tcBorders>
              <w:top w:val="nil"/>
              <w:left w:val="nil"/>
              <w:bottom w:val="single" w:sz="4" w:space="0" w:color="auto"/>
              <w:right w:val="single" w:sz="4" w:space="0" w:color="auto"/>
            </w:tcBorders>
            <w:shd w:val="clear" w:color="auto" w:fill="auto"/>
            <w:noWrap/>
            <w:vAlign w:val="bottom"/>
            <w:hideMark/>
          </w:tcPr>
          <w:p w14:paraId="346E24B3"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93" w:type="pct"/>
            <w:tcBorders>
              <w:top w:val="nil"/>
              <w:left w:val="nil"/>
              <w:bottom w:val="single" w:sz="4" w:space="0" w:color="auto"/>
              <w:right w:val="single" w:sz="4" w:space="0" w:color="auto"/>
            </w:tcBorders>
            <w:shd w:val="clear" w:color="auto" w:fill="auto"/>
            <w:noWrap/>
            <w:vAlign w:val="bottom"/>
            <w:hideMark/>
          </w:tcPr>
          <w:p w14:paraId="0082C1B2" w14:textId="648C87B2"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671 </w:t>
            </w:r>
            <w:r w:rsidR="000951E4" w:rsidRPr="00C7716D">
              <w:rPr>
                <w:rFonts w:ascii="Calibri" w:eastAsia="Times New Roman" w:hAnsi="Calibri" w:cs="Times New Roman"/>
                <w:bCs/>
                <w:color w:val="000000"/>
                <w:sz w:val="20"/>
                <w:szCs w:val="20"/>
                <w:lang w:eastAsia="hr-HR"/>
              </w:rPr>
              <w:t>042,61</w:t>
            </w:r>
          </w:p>
        </w:tc>
        <w:tc>
          <w:tcPr>
            <w:tcW w:w="714" w:type="pct"/>
            <w:tcBorders>
              <w:top w:val="nil"/>
              <w:left w:val="nil"/>
              <w:bottom w:val="single" w:sz="4" w:space="0" w:color="auto"/>
              <w:right w:val="single" w:sz="4" w:space="0" w:color="auto"/>
            </w:tcBorders>
            <w:shd w:val="clear" w:color="auto" w:fill="auto"/>
            <w:vAlign w:val="bottom"/>
            <w:hideMark/>
          </w:tcPr>
          <w:p w14:paraId="334D74E6"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22,90%</w:t>
            </w:r>
          </w:p>
        </w:tc>
      </w:tr>
      <w:tr w:rsidR="00C7716D" w:rsidRPr="00C7716D" w14:paraId="5E9EA1B7"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02A9EDAC"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Motorni benzin</w:t>
            </w:r>
          </w:p>
        </w:tc>
        <w:tc>
          <w:tcPr>
            <w:tcW w:w="756" w:type="pct"/>
            <w:tcBorders>
              <w:top w:val="nil"/>
              <w:left w:val="nil"/>
              <w:bottom w:val="single" w:sz="4" w:space="0" w:color="auto"/>
              <w:right w:val="single" w:sz="4" w:space="0" w:color="auto"/>
            </w:tcBorders>
            <w:shd w:val="clear" w:color="auto" w:fill="auto"/>
            <w:vAlign w:val="bottom"/>
            <w:hideMark/>
          </w:tcPr>
          <w:p w14:paraId="4C0F932F" w14:textId="0F8966B2"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372 </w:t>
            </w:r>
            <w:r w:rsidR="000951E4" w:rsidRPr="00C7716D">
              <w:rPr>
                <w:rFonts w:ascii="Calibri" w:eastAsia="Times New Roman" w:hAnsi="Calibri" w:cs="Times New Roman"/>
                <w:bCs/>
                <w:color w:val="000000"/>
                <w:sz w:val="20"/>
                <w:szCs w:val="20"/>
                <w:lang w:eastAsia="hr-HR"/>
              </w:rPr>
              <w:t>278,01</w:t>
            </w:r>
          </w:p>
        </w:tc>
        <w:tc>
          <w:tcPr>
            <w:tcW w:w="671" w:type="pct"/>
            <w:tcBorders>
              <w:top w:val="nil"/>
              <w:left w:val="nil"/>
              <w:bottom w:val="single" w:sz="4" w:space="0" w:color="auto"/>
              <w:right w:val="single" w:sz="4" w:space="0" w:color="auto"/>
            </w:tcBorders>
            <w:shd w:val="clear" w:color="auto" w:fill="auto"/>
            <w:noWrap/>
            <w:vAlign w:val="bottom"/>
            <w:hideMark/>
          </w:tcPr>
          <w:p w14:paraId="0C8E58A8"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17" w:type="pct"/>
            <w:tcBorders>
              <w:top w:val="nil"/>
              <w:left w:val="nil"/>
              <w:bottom w:val="single" w:sz="4" w:space="0" w:color="auto"/>
              <w:right w:val="single" w:sz="4" w:space="0" w:color="auto"/>
            </w:tcBorders>
            <w:shd w:val="clear" w:color="auto" w:fill="auto"/>
            <w:noWrap/>
            <w:vAlign w:val="bottom"/>
            <w:hideMark/>
          </w:tcPr>
          <w:p w14:paraId="4BEBE2B2"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93" w:type="pct"/>
            <w:tcBorders>
              <w:top w:val="nil"/>
              <w:left w:val="nil"/>
              <w:bottom w:val="single" w:sz="4" w:space="0" w:color="auto"/>
              <w:right w:val="single" w:sz="4" w:space="0" w:color="auto"/>
            </w:tcBorders>
            <w:shd w:val="clear" w:color="auto" w:fill="auto"/>
            <w:noWrap/>
            <w:vAlign w:val="bottom"/>
            <w:hideMark/>
          </w:tcPr>
          <w:p w14:paraId="3364B350" w14:textId="5903B87A"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372 </w:t>
            </w:r>
            <w:r w:rsidR="000951E4" w:rsidRPr="00C7716D">
              <w:rPr>
                <w:rFonts w:ascii="Calibri" w:eastAsia="Times New Roman" w:hAnsi="Calibri" w:cs="Times New Roman"/>
                <w:bCs/>
                <w:color w:val="000000"/>
                <w:sz w:val="20"/>
                <w:szCs w:val="20"/>
                <w:lang w:eastAsia="hr-HR"/>
              </w:rPr>
              <w:t>278,01</w:t>
            </w:r>
          </w:p>
        </w:tc>
        <w:tc>
          <w:tcPr>
            <w:tcW w:w="714" w:type="pct"/>
            <w:tcBorders>
              <w:top w:val="nil"/>
              <w:left w:val="nil"/>
              <w:bottom w:val="single" w:sz="4" w:space="0" w:color="auto"/>
              <w:right w:val="single" w:sz="4" w:space="0" w:color="auto"/>
            </w:tcBorders>
            <w:shd w:val="clear" w:color="auto" w:fill="auto"/>
            <w:vAlign w:val="bottom"/>
            <w:hideMark/>
          </w:tcPr>
          <w:p w14:paraId="393FC613"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12,70%</w:t>
            </w:r>
          </w:p>
        </w:tc>
      </w:tr>
      <w:tr w:rsidR="00C7716D" w:rsidRPr="00C7716D" w14:paraId="30A61732"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06AEC905"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LPG</w:t>
            </w:r>
          </w:p>
        </w:tc>
        <w:tc>
          <w:tcPr>
            <w:tcW w:w="756" w:type="pct"/>
            <w:tcBorders>
              <w:top w:val="nil"/>
              <w:left w:val="nil"/>
              <w:bottom w:val="single" w:sz="4" w:space="0" w:color="auto"/>
              <w:right w:val="single" w:sz="4" w:space="0" w:color="auto"/>
            </w:tcBorders>
            <w:shd w:val="clear" w:color="auto" w:fill="auto"/>
            <w:vAlign w:val="bottom"/>
            <w:hideMark/>
          </w:tcPr>
          <w:p w14:paraId="7A6268A1" w14:textId="38756C94"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28 </w:t>
            </w:r>
            <w:r w:rsidR="000951E4" w:rsidRPr="00C7716D">
              <w:rPr>
                <w:rFonts w:ascii="Calibri" w:eastAsia="Times New Roman" w:hAnsi="Calibri" w:cs="Times New Roman"/>
                <w:bCs/>
                <w:color w:val="000000"/>
                <w:sz w:val="20"/>
                <w:szCs w:val="20"/>
                <w:lang w:eastAsia="hr-HR"/>
              </w:rPr>
              <w:t>042,65</w:t>
            </w:r>
          </w:p>
        </w:tc>
        <w:tc>
          <w:tcPr>
            <w:tcW w:w="671" w:type="pct"/>
            <w:tcBorders>
              <w:top w:val="nil"/>
              <w:left w:val="nil"/>
              <w:bottom w:val="single" w:sz="4" w:space="0" w:color="auto"/>
              <w:right w:val="single" w:sz="4" w:space="0" w:color="auto"/>
            </w:tcBorders>
            <w:shd w:val="clear" w:color="auto" w:fill="auto"/>
            <w:noWrap/>
            <w:vAlign w:val="bottom"/>
            <w:hideMark/>
          </w:tcPr>
          <w:p w14:paraId="2C54E1F3"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17" w:type="pct"/>
            <w:tcBorders>
              <w:top w:val="nil"/>
              <w:left w:val="nil"/>
              <w:bottom w:val="single" w:sz="4" w:space="0" w:color="auto"/>
              <w:right w:val="single" w:sz="4" w:space="0" w:color="auto"/>
            </w:tcBorders>
            <w:shd w:val="clear" w:color="auto" w:fill="auto"/>
            <w:noWrap/>
            <w:vAlign w:val="bottom"/>
            <w:hideMark/>
          </w:tcPr>
          <w:p w14:paraId="4F6CEBB0" w14:textId="056A06ED"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16 </w:t>
            </w:r>
            <w:r w:rsidR="000951E4" w:rsidRPr="00C7716D">
              <w:rPr>
                <w:rFonts w:ascii="Calibri" w:eastAsia="Times New Roman" w:hAnsi="Calibri" w:cs="Times New Roman"/>
                <w:bCs/>
                <w:color w:val="000000"/>
                <w:sz w:val="20"/>
                <w:szCs w:val="20"/>
                <w:lang w:eastAsia="hr-HR"/>
              </w:rPr>
              <w:t>507,98</w:t>
            </w:r>
          </w:p>
        </w:tc>
        <w:tc>
          <w:tcPr>
            <w:tcW w:w="793" w:type="pct"/>
            <w:tcBorders>
              <w:top w:val="nil"/>
              <w:left w:val="nil"/>
              <w:bottom w:val="single" w:sz="4" w:space="0" w:color="auto"/>
              <w:right w:val="single" w:sz="4" w:space="0" w:color="auto"/>
            </w:tcBorders>
            <w:shd w:val="clear" w:color="auto" w:fill="auto"/>
            <w:noWrap/>
            <w:vAlign w:val="bottom"/>
            <w:hideMark/>
          </w:tcPr>
          <w:p w14:paraId="209A928F" w14:textId="21201C38"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44 </w:t>
            </w:r>
            <w:r w:rsidR="000951E4" w:rsidRPr="00C7716D">
              <w:rPr>
                <w:rFonts w:ascii="Calibri" w:eastAsia="Times New Roman" w:hAnsi="Calibri" w:cs="Times New Roman"/>
                <w:bCs/>
                <w:color w:val="000000"/>
                <w:sz w:val="20"/>
                <w:szCs w:val="20"/>
                <w:lang w:eastAsia="hr-HR"/>
              </w:rPr>
              <w:t>550,63</w:t>
            </w:r>
          </w:p>
        </w:tc>
        <w:tc>
          <w:tcPr>
            <w:tcW w:w="714" w:type="pct"/>
            <w:tcBorders>
              <w:top w:val="nil"/>
              <w:left w:val="nil"/>
              <w:bottom w:val="single" w:sz="4" w:space="0" w:color="auto"/>
              <w:right w:val="single" w:sz="4" w:space="0" w:color="auto"/>
            </w:tcBorders>
            <w:shd w:val="clear" w:color="auto" w:fill="auto"/>
            <w:vAlign w:val="bottom"/>
            <w:hideMark/>
          </w:tcPr>
          <w:p w14:paraId="64F546B2"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1,52%</w:t>
            </w:r>
          </w:p>
        </w:tc>
      </w:tr>
      <w:tr w:rsidR="00C7716D" w:rsidRPr="00C7716D" w14:paraId="2A6D9B7C"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6ED4AEA8"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SPP</w:t>
            </w:r>
          </w:p>
        </w:tc>
        <w:tc>
          <w:tcPr>
            <w:tcW w:w="756" w:type="pct"/>
            <w:tcBorders>
              <w:top w:val="nil"/>
              <w:left w:val="nil"/>
              <w:bottom w:val="single" w:sz="4" w:space="0" w:color="auto"/>
              <w:right w:val="single" w:sz="4" w:space="0" w:color="auto"/>
            </w:tcBorders>
            <w:shd w:val="clear" w:color="auto" w:fill="auto"/>
            <w:vAlign w:val="bottom"/>
            <w:hideMark/>
          </w:tcPr>
          <w:p w14:paraId="703D4689" w14:textId="05250AB9"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6 </w:t>
            </w:r>
            <w:r w:rsidR="000951E4" w:rsidRPr="00C7716D">
              <w:rPr>
                <w:rFonts w:ascii="Calibri" w:eastAsia="Times New Roman" w:hAnsi="Calibri" w:cs="Times New Roman"/>
                <w:bCs/>
                <w:color w:val="000000"/>
                <w:sz w:val="20"/>
                <w:szCs w:val="20"/>
                <w:lang w:eastAsia="hr-HR"/>
              </w:rPr>
              <w:t>165,62</w:t>
            </w:r>
          </w:p>
        </w:tc>
        <w:tc>
          <w:tcPr>
            <w:tcW w:w="671" w:type="pct"/>
            <w:tcBorders>
              <w:top w:val="nil"/>
              <w:left w:val="nil"/>
              <w:bottom w:val="single" w:sz="4" w:space="0" w:color="auto"/>
              <w:right w:val="single" w:sz="4" w:space="0" w:color="auto"/>
            </w:tcBorders>
            <w:shd w:val="clear" w:color="auto" w:fill="auto"/>
            <w:noWrap/>
            <w:vAlign w:val="bottom"/>
            <w:hideMark/>
          </w:tcPr>
          <w:p w14:paraId="79C7D7FF"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17" w:type="pct"/>
            <w:tcBorders>
              <w:top w:val="nil"/>
              <w:left w:val="nil"/>
              <w:bottom w:val="single" w:sz="4" w:space="0" w:color="auto"/>
              <w:right w:val="single" w:sz="4" w:space="0" w:color="auto"/>
            </w:tcBorders>
            <w:shd w:val="clear" w:color="auto" w:fill="auto"/>
            <w:noWrap/>
            <w:vAlign w:val="bottom"/>
            <w:hideMark/>
          </w:tcPr>
          <w:p w14:paraId="02B656F0"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93" w:type="pct"/>
            <w:tcBorders>
              <w:top w:val="nil"/>
              <w:left w:val="nil"/>
              <w:bottom w:val="single" w:sz="4" w:space="0" w:color="auto"/>
              <w:right w:val="single" w:sz="4" w:space="0" w:color="auto"/>
            </w:tcBorders>
            <w:shd w:val="clear" w:color="auto" w:fill="auto"/>
            <w:noWrap/>
            <w:vAlign w:val="bottom"/>
            <w:hideMark/>
          </w:tcPr>
          <w:p w14:paraId="2831EE0F" w14:textId="24A34B1E"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6 </w:t>
            </w:r>
            <w:r w:rsidR="000951E4" w:rsidRPr="00C7716D">
              <w:rPr>
                <w:rFonts w:ascii="Calibri" w:eastAsia="Times New Roman" w:hAnsi="Calibri" w:cs="Times New Roman"/>
                <w:bCs/>
                <w:color w:val="000000"/>
                <w:sz w:val="20"/>
                <w:szCs w:val="20"/>
                <w:lang w:eastAsia="hr-HR"/>
              </w:rPr>
              <w:t>165,62</w:t>
            </w:r>
          </w:p>
        </w:tc>
        <w:tc>
          <w:tcPr>
            <w:tcW w:w="714" w:type="pct"/>
            <w:tcBorders>
              <w:top w:val="nil"/>
              <w:left w:val="nil"/>
              <w:bottom w:val="single" w:sz="4" w:space="0" w:color="auto"/>
              <w:right w:val="single" w:sz="4" w:space="0" w:color="auto"/>
            </w:tcBorders>
            <w:shd w:val="clear" w:color="auto" w:fill="auto"/>
            <w:vAlign w:val="bottom"/>
            <w:hideMark/>
          </w:tcPr>
          <w:p w14:paraId="1E868A1F"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0,21%</w:t>
            </w:r>
          </w:p>
        </w:tc>
      </w:tr>
      <w:tr w:rsidR="00C7716D" w:rsidRPr="00C7716D" w14:paraId="665A1182"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49F29DD1"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Električna energija</w:t>
            </w:r>
          </w:p>
        </w:tc>
        <w:tc>
          <w:tcPr>
            <w:tcW w:w="756" w:type="pct"/>
            <w:tcBorders>
              <w:top w:val="nil"/>
              <w:left w:val="nil"/>
              <w:bottom w:val="single" w:sz="4" w:space="0" w:color="auto"/>
              <w:right w:val="single" w:sz="4" w:space="0" w:color="auto"/>
            </w:tcBorders>
            <w:shd w:val="clear" w:color="auto" w:fill="auto"/>
            <w:vAlign w:val="bottom"/>
            <w:hideMark/>
          </w:tcPr>
          <w:p w14:paraId="7B9D367C" w14:textId="45DD44EF"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23 </w:t>
            </w:r>
            <w:r w:rsidR="000951E4" w:rsidRPr="00C7716D">
              <w:rPr>
                <w:rFonts w:ascii="Calibri" w:eastAsia="Times New Roman" w:hAnsi="Calibri" w:cs="Times New Roman"/>
                <w:bCs/>
                <w:color w:val="000000"/>
                <w:sz w:val="20"/>
                <w:szCs w:val="20"/>
                <w:lang w:eastAsia="hr-HR"/>
              </w:rPr>
              <w:t>426,05</w:t>
            </w:r>
          </w:p>
        </w:tc>
        <w:tc>
          <w:tcPr>
            <w:tcW w:w="671" w:type="pct"/>
            <w:tcBorders>
              <w:top w:val="nil"/>
              <w:left w:val="nil"/>
              <w:bottom w:val="single" w:sz="4" w:space="0" w:color="auto"/>
              <w:right w:val="single" w:sz="4" w:space="0" w:color="auto"/>
            </w:tcBorders>
            <w:shd w:val="clear" w:color="auto" w:fill="auto"/>
            <w:vAlign w:val="bottom"/>
            <w:hideMark/>
          </w:tcPr>
          <w:p w14:paraId="594031E6" w14:textId="458E71F5"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26 </w:t>
            </w:r>
            <w:r w:rsidR="000951E4" w:rsidRPr="00C7716D">
              <w:rPr>
                <w:rFonts w:ascii="Calibri" w:eastAsia="Times New Roman" w:hAnsi="Calibri" w:cs="Times New Roman"/>
                <w:bCs/>
                <w:color w:val="000000"/>
                <w:sz w:val="20"/>
                <w:szCs w:val="20"/>
                <w:lang w:eastAsia="hr-HR"/>
              </w:rPr>
              <w:t>827,02</w:t>
            </w:r>
          </w:p>
        </w:tc>
        <w:tc>
          <w:tcPr>
            <w:tcW w:w="717" w:type="pct"/>
            <w:tcBorders>
              <w:top w:val="nil"/>
              <w:left w:val="nil"/>
              <w:bottom w:val="single" w:sz="4" w:space="0" w:color="auto"/>
              <w:right w:val="single" w:sz="4" w:space="0" w:color="auto"/>
            </w:tcBorders>
            <w:shd w:val="clear" w:color="auto" w:fill="auto"/>
            <w:vAlign w:val="bottom"/>
            <w:hideMark/>
          </w:tcPr>
          <w:p w14:paraId="0EC73254" w14:textId="07009EC4"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660 </w:t>
            </w:r>
            <w:r w:rsidR="000951E4" w:rsidRPr="00C7716D">
              <w:rPr>
                <w:rFonts w:ascii="Calibri" w:eastAsia="Times New Roman" w:hAnsi="Calibri" w:cs="Times New Roman"/>
                <w:bCs/>
                <w:color w:val="000000"/>
                <w:sz w:val="20"/>
                <w:szCs w:val="20"/>
                <w:lang w:eastAsia="hr-HR"/>
              </w:rPr>
              <w:t>535,68</w:t>
            </w:r>
          </w:p>
        </w:tc>
        <w:tc>
          <w:tcPr>
            <w:tcW w:w="793" w:type="pct"/>
            <w:tcBorders>
              <w:top w:val="nil"/>
              <w:left w:val="nil"/>
              <w:bottom w:val="single" w:sz="4" w:space="0" w:color="auto"/>
              <w:right w:val="single" w:sz="4" w:space="0" w:color="auto"/>
            </w:tcBorders>
            <w:shd w:val="clear" w:color="auto" w:fill="auto"/>
            <w:noWrap/>
            <w:vAlign w:val="bottom"/>
            <w:hideMark/>
          </w:tcPr>
          <w:p w14:paraId="0AE277F7" w14:textId="54A1B9E3"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710 </w:t>
            </w:r>
            <w:r w:rsidR="000951E4" w:rsidRPr="00C7716D">
              <w:rPr>
                <w:rFonts w:ascii="Calibri" w:eastAsia="Times New Roman" w:hAnsi="Calibri" w:cs="Times New Roman"/>
                <w:bCs/>
                <w:color w:val="000000"/>
                <w:sz w:val="20"/>
                <w:szCs w:val="20"/>
                <w:lang w:eastAsia="hr-HR"/>
              </w:rPr>
              <w:t>788,75</w:t>
            </w:r>
          </w:p>
        </w:tc>
        <w:tc>
          <w:tcPr>
            <w:tcW w:w="714" w:type="pct"/>
            <w:tcBorders>
              <w:top w:val="nil"/>
              <w:left w:val="nil"/>
              <w:bottom w:val="single" w:sz="4" w:space="0" w:color="auto"/>
              <w:right w:val="single" w:sz="4" w:space="0" w:color="auto"/>
            </w:tcBorders>
            <w:shd w:val="clear" w:color="auto" w:fill="auto"/>
            <w:vAlign w:val="bottom"/>
            <w:hideMark/>
          </w:tcPr>
          <w:p w14:paraId="2D210218"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24,26%</w:t>
            </w:r>
          </w:p>
        </w:tc>
      </w:tr>
      <w:tr w:rsidR="00C7716D" w:rsidRPr="00C7716D" w14:paraId="687B1CE5"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285E8A4F"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Lož ulje</w:t>
            </w:r>
          </w:p>
        </w:tc>
        <w:tc>
          <w:tcPr>
            <w:tcW w:w="756" w:type="pct"/>
            <w:tcBorders>
              <w:top w:val="nil"/>
              <w:left w:val="nil"/>
              <w:bottom w:val="single" w:sz="4" w:space="0" w:color="auto"/>
              <w:right w:val="single" w:sz="4" w:space="0" w:color="auto"/>
            </w:tcBorders>
            <w:shd w:val="clear" w:color="auto" w:fill="auto"/>
            <w:noWrap/>
            <w:vAlign w:val="bottom"/>
            <w:hideMark/>
          </w:tcPr>
          <w:p w14:paraId="4DECC99F"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671" w:type="pct"/>
            <w:tcBorders>
              <w:top w:val="nil"/>
              <w:left w:val="nil"/>
              <w:bottom w:val="single" w:sz="4" w:space="0" w:color="auto"/>
              <w:right w:val="single" w:sz="4" w:space="0" w:color="auto"/>
            </w:tcBorders>
            <w:shd w:val="clear" w:color="auto" w:fill="auto"/>
            <w:noWrap/>
            <w:vAlign w:val="bottom"/>
            <w:hideMark/>
          </w:tcPr>
          <w:p w14:paraId="0FFFB933"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17" w:type="pct"/>
            <w:tcBorders>
              <w:top w:val="nil"/>
              <w:left w:val="nil"/>
              <w:bottom w:val="single" w:sz="4" w:space="0" w:color="auto"/>
              <w:right w:val="single" w:sz="4" w:space="0" w:color="auto"/>
            </w:tcBorders>
            <w:shd w:val="clear" w:color="auto" w:fill="auto"/>
            <w:vAlign w:val="bottom"/>
            <w:hideMark/>
          </w:tcPr>
          <w:p w14:paraId="6070843C" w14:textId="4A8B9AC9"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62 </w:t>
            </w:r>
            <w:r w:rsidR="000951E4" w:rsidRPr="00C7716D">
              <w:rPr>
                <w:rFonts w:ascii="Calibri" w:eastAsia="Times New Roman" w:hAnsi="Calibri" w:cs="Times New Roman"/>
                <w:bCs/>
                <w:color w:val="000000"/>
                <w:sz w:val="20"/>
                <w:szCs w:val="20"/>
                <w:lang w:eastAsia="hr-HR"/>
              </w:rPr>
              <w:t>517,27</w:t>
            </w:r>
          </w:p>
        </w:tc>
        <w:tc>
          <w:tcPr>
            <w:tcW w:w="793" w:type="pct"/>
            <w:tcBorders>
              <w:top w:val="nil"/>
              <w:left w:val="nil"/>
              <w:bottom w:val="single" w:sz="4" w:space="0" w:color="auto"/>
              <w:right w:val="single" w:sz="4" w:space="0" w:color="auto"/>
            </w:tcBorders>
            <w:shd w:val="clear" w:color="auto" w:fill="auto"/>
            <w:noWrap/>
            <w:vAlign w:val="bottom"/>
            <w:hideMark/>
          </w:tcPr>
          <w:p w14:paraId="578DE02A" w14:textId="3B622AB8"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62 </w:t>
            </w:r>
            <w:r w:rsidR="000951E4" w:rsidRPr="00C7716D">
              <w:rPr>
                <w:rFonts w:ascii="Calibri" w:eastAsia="Times New Roman" w:hAnsi="Calibri" w:cs="Times New Roman"/>
                <w:bCs/>
                <w:color w:val="000000"/>
                <w:sz w:val="20"/>
                <w:szCs w:val="20"/>
                <w:lang w:eastAsia="hr-HR"/>
              </w:rPr>
              <w:t>517,27</w:t>
            </w:r>
          </w:p>
        </w:tc>
        <w:tc>
          <w:tcPr>
            <w:tcW w:w="714" w:type="pct"/>
            <w:tcBorders>
              <w:top w:val="nil"/>
              <w:left w:val="nil"/>
              <w:bottom w:val="single" w:sz="4" w:space="0" w:color="auto"/>
              <w:right w:val="single" w:sz="4" w:space="0" w:color="auto"/>
            </w:tcBorders>
            <w:shd w:val="clear" w:color="auto" w:fill="auto"/>
            <w:vAlign w:val="bottom"/>
            <w:hideMark/>
          </w:tcPr>
          <w:p w14:paraId="78DD9A73"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2,13%</w:t>
            </w:r>
          </w:p>
        </w:tc>
      </w:tr>
      <w:tr w:rsidR="00C7716D" w:rsidRPr="00C7716D" w14:paraId="40DA25AF"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5610656A"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Prirodni plin</w:t>
            </w:r>
          </w:p>
        </w:tc>
        <w:tc>
          <w:tcPr>
            <w:tcW w:w="756" w:type="pct"/>
            <w:tcBorders>
              <w:top w:val="nil"/>
              <w:left w:val="nil"/>
              <w:bottom w:val="single" w:sz="4" w:space="0" w:color="auto"/>
              <w:right w:val="single" w:sz="4" w:space="0" w:color="auto"/>
            </w:tcBorders>
            <w:shd w:val="clear" w:color="auto" w:fill="auto"/>
            <w:vAlign w:val="bottom"/>
            <w:hideMark/>
          </w:tcPr>
          <w:p w14:paraId="4E0F86BF"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671" w:type="pct"/>
            <w:tcBorders>
              <w:top w:val="nil"/>
              <w:left w:val="nil"/>
              <w:bottom w:val="single" w:sz="4" w:space="0" w:color="auto"/>
              <w:right w:val="single" w:sz="4" w:space="0" w:color="auto"/>
            </w:tcBorders>
            <w:shd w:val="clear" w:color="auto" w:fill="auto"/>
            <w:noWrap/>
            <w:vAlign w:val="bottom"/>
            <w:hideMark/>
          </w:tcPr>
          <w:p w14:paraId="44B1352A"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584,82</w:t>
            </w:r>
          </w:p>
        </w:tc>
        <w:tc>
          <w:tcPr>
            <w:tcW w:w="717" w:type="pct"/>
            <w:tcBorders>
              <w:top w:val="nil"/>
              <w:left w:val="nil"/>
              <w:bottom w:val="single" w:sz="4" w:space="0" w:color="auto"/>
              <w:right w:val="single" w:sz="4" w:space="0" w:color="auto"/>
            </w:tcBorders>
            <w:shd w:val="clear" w:color="auto" w:fill="auto"/>
            <w:vAlign w:val="bottom"/>
            <w:hideMark/>
          </w:tcPr>
          <w:p w14:paraId="5D5155B0" w14:textId="04C63F0C"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614 </w:t>
            </w:r>
            <w:r w:rsidR="000951E4" w:rsidRPr="00C7716D">
              <w:rPr>
                <w:rFonts w:ascii="Calibri" w:eastAsia="Times New Roman" w:hAnsi="Calibri" w:cs="Times New Roman"/>
                <w:bCs/>
                <w:color w:val="000000"/>
                <w:sz w:val="20"/>
                <w:szCs w:val="20"/>
                <w:lang w:eastAsia="hr-HR"/>
              </w:rPr>
              <w:t>390,70</w:t>
            </w:r>
          </w:p>
        </w:tc>
        <w:tc>
          <w:tcPr>
            <w:tcW w:w="793" w:type="pct"/>
            <w:tcBorders>
              <w:top w:val="nil"/>
              <w:left w:val="nil"/>
              <w:bottom w:val="single" w:sz="4" w:space="0" w:color="auto"/>
              <w:right w:val="single" w:sz="4" w:space="0" w:color="auto"/>
            </w:tcBorders>
            <w:shd w:val="clear" w:color="auto" w:fill="auto"/>
            <w:noWrap/>
            <w:vAlign w:val="bottom"/>
            <w:hideMark/>
          </w:tcPr>
          <w:p w14:paraId="14511B14" w14:textId="1B0379C8"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614 </w:t>
            </w:r>
            <w:r w:rsidR="000951E4" w:rsidRPr="00C7716D">
              <w:rPr>
                <w:rFonts w:ascii="Calibri" w:eastAsia="Times New Roman" w:hAnsi="Calibri" w:cs="Times New Roman"/>
                <w:bCs/>
                <w:color w:val="000000"/>
                <w:sz w:val="20"/>
                <w:szCs w:val="20"/>
                <w:lang w:eastAsia="hr-HR"/>
              </w:rPr>
              <w:t>975,52</w:t>
            </w:r>
          </w:p>
        </w:tc>
        <w:tc>
          <w:tcPr>
            <w:tcW w:w="714" w:type="pct"/>
            <w:tcBorders>
              <w:top w:val="nil"/>
              <w:left w:val="nil"/>
              <w:bottom w:val="single" w:sz="4" w:space="0" w:color="auto"/>
              <w:right w:val="single" w:sz="4" w:space="0" w:color="auto"/>
            </w:tcBorders>
            <w:shd w:val="clear" w:color="auto" w:fill="auto"/>
            <w:vAlign w:val="bottom"/>
            <w:hideMark/>
          </w:tcPr>
          <w:p w14:paraId="06889574"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20,99%</w:t>
            </w:r>
          </w:p>
        </w:tc>
      </w:tr>
      <w:tr w:rsidR="00C7716D" w:rsidRPr="00C7716D" w14:paraId="5BDAC1D2"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0BE47A4D"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Toplana</w:t>
            </w:r>
          </w:p>
        </w:tc>
        <w:tc>
          <w:tcPr>
            <w:tcW w:w="756" w:type="pct"/>
            <w:tcBorders>
              <w:top w:val="nil"/>
              <w:left w:val="nil"/>
              <w:bottom w:val="single" w:sz="4" w:space="0" w:color="auto"/>
              <w:right w:val="single" w:sz="4" w:space="0" w:color="auto"/>
            </w:tcBorders>
            <w:shd w:val="clear" w:color="auto" w:fill="auto"/>
            <w:noWrap/>
            <w:vAlign w:val="bottom"/>
            <w:hideMark/>
          </w:tcPr>
          <w:p w14:paraId="573499A3"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671" w:type="pct"/>
            <w:tcBorders>
              <w:top w:val="nil"/>
              <w:left w:val="nil"/>
              <w:bottom w:val="single" w:sz="4" w:space="0" w:color="auto"/>
              <w:right w:val="single" w:sz="4" w:space="0" w:color="auto"/>
            </w:tcBorders>
            <w:shd w:val="clear" w:color="auto" w:fill="auto"/>
            <w:noWrap/>
            <w:vAlign w:val="bottom"/>
            <w:hideMark/>
          </w:tcPr>
          <w:p w14:paraId="17F6EEDD"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17" w:type="pct"/>
            <w:tcBorders>
              <w:top w:val="nil"/>
              <w:left w:val="nil"/>
              <w:bottom w:val="single" w:sz="4" w:space="0" w:color="auto"/>
              <w:right w:val="single" w:sz="4" w:space="0" w:color="auto"/>
            </w:tcBorders>
            <w:shd w:val="clear" w:color="auto" w:fill="auto"/>
            <w:noWrap/>
            <w:vAlign w:val="bottom"/>
            <w:hideMark/>
          </w:tcPr>
          <w:p w14:paraId="7736564B" w14:textId="10062D0B"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444 </w:t>
            </w:r>
            <w:r w:rsidR="000951E4" w:rsidRPr="00C7716D">
              <w:rPr>
                <w:rFonts w:ascii="Calibri" w:eastAsia="Times New Roman" w:hAnsi="Calibri" w:cs="Times New Roman"/>
                <w:bCs/>
                <w:color w:val="000000"/>
                <w:sz w:val="20"/>
                <w:szCs w:val="20"/>
                <w:lang w:eastAsia="hr-HR"/>
              </w:rPr>
              <w:t>668,42</w:t>
            </w:r>
          </w:p>
        </w:tc>
        <w:tc>
          <w:tcPr>
            <w:tcW w:w="793" w:type="pct"/>
            <w:tcBorders>
              <w:top w:val="nil"/>
              <w:left w:val="nil"/>
              <w:bottom w:val="single" w:sz="4" w:space="0" w:color="auto"/>
              <w:right w:val="single" w:sz="4" w:space="0" w:color="auto"/>
            </w:tcBorders>
            <w:shd w:val="clear" w:color="auto" w:fill="auto"/>
            <w:noWrap/>
            <w:vAlign w:val="bottom"/>
            <w:hideMark/>
          </w:tcPr>
          <w:p w14:paraId="7A997C6B" w14:textId="71CDE2F9"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444 </w:t>
            </w:r>
            <w:r w:rsidR="000951E4" w:rsidRPr="00C7716D">
              <w:rPr>
                <w:rFonts w:ascii="Calibri" w:eastAsia="Times New Roman" w:hAnsi="Calibri" w:cs="Times New Roman"/>
                <w:bCs/>
                <w:color w:val="000000"/>
                <w:sz w:val="20"/>
                <w:szCs w:val="20"/>
                <w:lang w:eastAsia="hr-HR"/>
              </w:rPr>
              <w:t>668,42</w:t>
            </w:r>
          </w:p>
        </w:tc>
        <w:tc>
          <w:tcPr>
            <w:tcW w:w="714" w:type="pct"/>
            <w:tcBorders>
              <w:top w:val="nil"/>
              <w:left w:val="nil"/>
              <w:bottom w:val="single" w:sz="4" w:space="0" w:color="auto"/>
              <w:right w:val="single" w:sz="4" w:space="0" w:color="auto"/>
            </w:tcBorders>
            <w:shd w:val="clear" w:color="auto" w:fill="auto"/>
            <w:vAlign w:val="bottom"/>
            <w:hideMark/>
          </w:tcPr>
          <w:p w14:paraId="6D471AC4"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15,17%</w:t>
            </w:r>
          </w:p>
        </w:tc>
      </w:tr>
      <w:tr w:rsidR="00C7716D" w:rsidRPr="00C7716D" w14:paraId="511C61D3"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724A6F6D"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Plinske boce</w:t>
            </w:r>
          </w:p>
        </w:tc>
        <w:tc>
          <w:tcPr>
            <w:tcW w:w="756" w:type="pct"/>
            <w:tcBorders>
              <w:top w:val="nil"/>
              <w:left w:val="nil"/>
              <w:bottom w:val="single" w:sz="4" w:space="0" w:color="auto"/>
              <w:right w:val="single" w:sz="4" w:space="0" w:color="auto"/>
            </w:tcBorders>
            <w:shd w:val="clear" w:color="auto" w:fill="auto"/>
            <w:noWrap/>
            <w:vAlign w:val="bottom"/>
            <w:hideMark/>
          </w:tcPr>
          <w:p w14:paraId="2CA19625"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671" w:type="pct"/>
            <w:tcBorders>
              <w:top w:val="nil"/>
              <w:left w:val="nil"/>
              <w:bottom w:val="single" w:sz="4" w:space="0" w:color="auto"/>
              <w:right w:val="single" w:sz="4" w:space="0" w:color="auto"/>
            </w:tcBorders>
            <w:shd w:val="clear" w:color="auto" w:fill="auto"/>
            <w:noWrap/>
            <w:vAlign w:val="bottom"/>
            <w:hideMark/>
          </w:tcPr>
          <w:p w14:paraId="4E09D27F"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17" w:type="pct"/>
            <w:tcBorders>
              <w:top w:val="nil"/>
              <w:left w:val="nil"/>
              <w:bottom w:val="single" w:sz="4" w:space="0" w:color="auto"/>
              <w:right w:val="single" w:sz="4" w:space="0" w:color="auto"/>
            </w:tcBorders>
            <w:shd w:val="clear" w:color="auto" w:fill="auto"/>
            <w:noWrap/>
            <w:vAlign w:val="bottom"/>
            <w:hideMark/>
          </w:tcPr>
          <w:p w14:paraId="69DD2FCB" w14:textId="5D740E88"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1 </w:t>
            </w:r>
            <w:r w:rsidR="000951E4" w:rsidRPr="00C7716D">
              <w:rPr>
                <w:rFonts w:ascii="Calibri" w:eastAsia="Times New Roman" w:hAnsi="Calibri" w:cs="Times New Roman"/>
                <w:bCs/>
                <w:color w:val="000000"/>
                <w:sz w:val="20"/>
                <w:szCs w:val="20"/>
                <w:lang w:eastAsia="hr-HR"/>
              </w:rPr>
              <w:t>658,73</w:t>
            </w:r>
          </w:p>
        </w:tc>
        <w:tc>
          <w:tcPr>
            <w:tcW w:w="793" w:type="pct"/>
            <w:tcBorders>
              <w:top w:val="nil"/>
              <w:left w:val="nil"/>
              <w:bottom w:val="single" w:sz="4" w:space="0" w:color="auto"/>
              <w:right w:val="single" w:sz="4" w:space="0" w:color="auto"/>
            </w:tcBorders>
            <w:shd w:val="clear" w:color="auto" w:fill="auto"/>
            <w:noWrap/>
            <w:vAlign w:val="bottom"/>
            <w:hideMark/>
          </w:tcPr>
          <w:p w14:paraId="657F80E5" w14:textId="1690023F"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1 </w:t>
            </w:r>
            <w:r w:rsidR="000951E4" w:rsidRPr="00C7716D">
              <w:rPr>
                <w:rFonts w:ascii="Calibri" w:eastAsia="Times New Roman" w:hAnsi="Calibri" w:cs="Times New Roman"/>
                <w:bCs/>
                <w:color w:val="000000"/>
                <w:sz w:val="20"/>
                <w:szCs w:val="20"/>
                <w:lang w:eastAsia="hr-HR"/>
              </w:rPr>
              <w:t>658,73</w:t>
            </w:r>
          </w:p>
        </w:tc>
        <w:tc>
          <w:tcPr>
            <w:tcW w:w="714" w:type="pct"/>
            <w:tcBorders>
              <w:top w:val="nil"/>
              <w:left w:val="nil"/>
              <w:bottom w:val="single" w:sz="4" w:space="0" w:color="auto"/>
              <w:right w:val="single" w:sz="4" w:space="0" w:color="auto"/>
            </w:tcBorders>
            <w:shd w:val="clear" w:color="auto" w:fill="auto"/>
            <w:vAlign w:val="bottom"/>
            <w:hideMark/>
          </w:tcPr>
          <w:p w14:paraId="6780BE96"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0,06%</w:t>
            </w:r>
          </w:p>
        </w:tc>
      </w:tr>
      <w:tr w:rsidR="00C7716D" w:rsidRPr="00C7716D" w14:paraId="5AC35DB0"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48E1B39E"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Mrki ugljen</w:t>
            </w:r>
          </w:p>
        </w:tc>
        <w:tc>
          <w:tcPr>
            <w:tcW w:w="756" w:type="pct"/>
            <w:tcBorders>
              <w:top w:val="nil"/>
              <w:left w:val="nil"/>
              <w:bottom w:val="single" w:sz="4" w:space="0" w:color="auto"/>
              <w:right w:val="single" w:sz="4" w:space="0" w:color="auto"/>
            </w:tcBorders>
            <w:shd w:val="clear" w:color="auto" w:fill="auto"/>
            <w:noWrap/>
            <w:vAlign w:val="bottom"/>
            <w:hideMark/>
          </w:tcPr>
          <w:p w14:paraId="15B497AE"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671" w:type="pct"/>
            <w:tcBorders>
              <w:top w:val="nil"/>
              <w:left w:val="nil"/>
              <w:bottom w:val="single" w:sz="4" w:space="0" w:color="auto"/>
              <w:right w:val="single" w:sz="4" w:space="0" w:color="auto"/>
            </w:tcBorders>
            <w:shd w:val="clear" w:color="auto" w:fill="auto"/>
            <w:noWrap/>
            <w:vAlign w:val="bottom"/>
            <w:hideMark/>
          </w:tcPr>
          <w:p w14:paraId="4C2BBB89"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17" w:type="pct"/>
            <w:tcBorders>
              <w:top w:val="nil"/>
              <w:left w:val="nil"/>
              <w:bottom w:val="single" w:sz="4" w:space="0" w:color="auto"/>
              <w:right w:val="single" w:sz="4" w:space="0" w:color="auto"/>
            </w:tcBorders>
            <w:shd w:val="clear" w:color="auto" w:fill="auto"/>
            <w:noWrap/>
            <w:vAlign w:val="bottom"/>
            <w:hideMark/>
          </w:tcPr>
          <w:p w14:paraId="44C661FE"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657,40</w:t>
            </w:r>
          </w:p>
        </w:tc>
        <w:tc>
          <w:tcPr>
            <w:tcW w:w="793" w:type="pct"/>
            <w:tcBorders>
              <w:top w:val="nil"/>
              <w:left w:val="nil"/>
              <w:bottom w:val="single" w:sz="4" w:space="0" w:color="auto"/>
              <w:right w:val="single" w:sz="4" w:space="0" w:color="auto"/>
            </w:tcBorders>
            <w:shd w:val="clear" w:color="auto" w:fill="auto"/>
            <w:noWrap/>
            <w:vAlign w:val="bottom"/>
            <w:hideMark/>
          </w:tcPr>
          <w:p w14:paraId="09AA2458"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657,40</w:t>
            </w:r>
          </w:p>
        </w:tc>
        <w:tc>
          <w:tcPr>
            <w:tcW w:w="714" w:type="pct"/>
            <w:tcBorders>
              <w:top w:val="nil"/>
              <w:left w:val="nil"/>
              <w:bottom w:val="single" w:sz="4" w:space="0" w:color="auto"/>
              <w:right w:val="single" w:sz="4" w:space="0" w:color="auto"/>
            </w:tcBorders>
            <w:shd w:val="clear" w:color="auto" w:fill="auto"/>
            <w:vAlign w:val="bottom"/>
            <w:hideMark/>
          </w:tcPr>
          <w:p w14:paraId="5F40F9FE"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0,02%</w:t>
            </w:r>
          </w:p>
        </w:tc>
      </w:tr>
      <w:tr w:rsidR="00C7716D" w:rsidRPr="00C7716D" w14:paraId="37A723BF"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13EE0FAB"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Lignit</w:t>
            </w:r>
          </w:p>
        </w:tc>
        <w:tc>
          <w:tcPr>
            <w:tcW w:w="756" w:type="pct"/>
            <w:tcBorders>
              <w:top w:val="nil"/>
              <w:left w:val="nil"/>
              <w:bottom w:val="single" w:sz="4" w:space="0" w:color="auto"/>
              <w:right w:val="single" w:sz="4" w:space="0" w:color="auto"/>
            </w:tcBorders>
            <w:shd w:val="clear" w:color="auto" w:fill="auto"/>
            <w:noWrap/>
            <w:vAlign w:val="bottom"/>
            <w:hideMark/>
          </w:tcPr>
          <w:p w14:paraId="2EDBC7B9"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671" w:type="pct"/>
            <w:tcBorders>
              <w:top w:val="nil"/>
              <w:left w:val="nil"/>
              <w:bottom w:val="single" w:sz="4" w:space="0" w:color="auto"/>
              <w:right w:val="single" w:sz="4" w:space="0" w:color="auto"/>
            </w:tcBorders>
            <w:shd w:val="clear" w:color="auto" w:fill="auto"/>
            <w:noWrap/>
            <w:vAlign w:val="bottom"/>
            <w:hideMark/>
          </w:tcPr>
          <w:p w14:paraId="4089CB50"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17" w:type="pct"/>
            <w:tcBorders>
              <w:top w:val="nil"/>
              <w:left w:val="nil"/>
              <w:bottom w:val="single" w:sz="4" w:space="0" w:color="auto"/>
              <w:right w:val="single" w:sz="4" w:space="0" w:color="auto"/>
            </w:tcBorders>
            <w:shd w:val="clear" w:color="auto" w:fill="auto"/>
            <w:vAlign w:val="bottom"/>
            <w:hideMark/>
          </w:tcPr>
          <w:p w14:paraId="0149A45E"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436,80</w:t>
            </w:r>
          </w:p>
        </w:tc>
        <w:tc>
          <w:tcPr>
            <w:tcW w:w="793" w:type="pct"/>
            <w:tcBorders>
              <w:top w:val="nil"/>
              <w:left w:val="nil"/>
              <w:bottom w:val="single" w:sz="4" w:space="0" w:color="auto"/>
              <w:right w:val="single" w:sz="4" w:space="0" w:color="auto"/>
            </w:tcBorders>
            <w:shd w:val="clear" w:color="auto" w:fill="auto"/>
            <w:noWrap/>
            <w:vAlign w:val="bottom"/>
            <w:hideMark/>
          </w:tcPr>
          <w:p w14:paraId="013357A2"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436,80</w:t>
            </w:r>
          </w:p>
        </w:tc>
        <w:tc>
          <w:tcPr>
            <w:tcW w:w="714" w:type="pct"/>
            <w:tcBorders>
              <w:top w:val="nil"/>
              <w:left w:val="nil"/>
              <w:bottom w:val="single" w:sz="4" w:space="0" w:color="auto"/>
              <w:right w:val="single" w:sz="4" w:space="0" w:color="auto"/>
            </w:tcBorders>
            <w:shd w:val="clear" w:color="auto" w:fill="auto"/>
            <w:vAlign w:val="bottom"/>
            <w:hideMark/>
          </w:tcPr>
          <w:p w14:paraId="29B59F25"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0,01%</w:t>
            </w:r>
          </w:p>
        </w:tc>
      </w:tr>
      <w:tr w:rsidR="00C7716D" w:rsidRPr="00C7716D" w14:paraId="36AFCF49" w14:textId="77777777" w:rsidTr="00C7716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174003E7"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Petrolej</w:t>
            </w:r>
          </w:p>
        </w:tc>
        <w:tc>
          <w:tcPr>
            <w:tcW w:w="756" w:type="pct"/>
            <w:tcBorders>
              <w:top w:val="nil"/>
              <w:left w:val="nil"/>
              <w:bottom w:val="single" w:sz="4" w:space="0" w:color="auto"/>
              <w:right w:val="single" w:sz="4" w:space="0" w:color="auto"/>
            </w:tcBorders>
            <w:shd w:val="clear" w:color="auto" w:fill="auto"/>
            <w:noWrap/>
            <w:vAlign w:val="bottom"/>
            <w:hideMark/>
          </w:tcPr>
          <w:p w14:paraId="0DE266F9"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671" w:type="pct"/>
            <w:tcBorders>
              <w:top w:val="nil"/>
              <w:left w:val="nil"/>
              <w:bottom w:val="single" w:sz="4" w:space="0" w:color="auto"/>
              <w:right w:val="single" w:sz="4" w:space="0" w:color="auto"/>
            </w:tcBorders>
            <w:shd w:val="clear" w:color="auto" w:fill="auto"/>
            <w:noWrap/>
            <w:vAlign w:val="bottom"/>
            <w:hideMark/>
          </w:tcPr>
          <w:p w14:paraId="41951ED2"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 </w:t>
            </w:r>
          </w:p>
        </w:tc>
        <w:tc>
          <w:tcPr>
            <w:tcW w:w="717" w:type="pct"/>
            <w:tcBorders>
              <w:top w:val="nil"/>
              <w:left w:val="nil"/>
              <w:bottom w:val="single" w:sz="4" w:space="0" w:color="auto"/>
              <w:right w:val="single" w:sz="4" w:space="0" w:color="auto"/>
            </w:tcBorders>
            <w:shd w:val="clear" w:color="auto" w:fill="auto"/>
            <w:noWrap/>
            <w:vAlign w:val="bottom"/>
            <w:hideMark/>
          </w:tcPr>
          <w:p w14:paraId="10CC3941"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569,17</w:t>
            </w:r>
          </w:p>
        </w:tc>
        <w:tc>
          <w:tcPr>
            <w:tcW w:w="793" w:type="pct"/>
            <w:tcBorders>
              <w:top w:val="nil"/>
              <w:left w:val="nil"/>
              <w:bottom w:val="single" w:sz="4" w:space="0" w:color="auto"/>
              <w:right w:val="single" w:sz="4" w:space="0" w:color="auto"/>
            </w:tcBorders>
            <w:shd w:val="clear" w:color="auto" w:fill="auto"/>
            <w:noWrap/>
            <w:vAlign w:val="bottom"/>
            <w:hideMark/>
          </w:tcPr>
          <w:p w14:paraId="05BD39B9"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569,17</w:t>
            </w:r>
          </w:p>
        </w:tc>
        <w:tc>
          <w:tcPr>
            <w:tcW w:w="714" w:type="pct"/>
            <w:tcBorders>
              <w:top w:val="nil"/>
              <w:left w:val="nil"/>
              <w:bottom w:val="single" w:sz="4" w:space="0" w:color="auto"/>
              <w:right w:val="single" w:sz="4" w:space="0" w:color="auto"/>
            </w:tcBorders>
            <w:shd w:val="clear" w:color="auto" w:fill="auto"/>
            <w:vAlign w:val="bottom"/>
            <w:hideMark/>
          </w:tcPr>
          <w:p w14:paraId="475C3025"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0,02%</w:t>
            </w:r>
          </w:p>
        </w:tc>
      </w:tr>
      <w:tr w:rsidR="00C7716D" w:rsidRPr="00C7716D" w14:paraId="1C4C398A" w14:textId="77777777" w:rsidTr="00FB28FD">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4C21AAA9" w14:textId="77777777" w:rsidR="000951E4" w:rsidRPr="00C7716D" w:rsidRDefault="000951E4" w:rsidP="000951E4">
            <w:pPr>
              <w:spacing w:after="0" w:line="240" w:lineRule="auto"/>
              <w:rPr>
                <w:rFonts w:ascii="Calibri" w:eastAsia="Times New Roman" w:hAnsi="Calibri" w:cs="Times New Roman"/>
                <w:color w:val="000000"/>
                <w:sz w:val="20"/>
                <w:szCs w:val="20"/>
                <w:lang w:eastAsia="hr-HR"/>
              </w:rPr>
            </w:pPr>
            <w:r w:rsidRPr="00C7716D">
              <w:rPr>
                <w:rFonts w:ascii="Calibri" w:eastAsia="Times New Roman" w:hAnsi="Calibri" w:cs="Times New Roman"/>
                <w:color w:val="000000"/>
                <w:sz w:val="20"/>
                <w:szCs w:val="20"/>
                <w:lang w:eastAsia="hr-HR"/>
              </w:rPr>
              <w:t>UKUPNO</w:t>
            </w:r>
          </w:p>
        </w:tc>
        <w:tc>
          <w:tcPr>
            <w:tcW w:w="756" w:type="pct"/>
            <w:tcBorders>
              <w:top w:val="nil"/>
              <w:left w:val="nil"/>
              <w:bottom w:val="single" w:sz="4" w:space="0" w:color="auto"/>
              <w:right w:val="single" w:sz="4" w:space="0" w:color="auto"/>
            </w:tcBorders>
            <w:shd w:val="clear" w:color="auto" w:fill="D9D9D9" w:themeFill="background1" w:themeFillShade="D9"/>
            <w:noWrap/>
            <w:vAlign w:val="bottom"/>
            <w:hideMark/>
          </w:tcPr>
          <w:p w14:paraId="429CF334" w14:textId="0C13B8C3"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1 100 </w:t>
            </w:r>
            <w:r w:rsidR="000951E4" w:rsidRPr="00C7716D">
              <w:rPr>
                <w:rFonts w:ascii="Calibri" w:eastAsia="Times New Roman" w:hAnsi="Calibri" w:cs="Times New Roman"/>
                <w:bCs/>
                <w:color w:val="000000"/>
                <w:sz w:val="20"/>
                <w:szCs w:val="20"/>
                <w:lang w:eastAsia="hr-HR"/>
              </w:rPr>
              <w:t>954,94</w:t>
            </w:r>
          </w:p>
        </w:tc>
        <w:tc>
          <w:tcPr>
            <w:tcW w:w="671" w:type="pct"/>
            <w:tcBorders>
              <w:top w:val="nil"/>
              <w:left w:val="nil"/>
              <w:bottom w:val="single" w:sz="4" w:space="0" w:color="auto"/>
              <w:right w:val="single" w:sz="4" w:space="0" w:color="auto"/>
            </w:tcBorders>
            <w:shd w:val="clear" w:color="auto" w:fill="D9D9D9" w:themeFill="background1" w:themeFillShade="D9"/>
            <w:noWrap/>
            <w:vAlign w:val="bottom"/>
            <w:hideMark/>
          </w:tcPr>
          <w:p w14:paraId="1A2AFB9E" w14:textId="4526EC1F"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27 </w:t>
            </w:r>
            <w:r w:rsidR="000951E4" w:rsidRPr="00C7716D">
              <w:rPr>
                <w:rFonts w:ascii="Calibri" w:eastAsia="Times New Roman" w:hAnsi="Calibri" w:cs="Times New Roman"/>
                <w:bCs/>
                <w:color w:val="000000"/>
                <w:sz w:val="20"/>
                <w:szCs w:val="20"/>
                <w:lang w:eastAsia="hr-HR"/>
              </w:rPr>
              <w:t>411,84</w:t>
            </w:r>
          </w:p>
        </w:tc>
        <w:tc>
          <w:tcPr>
            <w:tcW w:w="717" w:type="pct"/>
            <w:tcBorders>
              <w:top w:val="nil"/>
              <w:left w:val="nil"/>
              <w:bottom w:val="single" w:sz="4" w:space="0" w:color="auto"/>
              <w:right w:val="single" w:sz="4" w:space="0" w:color="auto"/>
            </w:tcBorders>
            <w:shd w:val="clear" w:color="auto" w:fill="D9D9D9" w:themeFill="background1" w:themeFillShade="D9"/>
            <w:noWrap/>
            <w:vAlign w:val="bottom"/>
            <w:hideMark/>
          </w:tcPr>
          <w:p w14:paraId="7E039B2F" w14:textId="52F544D3"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1 801 </w:t>
            </w:r>
            <w:r w:rsidR="000951E4" w:rsidRPr="00C7716D">
              <w:rPr>
                <w:rFonts w:ascii="Calibri" w:eastAsia="Times New Roman" w:hAnsi="Calibri" w:cs="Times New Roman"/>
                <w:bCs/>
                <w:color w:val="000000"/>
                <w:sz w:val="20"/>
                <w:szCs w:val="20"/>
                <w:lang w:eastAsia="hr-HR"/>
              </w:rPr>
              <w:t>942,15</w:t>
            </w:r>
          </w:p>
        </w:tc>
        <w:tc>
          <w:tcPr>
            <w:tcW w:w="793" w:type="pct"/>
            <w:tcBorders>
              <w:top w:val="nil"/>
              <w:left w:val="nil"/>
              <w:bottom w:val="single" w:sz="4" w:space="0" w:color="auto"/>
              <w:right w:val="single" w:sz="4" w:space="0" w:color="auto"/>
            </w:tcBorders>
            <w:shd w:val="clear" w:color="auto" w:fill="D9D9D9" w:themeFill="background1" w:themeFillShade="D9"/>
            <w:noWrap/>
            <w:vAlign w:val="bottom"/>
            <w:hideMark/>
          </w:tcPr>
          <w:p w14:paraId="6B656284" w14:textId="2816C7FD" w:rsidR="000951E4" w:rsidRPr="00C7716D" w:rsidRDefault="007D5D38" w:rsidP="000951E4">
            <w:pPr>
              <w:spacing w:after="0" w:line="240" w:lineRule="auto"/>
              <w:jc w:val="center"/>
              <w:rPr>
                <w:rFonts w:ascii="Calibri" w:eastAsia="Times New Roman" w:hAnsi="Calibri" w:cs="Times New Roman"/>
                <w:bCs/>
                <w:color w:val="000000"/>
                <w:sz w:val="20"/>
                <w:szCs w:val="20"/>
                <w:lang w:eastAsia="hr-HR"/>
              </w:rPr>
            </w:pPr>
            <w:r>
              <w:rPr>
                <w:rFonts w:ascii="Calibri" w:eastAsia="Times New Roman" w:hAnsi="Calibri" w:cs="Times New Roman"/>
                <w:bCs/>
                <w:color w:val="000000"/>
                <w:sz w:val="20"/>
                <w:szCs w:val="20"/>
                <w:lang w:eastAsia="hr-HR"/>
              </w:rPr>
              <w:t xml:space="preserve">2 930 </w:t>
            </w:r>
            <w:r w:rsidR="000951E4" w:rsidRPr="00C7716D">
              <w:rPr>
                <w:rFonts w:ascii="Calibri" w:eastAsia="Times New Roman" w:hAnsi="Calibri" w:cs="Times New Roman"/>
                <w:bCs/>
                <w:color w:val="000000"/>
                <w:sz w:val="20"/>
                <w:szCs w:val="20"/>
                <w:lang w:eastAsia="hr-HR"/>
              </w:rPr>
              <w:t>308,93</w:t>
            </w:r>
          </w:p>
        </w:tc>
        <w:tc>
          <w:tcPr>
            <w:tcW w:w="714" w:type="pct"/>
            <w:tcBorders>
              <w:top w:val="nil"/>
              <w:left w:val="nil"/>
              <w:bottom w:val="single" w:sz="4" w:space="0" w:color="auto"/>
              <w:right w:val="single" w:sz="4" w:space="0" w:color="auto"/>
            </w:tcBorders>
            <w:shd w:val="clear" w:color="auto" w:fill="D9D9D9" w:themeFill="background1" w:themeFillShade="D9"/>
            <w:vAlign w:val="bottom"/>
            <w:hideMark/>
          </w:tcPr>
          <w:p w14:paraId="2B815951"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100,00%</w:t>
            </w:r>
          </w:p>
        </w:tc>
      </w:tr>
      <w:tr w:rsidR="00C7716D" w:rsidRPr="00C7716D" w14:paraId="03F9A0D8" w14:textId="77777777" w:rsidTr="009133A1">
        <w:trPr>
          <w:trHeight w:val="240"/>
        </w:trPr>
        <w:tc>
          <w:tcPr>
            <w:tcW w:w="1349" w:type="pct"/>
            <w:tcBorders>
              <w:top w:val="nil"/>
              <w:left w:val="single" w:sz="4" w:space="0" w:color="auto"/>
              <w:bottom w:val="single" w:sz="4" w:space="0" w:color="auto"/>
              <w:right w:val="single" w:sz="4" w:space="0" w:color="auto"/>
            </w:tcBorders>
            <w:shd w:val="clear" w:color="000000" w:fill="D9D9D9"/>
            <w:noWrap/>
            <w:vAlign w:val="bottom"/>
            <w:hideMark/>
          </w:tcPr>
          <w:p w14:paraId="3348370E" w14:textId="77777777" w:rsidR="000951E4" w:rsidRPr="00C7716D" w:rsidRDefault="000951E4" w:rsidP="000951E4">
            <w:pPr>
              <w:spacing w:after="0" w:line="240" w:lineRule="auto"/>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w:t>
            </w:r>
          </w:p>
        </w:tc>
        <w:tc>
          <w:tcPr>
            <w:tcW w:w="756" w:type="pct"/>
            <w:tcBorders>
              <w:top w:val="nil"/>
              <w:left w:val="nil"/>
              <w:bottom w:val="single" w:sz="4" w:space="0" w:color="auto"/>
              <w:right w:val="single" w:sz="4" w:space="0" w:color="auto"/>
            </w:tcBorders>
            <w:shd w:val="clear" w:color="auto" w:fill="D9D9D9" w:themeFill="background1" w:themeFillShade="D9"/>
            <w:noWrap/>
            <w:vAlign w:val="bottom"/>
            <w:hideMark/>
          </w:tcPr>
          <w:p w14:paraId="7474D858"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37,57%</w:t>
            </w:r>
          </w:p>
        </w:tc>
        <w:tc>
          <w:tcPr>
            <w:tcW w:w="671" w:type="pct"/>
            <w:tcBorders>
              <w:top w:val="nil"/>
              <w:left w:val="nil"/>
              <w:bottom w:val="single" w:sz="4" w:space="0" w:color="auto"/>
              <w:right w:val="single" w:sz="4" w:space="0" w:color="auto"/>
            </w:tcBorders>
            <w:shd w:val="clear" w:color="auto" w:fill="D9D9D9" w:themeFill="background1" w:themeFillShade="D9"/>
            <w:noWrap/>
            <w:vAlign w:val="bottom"/>
            <w:hideMark/>
          </w:tcPr>
          <w:p w14:paraId="419C9404"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0,94%</w:t>
            </w:r>
          </w:p>
        </w:tc>
        <w:tc>
          <w:tcPr>
            <w:tcW w:w="717" w:type="pct"/>
            <w:tcBorders>
              <w:top w:val="nil"/>
              <w:left w:val="nil"/>
              <w:bottom w:val="single" w:sz="4" w:space="0" w:color="auto"/>
              <w:right w:val="single" w:sz="4" w:space="0" w:color="auto"/>
            </w:tcBorders>
            <w:shd w:val="clear" w:color="auto" w:fill="D9D9D9" w:themeFill="background1" w:themeFillShade="D9"/>
            <w:noWrap/>
            <w:vAlign w:val="bottom"/>
            <w:hideMark/>
          </w:tcPr>
          <w:p w14:paraId="2EE73499"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61,49%</w:t>
            </w:r>
          </w:p>
        </w:tc>
        <w:tc>
          <w:tcPr>
            <w:tcW w:w="793" w:type="pct"/>
            <w:tcBorders>
              <w:top w:val="nil"/>
              <w:left w:val="nil"/>
              <w:bottom w:val="single" w:sz="4" w:space="0" w:color="auto"/>
              <w:right w:val="single" w:sz="4" w:space="0" w:color="auto"/>
            </w:tcBorders>
            <w:shd w:val="clear" w:color="auto" w:fill="D9D9D9" w:themeFill="background1" w:themeFillShade="D9"/>
            <w:noWrap/>
            <w:vAlign w:val="bottom"/>
            <w:hideMark/>
          </w:tcPr>
          <w:p w14:paraId="76D98E92" w14:textId="60E0657B" w:rsidR="000951E4" w:rsidRPr="00C7716D" w:rsidRDefault="009133A1" w:rsidP="000951E4">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100%</w:t>
            </w:r>
            <w:r w:rsidR="000951E4" w:rsidRPr="00C7716D">
              <w:rPr>
                <w:rFonts w:ascii="Calibri" w:eastAsia="Times New Roman" w:hAnsi="Calibri" w:cs="Times New Roman"/>
                <w:color w:val="000000"/>
                <w:sz w:val="20"/>
                <w:szCs w:val="20"/>
                <w:lang w:eastAsia="hr-HR"/>
              </w:rPr>
              <w:t> </w:t>
            </w:r>
          </w:p>
        </w:tc>
        <w:tc>
          <w:tcPr>
            <w:tcW w:w="714" w:type="pct"/>
            <w:tcBorders>
              <w:top w:val="nil"/>
              <w:left w:val="nil"/>
              <w:bottom w:val="single" w:sz="4" w:space="0" w:color="auto"/>
              <w:right w:val="single" w:sz="4" w:space="0" w:color="auto"/>
            </w:tcBorders>
            <w:shd w:val="clear" w:color="auto" w:fill="D9D9D9" w:themeFill="background1" w:themeFillShade="D9"/>
            <w:vAlign w:val="bottom"/>
            <w:hideMark/>
          </w:tcPr>
          <w:p w14:paraId="133F71B3" w14:textId="77777777" w:rsidR="000951E4" w:rsidRPr="00C7716D" w:rsidRDefault="000951E4" w:rsidP="000951E4">
            <w:pPr>
              <w:spacing w:after="0" w:line="240" w:lineRule="auto"/>
              <w:jc w:val="center"/>
              <w:rPr>
                <w:rFonts w:ascii="Calibri" w:eastAsia="Times New Roman" w:hAnsi="Calibri" w:cs="Times New Roman"/>
                <w:bCs/>
                <w:color w:val="000000"/>
                <w:sz w:val="20"/>
                <w:szCs w:val="20"/>
                <w:lang w:eastAsia="hr-HR"/>
              </w:rPr>
            </w:pPr>
            <w:r w:rsidRPr="00C7716D">
              <w:rPr>
                <w:rFonts w:ascii="Calibri" w:eastAsia="Times New Roman" w:hAnsi="Calibri" w:cs="Times New Roman"/>
                <w:bCs/>
                <w:color w:val="000000"/>
                <w:sz w:val="20"/>
                <w:szCs w:val="20"/>
                <w:lang w:eastAsia="hr-HR"/>
              </w:rPr>
              <w:t>100,00%</w:t>
            </w:r>
          </w:p>
        </w:tc>
      </w:tr>
    </w:tbl>
    <w:p w14:paraId="0AE44346" w14:textId="48806FC2" w:rsidR="00061B04" w:rsidRPr="00241AEB" w:rsidRDefault="000C4111" w:rsidP="00E92750">
      <w:pPr>
        <w:spacing w:before="240" w:line="240" w:lineRule="auto"/>
        <w:jc w:val="both"/>
      </w:pPr>
      <w:r w:rsidRPr="00241AEB">
        <w:t>Ukup</w:t>
      </w:r>
      <w:r w:rsidR="007E54C5" w:rsidRPr="00241AEB">
        <w:t>an</w:t>
      </w:r>
      <w:r w:rsidRPr="00241AEB">
        <w:t xml:space="preserve"> Kontrolni inventar emisija CO</w:t>
      </w:r>
      <w:r w:rsidRPr="00241AEB">
        <w:rPr>
          <w:vertAlign w:val="subscript"/>
        </w:rPr>
        <w:t>2</w:t>
      </w:r>
      <w:r w:rsidRPr="00241AEB">
        <w:t xml:space="preserve"> u 2015. godini iznosio je </w:t>
      </w:r>
      <w:r w:rsidR="000951E4">
        <w:rPr>
          <w:b/>
        </w:rPr>
        <w:t xml:space="preserve">2 930 </w:t>
      </w:r>
      <w:r w:rsidRPr="00241AEB">
        <w:rPr>
          <w:b/>
        </w:rPr>
        <w:t>kt CO</w:t>
      </w:r>
      <w:r w:rsidRPr="00241AEB">
        <w:rPr>
          <w:b/>
          <w:vertAlign w:val="subscript"/>
        </w:rPr>
        <w:t>2</w:t>
      </w:r>
      <w:r w:rsidRPr="00241AEB">
        <w:t xml:space="preserve"> te je za </w:t>
      </w:r>
      <w:r w:rsidR="007D7453">
        <w:t xml:space="preserve">oko </w:t>
      </w:r>
      <w:r w:rsidR="007D7453">
        <w:rPr>
          <w:b/>
        </w:rPr>
        <w:t>5</w:t>
      </w:r>
      <w:r w:rsidRPr="00241AEB">
        <w:rPr>
          <w:b/>
        </w:rPr>
        <w:t>%</w:t>
      </w:r>
      <w:r w:rsidRPr="00241AEB">
        <w:t xml:space="preserve"> veći u odnosu na Referentni inventar emisija CO</w:t>
      </w:r>
      <w:r w:rsidRPr="00241AEB">
        <w:rPr>
          <w:vertAlign w:val="subscript"/>
        </w:rPr>
        <w:t>2</w:t>
      </w:r>
      <w:r w:rsidRPr="00241AEB">
        <w:t xml:space="preserve"> izrađen za 2008. </w:t>
      </w:r>
      <w:r w:rsidR="00061B04" w:rsidRPr="00241AEB">
        <w:t>g</w:t>
      </w:r>
      <w:r w:rsidRPr="00241AEB">
        <w:t>odinu</w:t>
      </w:r>
      <w:r w:rsidR="00061B04" w:rsidRPr="00241AEB">
        <w:t xml:space="preserve">, </w:t>
      </w:r>
      <w:r w:rsidR="00061B04" w:rsidRPr="00241AEB">
        <w:rPr>
          <w:rFonts w:ascii="Calibri" w:eastAsia="Calibri" w:hAnsi="Calibri" w:cs="Times New Roman"/>
          <w:b/>
        </w:rPr>
        <w:fldChar w:fldCharType="begin"/>
      </w:r>
      <w:r w:rsidR="00061B04" w:rsidRPr="00241AEB">
        <w:rPr>
          <w:rFonts w:ascii="Calibri" w:eastAsia="Calibri" w:hAnsi="Calibri" w:cs="Times New Roman"/>
          <w:b/>
        </w:rPr>
        <w:instrText xml:space="preserve"> REF _Ref466987161 \h  \* MERGEFORMAT </w:instrText>
      </w:r>
      <w:r w:rsidR="00061B04" w:rsidRPr="00241AEB">
        <w:rPr>
          <w:rFonts w:ascii="Calibri" w:eastAsia="Calibri" w:hAnsi="Calibri" w:cs="Times New Roman"/>
          <w:b/>
        </w:rPr>
      </w:r>
      <w:r w:rsidR="00061B04" w:rsidRPr="00241AEB">
        <w:rPr>
          <w:rFonts w:ascii="Calibri" w:eastAsia="Calibri" w:hAnsi="Calibri" w:cs="Times New Roman"/>
          <w:b/>
        </w:rPr>
        <w:fldChar w:fldCharType="separate"/>
      </w:r>
      <w:r w:rsidR="009C319B" w:rsidRPr="009C319B">
        <w:rPr>
          <w:b/>
          <w:bCs/>
        </w:rPr>
        <w:t xml:space="preserve">Slika </w:t>
      </w:r>
      <w:r w:rsidR="009C319B" w:rsidRPr="009C319B">
        <w:rPr>
          <w:b/>
          <w:bCs/>
          <w:noProof/>
        </w:rPr>
        <w:t>8.1</w:t>
      </w:r>
      <w:r w:rsidR="00061B04" w:rsidRPr="00241AEB">
        <w:rPr>
          <w:rFonts w:ascii="Calibri" w:eastAsia="Calibri" w:hAnsi="Calibri" w:cs="Times New Roman"/>
          <w:b/>
        </w:rPr>
        <w:fldChar w:fldCharType="end"/>
      </w:r>
      <w:r w:rsidR="00061B04" w:rsidRPr="00241AEB">
        <w:rPr>
          <w:rFonts w:ascii="Calibri" w:eastAsia="Calibri" w:hAnsi="Calibri" w:cs="Times New Roman"/>
        </w:rPr>
        <w:t xml:space="preserve"> i </w:t>
      </w:r>
      <w:r w:rsidR="00061B04" w:rsidRPr="00241AEB">
        <w:rPr>
          <w:rFonts w:ascii="Calibri" w:eastAsia="Calibri" w:hAnsi="Calibri" w:cs="Times New Roman"/>
          <w:b/>
        </w:rPr>
        <w:fldChar w:fldCharType="begin"/>
      </w:r>
      <w:r w:rsidR="00061B04" w:rsidRPr="00241AEB">
        <w:rPr>
          <w:rFonts w:ascii="Calibri" w:eastAsia="Calibri" w:hAnsi="Calibri" w:cs="Times New Roman"/>
          <w:b/>
        </w:rPr>
        <w:instrText xml:space="preserve"> REF _Ref466987178 \h  \* MERGEFORMAT </w:instrText>
      </w:r>
      <w:r w:rsidR="00061B04" w:rsidRPr="00241AEB">
        <w:rPr>
          <w:rFonts w:ascii="Calibri" w:eastAsia="Calibri" w:hAnsi="Calibri" w:cs="Times New Roman"/>
          <w:b/>
        </w:rPr>
      </w:r>
      <w:r w:rsidR="00061B04" w:rsidRPr="00241AEB">
        <w:rPr>
          <w:rFonts w:ascii="Calibri" w:eastAsia="Calibri" w:hAnsi="Calibri" w:cs="Times New Roman"/>
          <w:b/>
        </w:rPr>
        <w:fldChar w:fldCharType="separate"/>
      </w:r>
      <w:r w:rsidR="009C319B" w:rsidRPr="009C319B">
        <w:rPr>
          <w:b/>
          <w:bCs/>
        </w:rPr>
        <w:t xml:space="preserve">Slika </w:t>
      </w:r>
      <w:r w:rsidR="009C319B" w:rsidRPr="009C319B">
        <w:rPr>
          <w:b/>
          <w:bCs/>
          <w:noProof/>
        </w:rPr>
        <w:t>8.2</w:t>
      </w:r>
      <w:r w:rsidR="00061B04" w:rsidRPr="00241AEB">
        <w:rPr>
          <w:rFonts w:ascii="Calibri" w:eastAsia="Calibri" w:hAnsi="Calibri" w:cs="Times New Roman"/>
          <w:b/>
        </w:rPr>
        <w:fldChar w:fldCharType="end"/>
      </w:r>
      <w:r w:rsidR="00061B04" w:rsidRPr="00241AEB">
        <w:rPr>
          <w:rFonts w:ascii="Calibri" w:eastAsia="Calibri" w:hAnsi="Calibri" w:cs="Times New Roman"/>
        </w:rPr>
        <w:t xml:space="preserve"> u nastavku.</w:t>
      </w:r>
    </w:p>
    <w:p w14:paraId="71F59983" w14:textId="77777777" w:rsidR="00061B04" w:rsidRPr="00241AEB" w:rsidRDefault="00061B04" w:rsidP="00E92750">
      <w:pPr>
        <w:spacing w:after="0" w:line="240" w:lineRule="auto"/>
        <w:jc w:val="center"/>
        <w:rPr>
          <w:noProof/>
          <w:lang w:eastAsia="hr-HR"/>
        </w:rPr>
      </w:pPr>
    </w:p>
    <w:p w14:paraId="760F228F" w14:textId="77777777" w:rsidR="00061B04" w:rsidRPr="00241AEB" w:rsidRDefault="00061B04" w:rsidP="00E92750">
      <w:pPr>
        <w:spacing w:after="0" w:line="240" w:lineRule="auto"/>
        <w:jc w:val="center"/>
        <w:rPr>
          <w:noProof/>
          <w:lang w:eastAsia="hr-HR"/>
        </w:rPr>
      </w:pPr>
    </w:p>
    <w:p w14:paraId="3DADBE69" w14:textId="77777777" w:rsidR="00061B04" w:rsidRPr="00241AEB" w:rsidRDefault="00061B04" w:rsidP="00E92750">
      <w:pPr>
        <w:spacing w:after="0" w:line="240" w:lineRule="auto"/>
        <w:jc w:val="center"/>
        <w:rPr>
          <w:noProof/>
          <w:lang w:eastAsia="hr-HR"/>
        </w:rPr>
      </w:pPr>
      <w:r w:rsidRPr="00241AEB">
        <w:rPr>
          <w:noProof/>
          <w:lang w:eastAsia="hr-HR"/>
        </w:rPr>
        <w:lastRenderedPageBreak/>
        <w:drawing>
          <wp:inline distT="0" distB="0" distL="0" distR="0" wp14:anchorId="28659895" wp14:editId="24CF36C5">
            <wp:extent cx="5641676" cy="3588588"/>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D6EA2BA" w14:textId="77777777" w:rsidR="00061B04" w:rsidRPr="00882DAD" w:rsidRDefault="00061B04" w:rsidP="00E92750">
      <w:pPr>
        <w:pStyle w:val="Caption"/>
        <w:spacing w:line="240" w:lineRule="auto"/>
        <w:jc w:val="center"/>
        <w:rPr>
          <w:sz w:val="22"/>
          <w:szCs w:val="22"/>
        </w:rPr>
      </w:pPr>
      <w:bookmarkStart w:id="381" w:name="_Ref466987161"/>
      <w:bookmarkStart w:id="382" w:name="_Toc468277478"/>
      <w:r w:rsidRPr="00882DAD">
        <w:rPr>
          <w:bCs w:val="0"/>
          <w:sz w:val="22"/>
          <w:szCs w:val="22"/>
        </w:rPr>
        <w:t xml:space="preserve">Slika </w:t>
      </w:r>
      <w:r w:rsidRPr="00882DAD">
        <w:rPr>
          <w:bCs w:val="0"/>
          <w:sz w:val="22"/>
          <w:szCs w:val="22"/>
        </w:rPr>
        <w:fldChar w:fldCharType="begin"/>
      </w:r>
      <w:r w:rsidRPr="00882DAD">
        <w:rPr>
          <w:bCs w:val="0"/>
          <w:sz w:val="22"/>
          <w:szCs w:val="22"/>
        </w:rPr>
        <w:instrText xml:space="preserve"> STYLEREF 1 \s </w:instrText>
      </w:r>
      <w:r w:rsidRPr="00882DAD">
        <w:rPr>
          <w:bCs w:val="0"/>
          <w:sz w:val="22"/>
          <w:szCs w:val="22"/>
        </w:rPr>
        <w:fldChar w:fldCharType="separate"/>
      </w:r>
      <w:r w:rsidR="009C319B" w:rsidRPr="00882DAD">
        <w:rPr>
          <w:bCs w:val="0"/>
          <w:noProof/>
          <w:sz w:val="22"/>
          <w:szCs w:val="22"/>
        </w:rPr>
        <w:t>8</w:t>
      </w:r>
      <w:r w:rsidRPr="00882DAD">
        <w:rPr>
          <w:bCs w:val="0"/>
          <w:sz w:val="22"/>
          <w:szCs w:val="22"/>
        </w:rPr>
        <w:fldChar w:fldCharType="end"/>
      </w:r>
      <w:r w:rsidRPr="00882DAD">
        <w:rPr>
          <w:bCs w:val="0"/>
          <w:sz w:val="22"/>
          <w:szCs w:val="22"/>
        </w:rPr>
        <w:t>.</w:t>
      </w:r>
      <w:r w:rsidRPr="00882DAD">
        <w:rPr>
          <w:bCs w:val="0"/>
          <w:sz w:val="22"/>
          <w:szCs w:val="22"/>
        </w:rPr>
        <w:fldChar w:fldCharType="begin"/>
      </w:r>
      <w:r w:rsidRPr="00882DAD">
        <w:rPr>
          <w:bCs w:val="0"/>
          <w:sz w:val="22"/>
          <w:szCs w:val="22"/>
        </w:rPr>
        <w:instrText xml:space="preserve"> SEQ Slika \* ARABIC \s 1 </w:instrText>
      </w:r>
      <w:r w:rsidRPr="00882DAD">
        <w:rPr>
          <w:bCs w:val="0"/>
          <w:sz w:val="22"/>
          <w:szCs w:val="22"/>
        </w:rPr>
        <w:fldChar w:fldCharType="separate"/>
      </w:r>
      <w:r w:rsidR="009C319B" w:rsidRPr="00882DAD">
        <w:rPr>
          <w:bCs w:val="0"/>
          <w:noProof/>
          <w:sz w:val="22"/>
          <w:szCs w:val="22"/>
        </w:rPr>
        <w:t>1</w:t>
      </w:r>
      <w:r w:rsidRPr="00882DAD">
        <w:rPr>
          <w:bCs w:val="0"/>
          <w:sz w:val="22"/>
          <w:szCs w:val="22"/>
        </w:rPr>
        <w:fldChar w:fldCharType="end"/>
      </w:r>
      <w:bookmarkEnd w:id="381"/>
      <w:r w:rsidRPr="00882DAD">
        <w:rPr>
          <w:b w:val="0"/>
          <w:bCs w:val="0"/>
          <w:sz w:val="22"/>
          <w:szCs w:val="22"/>
        </w:rPr>
        <w:t xml:space="preserve"> </w:t>
      </w:r>
      <w:r w:rsidRPr="00882DAD">
        <w:rPr>
          <w:b w:val="0"/>
          <w:sz w:val="22"/>
          <w:szCs w:val="22"/>
        </w:rPr>
        <w:t>Referentni inventar emisije CO</w:t>
      </w:r>
      <w:r w:rsidRPr="00882DAD">
        <w:rPr>
          <w:b w:val="0"/>
          <w:sz w:val="22"/>
          <w:szCs w:val="22"/>
          <w:vertAlign w:val="subscript"/>
        </w:rPr>
        <w:t>2</w:t>
      </w:r>
      <w:r w:rsidRPr="00882DAD">
        <w:rPr>
          <w:b w:val="0"/>
          <w:sz w:val="22"/>
          <w:szCs w:val="22"/>
        </w:rPr>
        <w:t xml:space="preserve"> po sektorima i energentima, 2008. godina</w:t>
      </w:r>
      <w:bookmarkEnd w:id="382"/>
    </w:p>
    <w:p w14:paraId="7A35C508" w14:textId="1EFB119F" w:rsidR="00A40989" w:rsidRPr="00241AEB" w:rsidRDefault="007E66AB" w:rsidP="00E92750">
      <w:pPr>
        <w:spacing w:after="0" w:line="240" w:lineRule="auto"/>
        <w:jc w:val="center"/>
        <w:rPr>
          <w:noProof/>
          <w:lang w:eastAsia="hr-HR"/>
        </w:rPr>
      </w:pPr>
      <w:r w:rsidRPr="00241AEB">
        <w:rPr>
          <w:noProof/>
          <w:lang w:eastAsia="hr-HR"/>
        </w:rPr>
        <w:drawing>
          <wp:inline distT="0" distB="0" distL="0" distR="0" wp14:anchorId="20DFB969" wp14:editId="71A367BA">
            <wp:extent cx="5477773" cy="3519577"/>
            <wp:effectExtent l="0" t="0" r="8890" b="508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C32CA75" w14:textId="77777777" w:rsidR="00061B04" w:rsidRPr="007F1F45" w:rsidRDefault="001F3725" w:rsidP="00E92750">
      <w:pPr>
        <w:pStyle w:val="Caption"/>
        <w:spacing w:line="240" w:lineRule="auto"/>
        <w:jc w:val="center"/>
        <w:rPr>
          <w:sz w:val="22"/>
          <w:szCs w:val="22"/>
        </w:rPr>
      </w:pPr>
      <w:bookmarkStart w:id="383" w:name="_Ref466987178"/>
      <w:bookmarkStart w:id="384" w:name="_Toc468277479"/>
      <w:r w:rsidRPr="007F1F45">
        <w:rPr>
          <w:bCs w:val="0"/>
          <w:sz w:val="22"/>
          <w:szCs w:val="22"/>
        </w:rPr>
        <w:t xml:space="preserve">Slika </w:t>
      </w:r>
      <w:r w:rsidRPr="007F1F45">
        <w:rPr>
          <w:bCs w:val="0"/>
          <w:sz w:val="22"/>
          <w:szCs w:val="22"/>
        </w:rPr>
        <w:fldChar w:fldCharType="begin"/>
      </w:r>
      <w:r w:rsidRPr="007F1F45">
        <w:rPr>
          <w:bCs w:val="0"/>
          <w:sz w:val="22"/>
          <w:szCs w:val="22"/>
        </w:rPr>
        <w:instrText xml:space="preserve"> STYLEREF 1 \s </w:instrText>
      </w:r>
      <w:r w:rsidRPr="007F1F45">
        <w:rPr>
          <w:bCs w:val="0"/>
          <w:sz w:val="22"/>
          <w:szCs w:val="22"/>
        </w:rPr>
        <w:fldChar w:fldCharType="separate"/>
      </w:r>
      <w:r w:rsidR="009C319B">
        <w:rPr>
          <w:bCs w:val="0"/>
          <w:noProof/>
          <w:sz w:val="22"/>
          <w:szCs w:val="22"/>
        </w:rPr>
        <w:t>8</w:t>
      </w:r>
      <w:r w:rsidRPr="007F1F45">
        <w:rPr>
          <w:bCs w:val="0"/>
          <w:sz w:val="22"/>
          <w:szCs w:val="22"/>
        </w:rPr>
        <w:fldChar w:fldCharType="end"/>
      </w:r>
      <w:r w:rsidRPr="007F1F45">
        <w:rPr>
          <w:bCs w:val="0"/>
          <w:sz w:val="22"/>
          <w:szCs w:val="22"/>
        </w:rPr>
        <w:t>.</w:t>
      </w:r>
      <w:r w:rsidRPr="007F1F45">
        <w:rPr>
          <w:bCs w:val="0"/>
          <w:sz w:val="22"/>
          <w:szCs w:val="22"/>
        </w:rPr>
        <w:fldChar w:fldCharType="begin"/>
      </w:r>
      <w:r w:rsidRPr="007F1F45">
        <w:rPr>
          <w:bCs w:val="0"/>
          <w:sz w:val="22"/>
          <w:szCs w:val="22"/>
        </w:rPr>
        <w:instrText xml:space="preserve"> SEQ Slika \* ARABIC \s 1 </w:instrText>
      </w:r>
      <w:r w:rsidRPr="007F1F45">
        <w:rPr>
          <w:bCs w:val="0"/>
          <w:sz w:val="22"/>
          <w:szCs w:val="22"/>
        </w:rPr>
        <w:fldChar w:fldCharType="separate"/>
      </w:r>
      <w:r w:rsidR="009C319B">
        <w:rPr>
          <w:bCs w:val="0"/>
          <w:noProof/>
          <w:sz w:val="22"/>
          <w:szCs w:val="22"/>
        </w:rPr>
        <w:t>2</w:t>
      </w:r>
      <w:r w:rsidRPr="007F1F45">
        <w:rPr>
          <w:bCs w:val="0"/>
          <w:sz w:val="22"/>
          <w:szCs w:val="22"/>
        </w:rPr>
        <w:fldChar w:fldCharType="end"/>
      </w:r>
      <w:bookmarkEnd w:id="383"/>
      <w:r w:rsidRPr="007F1F45">
        <w:rPr>
          <w:b w:val="0"/>
          <w:bCs w:val="0"/>
          <w:sz w:val="22"/>
          <w:szCs w:val="22"/>
        </w:rPr>
        <w:t xml:space="preserve"> </w:t>
      </w:r>
      <w:r w:rsidR="007E66AB" w:rsidRPr="007F1F45">
        <w:rPr>
          <w:b w:val="0"/>
          <w:sz w:val="22"/>
          <w:szCs w:val="22"/>
        </w:rPr>
        <w:t>Kontrolni inventar emisija</w:t>
      </w:r>
      <w:r w:rsidRPr="007F1F45">
        <w:rPr>
          <w:b w:val="0"/>
          <w:sz w:val="22"/>
          <w:szCs w:val="22"/>
        </w:rPr>
        <w:t xml:space="preserve"> CO</w:t>
      </w:r>
      <w:r w:rsidRPr="007F1F45">
        <w:rPr>
          <w:b w:val="0"/>
          <w:sz w:val="22"/>
          <w:szCs w:val="22"/>
          <w:vertAlign w:val="subscript"/>
        </w:rPr>
        <w:t>2</w:t>
      </w:r>
      <w:r w:rsidRPr="007F1F45">
        <w:rPr>
          <w:b w:val="0"/>
          <w:sz w:val="22"/>
          <w:szCs w:val="22"/>
        </w:rPr>
        <w:t xml:space="preserve"> po sekto</w:t>
      </w:r>
      <w:r w:rsidR="007E66AB" w:rsidRPr="007F1F45">
        <w:rPr>
          <w:b w:val="0"/>
          <w:sz w:val="22"/>
          <w:szCs w:val="22"/>
        </w:rPr>
        <w:t xml:space="preserve">rima i energentima, </w:t>
      </w:r>
      <w:r w:rsidR="000F64C5" w:rsidRPr="007F1F45">
        <w:rPr>
          <w:b w:val="0"/>
          <w:sz w:val="22"/>
          <w:szCs w:val="22"/>
        </w:rPr>
        <w:t>2015</w:t>
      </w:r>
      <w:r w:rsidRPr="007F1F45">
        <w:rPr>
          <w:b w:val="0"/>
          <w:sz w:val="22"/>
          <w:szCs w:val="22"/>
        </w:rPr>
        <w:t>. godin</w:t>
      </w:r>
      <w:r w:rsidR="007E66AB" w:rsidRPr="007F1F45">
        <w:rPr>
          <w:b w:val="0"/>
          <w:sz w:val="22"/>
          <w:szCs w:val="22"/>
        </w:rPr>
        <w:t>a</w:t>
      </w:r>
      <w:bookmarkEnd w:id="384"/>
      <w:r w:rsidR="003B7DC0" w:rsidRPr="007F1F45">
        <w:rPr>
          <w:sz w:val="22"/>
          <w:szCs w:val="22"/>
        </w:rPr>
        <w:t xml:space="preserve"> </w:t>
      </w:r>
    </w:p>
    <w:p w14:paraId="11F6B882" w14:textId="7241D13E" w:rsidR="00061B04" w:rsidRPr="007F1F45" w:rsidRDefault="00061B04" w:rsidP="00E92750">
      <w:pPr>
        <w:spacing w:before="240" w:line="240" w:lineRule="auto"/>
        <w:jc w:val="both"/>
        <w:rPr>
          <w:rFonts w:ascii="Calibri" w:eastAsia="Calibri" w:hAnsi="Calibri" w:cs="Times New Roman"/>
        </w:rPr>
      </w:pPr>
      <w:r w:rsidRPr="007F1F45">
        <w:rPr>
          <w:rFonts w:ascii="Calibri" w:eastAsia="Calibri" w:hAnsi="Calibri" w:cs="Times New Roman"/>
        </w:rPr>
        <w:t>Najveće ostvareno povećanje emisije CO</w:t>
      </w:r>
      <w:r w:rsidRPr="007F1F45">
        <w:rPr>
          <w:rFonts w:ascii="Calibri" w:eastAsia="Calibri" w:hAnsi="Calibri" w:cs="Times New Roman"/>
          <w:vertAlign w:val="subscript"/>
        </w:rPr>
        <w:t>2</w:t>
      </w:r>
      <w:r w:rsidRPr="007F1F45">
        <w:rPr>
          <w:rFonts w:ascii="Calibri" w:eastAsia="Calibri" w:hAnsi="Calibri" w:cs="Times New Roman"/>
        </w:rPr>
        <w:t xml:space="preserve"> u 2015. godini u odnosu na 2008. godinu ostvareno je iz emisije dizelskog goriva, odnosno </w:t>
      </w:r>
      <w:r w:rsidR="00EB7F0C">
        <w:rPr>
          <w:rFonts w:ascii="Calibri" w:eastAsia="Calibri" w:hAnsi="Calibri" w:cs="Times New Roman"/>
        </w:rPr>
        <w:t>oko 20</w:t>
      </w:r>
      <w:r w:rsidRPr="007F1F45">
        <w:rPr>
          <w:rFonts w:ascii="Calibri" w:eastAsia="Calibri" w:hAnsi="Calibri" w:cs="Times New Roman"/>
        </w:rPr>
        <w:t>%</w:t>
      </w:r>
      <w:r w:rsidR="007F1F45" w:rsidRPr="007F1F45">
        <w:rPr>
          <w:rFonts w:ascii="Calibri" w:eastAsia="Calibri" w:hAnsi="Calibri" w:cs="Times New Roman"/>
        </w:rPr>
        <w:t>,</w:t>
      </w:r>
      <w:r w:rsidRPr="007F1F45">
        <w:rPr>
          <w:rFonts w:ascii="Calibri" w:eastAsia="Calibri" w:hAnsi="Calibri" w:cs="Times New Roman"/>
        </w:rPr>
        <w:t xml:space="preserve"> dok je najveće smanjene emisije CO</w:t>
      </w:r>
      <w:r w:rsidRPr="007F1F45">
        <w:rPr>
          <w:rFonts w:ascii="Calibri" w:eastAsia="Calibri" w:hAnsi="Calibri" w:cs="Times New Roman"/>
          <w:vertAlign w:val="subscript"/>
        </w:rPr>
        <w:t xml:space="preserve">2 </w:t>
      </w:r>
      <w:r w:rsidRPr="007F1F45">
        <w:rPr>
          <w:rFonts w:ascii="Calibri" w:eastAsia="Calibri" w:hAnsi="Calibri" w:cs="Times New Roman"/>
        </w:rPr>
        <w:t>ostvareno iz emisije lož ulja od</w:t>
      </w:r>
      <w:r w:rsidR="00EB7F0C">
        <w:rPr>
          <w:rFonts w:ascii="Calibri" w:eastAsia="Calibri" w:hAnsi="Calibri" w:cs="Times New Roman"/>
        </w:rPr>
        <w:t xml:space="preserve"> oko 37% te motornog benzina od 10</w:t>
      </w:r>
      <w:r w:rsidRPr="007F1F45">
        <w:rPr>
          <w:rFonts w:ascii="Calibri" w:eastAsia="Calibri" w:hAnsi="Calibri" w:cs="Times New Roman"/>
        </w:rPr>
        <w:t xml:space="preserve">%, </w:t>
      </w:r>
      <w:r w:rsidRPr="007F1F45">
        <w:rPr>
          <w:rFonts w:ascii="Calibri" w:eastAsia="Calibri" w:hAnsi="Calibri" w:cs="Times New Roman"/>
          <w:b/>
        </w:rPr>
        <w:fldChar w:fldCharType="begin"/>
      </w:r>
      <w:r w:rsidRPr="007F1F45">
        <w:rPr>
          <w:rFonts w:ascii="Calibri" w:eastAsia="Calibri" w:hAnsi="Calibri" w:cs="Times New Roman"/>
          <w:b/>
        </w:rPr>
        <w:instrText xml:space="preserve"> REF _Ref467156174 \h  \* MERGEFORMAT </w:instrText>
      </w:r>
      <w:r w:rsidRPr="007F1F45">
        <w:rPr>
          <w:rFonts w:ascii="Calibri" w:eastAsia="Calibri" w:hAnsi="Calibri" w:cs="Times New Roman"/>
          <w:b/>
        </w:rPr>
      </w:r>
      <w:r w:rsidRPr="007F1F45">
        <w:rPr>
          <w:rFonts w:ascii="Calibri" w:eastAsia="Calibri" w:hAnsi="Calibri" w:cs="Times New Roman"/>
          <w:b/>
        </w:rPr>
        <w:fldChar w:fldCharType="separate"/>
      </w:r>
      <w:r w:rsidR="009C319B" w:rsidRPr="009C319B">
        <w:rPr>
          <w:b/>
          <w:bCs/>
        </w:rPr>
        <w:t xml:space="preserve">Slika </w:t>
      </w:r>
      <w:r w:rsidR="009C319B" w:rsidRPr="009C319B">
        <w:rPr>
          <w:b/>
          <w:bCs/>
          <w:noProof/>
        </w:rPr>
        <w:t>8.3</w:t>
      </w:r>
      <w:r w:rsidRPr="007F1F45">
        <w:rPr>
          <w:rFonts w:ascii="Calibri" w:eastAsia="Calibri" w:hAnsi="Calibri" w:cs="Times New Roman"/>
          <w:b/>
        </w:rPr>
        <w:fldChar w:fldCharType="end"/>
      </w:r>
      <w:r w:rsidRPr="007F1F45">
        <w:rPr>
          <w:rFonts w:ascii="Calibri" w:eastAsia="Calibri" w:hAnsi="Calibri" w:cs="Times New Roman"/>
        </w:rPr>
        <w:t>.</w:t>
      </w:r>
    </w:p>
    <w:p w14:paraId="16E8681A" w14:textId="7216A982" w:rsidR="00D81CE7" w:rsidRDefault="00706CB7" w:rsidP="00E92750">
      <w:pPr>
        <w:spacing w:after="0" w:line="240" w:lineRule="auto"/>
        <w:jc w:val="both"/>
        <w:rPr>
          <w:noProof/>
          <w:lang w:eastAsia="hr-HR"/>
        </w:rPr>
      </w:pPr>
      <w:r>
        <w:rPr>
          <w:noProof/>
          <w:lang w:eastAsia="hr-HR"/>
        </w:rPr>
        <w:lastRenderedPageBreak/>
        <w:drawing>
          <wp:inline distT="0" distB="0" distL="0" distR="0" wp14:anchorId="6A71D257" wp14:editId="4DD579B7">
            <wp:extent cx="5758775" cy="3142034"/>
            <wp:effectExtent l="0" t="0" r="0" b="127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6CE1E0E" w14:textId="7CAF9AC0" w:rsidR="00BC6082" w:rsidRPr="00882DAD" w:rsidRDefault="00BC6082" w:rsidP="00E92750">
      <w:pPr>
        <w:pStyle w:val="Caption"/>
        <w:spacing w:line="240" w:lineRule="auto"/>
        <w:jc w:val="center"/>
        <w:rPr>
          <w:b w:val="0"/>
          <w:sz w:val="22"/>
          <w:szCs w:val="22"/>
        </w:rPr>
      </w:pPr>
      <w:bookmarkStart w:id="385" w:name="_Ref467156174"/>
      <w:bookmarkStart w:id="386" w:name="_Toc468277480"/>
      <w:r w:rsidRPr="00882DAD">
        <w:rPr>
          <w:bCs w:val="0"/>
          <w:sz w:val="22"/>
          <w:szCs w:val="22"/>
        </w:rPr>
        <w:t xml:space="preserve">Slika </w:t>
      </w:r>
      <w:r w:rsidRPr="00882DAD">
        <w:rPr>
          <w:bCs w:val="0"/>
          <w:sz w:val="22"/>
          <w:szCs w:val="22"/>
        </w:rPr>
        <w:fldChar w:fldCharType="begin"/>
      </w:r>
      <w:r w:rsidRPr="00882DAD">
        <w:rPr>
          <w:bCs w:val="0"/>
          <w:sz w:val="22"/>
          <w:szCs w:val="22"/>
        </w:rPr>
        <w:instrText xml:space="preserve"> STYLEREF 1 \s </w:instrText>
      </w:r>
      <w:r w:rsidRPr="00882DAD">
        <w:rPr>
          <w:bCs w:val="0"/>
          <w:sz w:val="22"/>
          <w:szCs w:val="22"/>
        </w:rPr>
        <w:fldChar w:fldCharType="separate"/>
      </w:r>
      <w:r w:rsidR="009C319B" w:rsidRPr="00882DAD">
        <w:rPr>
          <w:bCs w:val="0"/>
          <w:noProof/>
          <w:sz w:val="22"/>
          <w:szCs w:val="22"/>
        </w:rPr>
        <w:t>8</w:t>
      </w:r>
      <w:r w:rsidRPr="00882DAD">
        <w:rPr>
          <w:bCs w:val="0"/>
          <w:sz w:val="22"/>
          <w:szCs w:val="22"/>
        </w:rPr>
        <w:fldChar w:fldCharType="end"/>
      </w:r>
      <w:r w:rsidRPr="00882DAD">
        <w:rPr>
          <w:bCs w:val="0"/>
          <w:sz w:val="22"/>
          <w:szCs w:val="22"/>
        </w:rPr>
        <w:t>.</w:t>
      </w:r>
      <w:r w:rsidRPr="00882DAD">
        <w:rPr>
          <w:bCs w:val="0"/>
          <w:sz w:val="22"/>
          <w:szCs w:val="22"/>
        </w:rPr>
        <w:fldChar w:fldCharType="begin"/>
      </w:r>
      <w:r w:rsidRPr="00882DAD">
        <w:rPr>
          <w:bCs w:val="0"/>
          <w:sz w:val="22"/>
          <w:szCs w:val="22"/>
        </w:rPr>
        <w:instrText xml:space="preserve"> SEQ Slika \* ARABIC \s 1 </w:instrText>
      </w:r>
      <w:r w:rsidRPr="00882DAD">
        <w:rPr>
          <w:bCs w:val="0"/>
          <w:sz w:val="22"/>
          <w:szCs w:val="22"/>
        </w:rPr>
        <w:fldChar w:fldCharType="separate"/>
      </w:r>
      <w:r w:rsidR="009C319B" w:rsidRPr="00882DAD">
        <w:rPr>
          <w:bCs w:val="0"/>
          <w:noProof/>
          <w:sz w:val="22"/>
          <w:szCs w:val="22"/>
        </w:rPr>
        <w:t>3</w:t>
      </w:r>
      <w:r w:rsidRPr="00882DAD">
        <w:rPr>
          <w:bCs w:val="0"/>
          <w:sz w:val="22"/>
          <w:szCs w:val="22"/>
        </w:rPr>
        <w:fldChar w:fldCharType="end"/>
      </w:r>
      <w:bookmarkEnd w:id="385"/>
      <w:r w:rsidRPr="00882DAD">
        <w:rPr>
          <w:b w:val="0"/>
          <w:bCs w:val="0"/>
          <w:sz w:val="22"/>
          <w:szCs w:val="22"/>
        </w:rPr>
        <w:t xml:space="preserve"> Usporedba Referentnog i Kontrolnog inventara </w:t>
      </w:r>
      <w:r w:rsidRPr="00882DAD">
        <w:rPr>
          <w:b w:val="0"/>
          <w:sz w:val="22"/>
          <w:szCs w:val="22"/>
        </w:rPr>
        <w:t>emisija CO</w:t>
      </w:r>
      <w:r w:rsidRPr="00882DAD">
        <w:rPr>
          <w:b w:val="0"/>
          <w:sz w:val="22"/>
          <w:szCs w:val="22"/>
          <w:vertAlign w:val="subscript"/>
        </w:rPr>
        <w:t xml:space="preserve">2 </w:t>
      </w:r>
      <w:r w:rsidRPr="00882DAD">
        <w:rPr>
          <w:b w:val="0"/>
          <w:sz w:val="22"/>
          <w:szCs w:val="22"/>
        </w:rPr>
        <w:t>po energentima</w:t>
      </w:r>
      <w:bookmarkEnd w:id="386"/>
    </w:p>
    <w:p w14:paraId="554C16FB" w14:textId="2AE05E2B" w:rsidR="007F1F45" w:rsidRDefault="0090320D" w:rsidP="00E92750">
      <w:pPr>
        <w:spacing w:before="240" w:line="240" w:lineRule="auto"/>
        <w:jc w:val="both"/>
        <w:rPr>
          <w:rFonts w:ascii="Calibri" w:eastAsia="Calibri" w:hAnsi="Calibri" w:cs="Times New Roman"/>
        </w:rPr>
      </w:pPr>
      <w:r w:rsidRPr="00241AEB">
        <w:rPr>
          <w:rFonts w:ascii="Calibri" w:eastAsia="Calibri" w:hAnsi="Calibri" w:cs="Times New Roman"/>
        </w:rPr>
        <w:t>Promatrajući udio promatranih sektora u 2015. u odnosu na 2008. godinu, blago se promijenila struktura njihovog udjela u ukupnoj emisiji CO</w:t>
      </w:r>
      <w:r w:rsidRPr="00241AEB">
        <w:rPr>
          <w:rFonts w:ascii="Calibri" w:eastAsia="Calibri" w:hAnsi="Calibri" w:cs="Times New Roman"/>
          <w:vertAlign w:val="subscript"/>
        </w:rPr>
        <w:t>2</w:t>
      </w:r>
      <w:r w:rsidRPr="00241AEB">
        <w:rPr>
          <w:rFonts w:ascii="Calibri" w:eastAsia="Calibri" w:hAnsi="Calibri" w:cs="Times New Roman"/>
        </w:rPr>
        <w:t>, odnosno udio sektora prom</w:t>
      </w:r>
      <w:r w:rsidR="007F1F45">
        <w:rPr>
          <w:rFonts w:ascii="Calibri" w:eastAsia="Calibri" w:hAnsi="Calibri" w:cs="Times New Roman"/>
        </w:rPr>
        <w:t>et se povećao sa 36% na 38</w:t>
      </w:r>
      <w:r w:rsidRPr="00241AEB">
        <w:rPr>
          <w:rFonts w:ascii="Calibri" w:eastAsia="Calibri" w:hAnsi="Calibri" w:cs="Times New Roman"/>
        </w:rPr>
        <w:t xml:space="preserve">% dok se udio ostalih sektora </w:t>
      </w:r>
      <w:r w:rsidR="007D7453">
        <w:rPr>
          <w:rFonts w:ascii="Calibri" w:eastAsia="Calibri" w:hAnsi="Calibri" w:cs="Times New Roman"/>
        </w:rPr>
        <w:t xml:space="preserve">malo </w:t>
      </w:r>
      <w:r w:rsidRPr="00241AEB">
        <w:rPr>
          <w:rFonts w:ascii="Calibri" w:eastAsia="Calibri" w:hAnsi="Calibri" w:cs="Times New Roman"/>
        </w:rPr>
        <w:t xml:space="preserve">smanjio. </w:t>
      </w:r>
    </w:p>
    <w:p w14:paraId="28F62647" w14:textId="6541D205" w:rsidR="0090320D" w:rsidRPr="00241AEB" w:rsidRDefault="0090320D" w:rsidP="00E92750">
      <w:pPr>
        <w:spacing w:before="240" w:line="240" w:lineRule="auto"/>
        <w:jc w:val="both"/>
        <w:rPr>
          <w:rFonts w:ascii="Calibri" w:eastAsia="Calibri" w:hAnsi="Calibri" w:cs="Times New Roman"/>
        </w:rPr>
      </w:pPr>
      <w:r w:rsidRPr="00241AEB">
        <w:rPr>
          <w:rFonts w:ascii="Calibri" w:eastAsia="Calibri" w:hAnsi="Calibri" w:cs="Times New Roman"/>
        </w:rPr>
        <w:t>Povećanje udjela sektora</w:t>
      </w:r>
      <w:r w:rsidR="006B28EA">
        <w:rPr>
          <w:rFonts w:ascii="Calibri" w:eastAsia="Calibri" w:hAnsi="Calibri" w:cs="Times New Roman"/>
        </w:rPr>
        <w:t xml:space="preserve"> promet</w:t>
      </w:r>
      <w:r w:rsidRPr="00241AEB">
        <w:rPr>
          <w:rFonts w:ascii="Calibri" w:eastAsia="Calibri" w:hAnsi="Calibri" w:cs="Times New Roman"/>
        </w:rPr>
        <w:t xml:space="preserve"> je očekivano s obzirom da je </w:t>
      </w:r>
      <w:r w:rsidRPr="00241AEB">
        <w:t>sektor prometa trenutno jedan od najintenzivnijih potrošača energije u Republici Hrvatskoj, a i u budućnosti se očekuje brži rast potrošnje sektora u usporedbi s ostalim sektorima,</w:t>
      </w:r>
      <w:r w:rsidRPr="00241AEB">
        <w:rPr>
          <w:rStyle w:val="FootnoteReference"/>
        </w:rPr>
        <w:footnoteReference w:id="30"/>
      </w:r>
      <w:r w:rsidRPr="00241AEB">
        <w:t xml:space="preserve"> </w:t>
      </w:r>
      <w:r w:rsidRPr="00241AEB">
        <w:fldChar w:fldCharType="begin"/>
      </w:r>
      <w:r w:rsidRPr="00241AEB">
        <w:instrText xml:space="preserve"> REF _Ref467156218 \h </w:instrText>
      </w:r>
      <w:r w:rsidR="007C7920" w:rsidRPr="00241AEB">
        <w:instrText xml:space="preserve"> \* MERGEFORMAT </w:instrText>
      </w:r>
      <w:r w:rsidRPr="00241AEB">
        <w:fldChar w:fldCharType="separate"/>
      </w:r>
      <w:r w:rsidR="009C319B" w:rsidRPr="00241AEB">
        <w:rPr>
          <w:b/>
          <w:bCs/>
        </w:rPr>
        <w:t xml:space="preserve">Slika </w:t>
      </w:r>
      <w:r w:rsidR="009C319B">
        <w:rPr>
          <w:b/>
          <w:bCs/>
          <w:noProof/>
        </w:rPr>
        <w:t>8</w:t>
      </w:r>
      <w:r w:rsidR="009C319B" w:rsidRPr="00241AEB">
        <w:rPr>
          <w:b/>
          <w:bCs/>
          <w:noProof/>
        </w:rPr>
        <w:t>.</w:t>
      </w:r>
      <w:r w:rsidR="009C319B">
        <w:rPr>
          <w:b/>
          <w:bCs/>
          <w:noProof/>
        </w:rPr>
        <w:t>4</w:t>
      </w:r>
      <w:r w:rsidRPr="00241AEB">
        <w:fldChar w:fldCharType="end"/>
      </w:r>
      <w:r w:rsidRPr="00241AEB">
        <w:t xml:space="preserve"> i </w:t>
      </w:r>
      <w:r w:rsidRPr="00241AEB">
        <w:fldChar w:fldCharType="begin"/>
      </w:r>
      <w:r w:rsidRPr="00241AEB">
        <w:instrText xml:space="preserve"> REF _Ref467156230 \h </w:instrText>
      </w:r>
      <w:r w:rsidR="007C7920" w:rsidRPr="00241AEB">
        <w:instrText xml:space="preserve"> \* MERGEFORMAT </w:instrText>
      </w:r>
      <w:r w:rsidRPr="00241AEB">
        <w:fldChar w:fldCharType="separate"/>
      </w:r>
      <w:r w:rsidR="009C319B" w:rsidRPr="00241AEB">
        <w:rPr>
          <w:b/>
          <w:bCs/>
        </w:rPr>
        <w:t xml:space="preserve">Slika </w:t>
      </w:r>
      <w:r w:rsidR="009C319B">
        <w:rPr>
          <w:b/>
          <w:bCs/>
          <w:noProof/>
        </w:rPr>
        <w:t>8</w:t>
      </w:r>
      <w:r w:rsidR="009C319B" w:rsidRPr="00241AEB">
        <w:rPr>
          <w:b/>
          <w:bCs/>
          <w:noProof/>
        </w:rPr>
        <w:t>.</w:t>
      </w:r>
      <w:r w:rsidR="009C319B">
        <w:rPr>
          <w:b/>
          <w:bCs/>
          <w:noProof/>
        </w:rPr>
        <w:t>5</w:t>
      </w:r>
      <w:r w:rsidRPr="00241AEB">
        <w:fldChar w:fldCharType="end"/>
      </w:r>
      <w:r w:rsidRPr="00241AEB">
        <w:t>.</w:t>
      </w:r>
    </w:p>
    <w:p w14:paraId="7EB68DE7" w14:textId="5E206F09" w:rsidR="005E351D" w:rsidRPr="00241AEB" w:rsidRDefault="005E351D" w:rsidP="00E92750">
      <w:pPr>
        <w:spacing w:after="0" w:line="240" w:lineRule="auto"/>
        <w:jc w:val="center"/>
      </w:pPr>
      <w:r w:rsidRPr="00241AEB">
        <w:rPr>
          <w:noProof/>
          <w:lang w:eastAsia="hr-HR"/>
        </w:rPr>
        <w:drawing>
          <wp:inline distT="0" distB="0" distL="0" distR="0" wp14:anchorId="1D50A116" wp14:editId="75BF922D">
            <wp:extent cx="4200525" cy="2819400"/>
            <wp:effectExtent l="0" t="0" r="0" b="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C6EDE17" w14:textId="19C36AD7" w:rsidR="005E351D" w:rsidRPr="00241AEB" w:rsidRDefault="00A04395" w:rsidP="00E92750">
      <w:pPr>
        <w:spacing w:line="240" w:lineRule="auto"/>
        <w:jc w:val="center"/>
        <w:rPr>
          <w:b/>
        </w:rPr>
      </w:pPr>
      <w:bookmarkStart w:id="387" w:name="_Ref467156218"/>
      <w:bookmarkStart w:id="388" w:name="_Toc468277481"/>
      <w:r w:rsidRPr="00241AEB">
        <w:rPr>
          <w:b/>
          <w:bCs/>
        </w:rPr>
        <w:t xml:space="preserve">Slika </w:t>
      </w:r>
      <w:r w:rsidRPr="00241AEB">
        <w:rPr>
          <w:b/>
          <w:bCs/>
        </w:rPr>
        <w:fldChar w:fldCharType="begin"/>
      </w:r>
      <w:r w:rsidRPr="00241AEB">
        <w:rPr>
          <w:b/>
          <w:bCs/>
        </w:rPr>
        <w:instrText xml:space="preserve"> STYLEREF 1 \s </w:instrText>
      </w:r>
      <w:r w:rsidRPr="00241AEB">
        <w:rPr>
          <w:b/>
          <w:bCs/>
        </w:rPr>
        <w:fldChar w:fldCharType="separate"/>
      </w:r>
      <w:r w:rsidR="009C319B">
        <w:rPr>
          <w:b/>
          <w:bCs/>
          <w:noProof/>
        </w:rPr>
        <w:t>8</w:t>
      </w:r>
      <w:r w:rsidRPr="00241AEB">
        <w:rPr>
          <w:b/>
          <w:bCs/>
        </w:rPr>
        <w:fldChar w:fldCharType="end"/>
      </w:r>
      <w:r w:rsidRPr="00241AEB">
        <w:rPr>
          <w:b/>
          <w:bCs/>
        </w:rPr>
        <w:t>.</w:t>
      </w:r>
      <w:r w:rsidRPr="00241AEB">
        <w:rPr>
          <w:b/>
          <w:bCs/>
        </w:rPr>
        <w:fldChar w:fldCharType="begin"/>
      </w:r>
      <w:r w:rsidRPr="00241AEB">
        <w:rPr>
          <w:b/>
          <w:bCs/>
        </w:rPr>
        <w:instrText xml:space="preserve"> SEQ Slika \* ARABIC \s 1 </w:instrText>
      </w:r>
      <w:r w:rsidRPr="00241AEB">
        <w:rPr>
          <w:b/>
          <w:bCs/>
        </w:rPr>
        <w:fldChar w:fldCharType="separate"/>
      </w:r>
      <w:r w:rsidR="009C319B">
        <w:rPr>
          <w:b/>
          <w:bCs/>
          <w:noProof/>
        </w:rPr>
        <w:t>4</w:t>
      </w:r>
      <w:r w:rsidRPr="00241AEB">
        <w:rPr>
          <w:b/>
          <w:bCs/>
        </w:rPr>
        <w:fldChar w:fldCharType="end"/>
      </w:r>
      <w:bookmarkEnd w:id="387"/>
      <w:r w:rsidRPr="00241AEB">
        <w:rPr>
          <w:b/>
          <w:bCs/>
        </w:rPr>
        <w:t xml:space="preserve"> </w:t>
      </w:r>
      <w:r w:rsidRPr="00241AEB">
        <w:rPr>
          <w:bCs/>
        </w:rPr>
        <w:t>Referentni inventar emisija CO</w:t>
      </w:r>
      <w:r w:rsidRPr="00241AEB">
        <w:rPr>
          <w:bCs/>
          <w:vertAlign w:val="subscript"/>
        </w:rPr>
        <w:t>2</w:t>
      </w:r>
      <w:r w:rsidRPr="00241AEB">
        <w:rPr>
          <w:bCs/>
        </w:rPr>
        <w:t xml:space="preserve"> po sektorima u 2008. godini</w:t>
      </w:r>
      <w:bookmarkEnd w:id="388"/>
    </w:p>
    <w:p w14:paraId="4F1408A3" w14:textId="35AB0E2A" w:rsidR="005E351D" w:rsidRDefault="00B445FD" w:rsidP="00E92750">
      <w:pPr>
        <w:spacing w:after="0" w:line="240" w:lineRule="auto"/>
        <w:jc w:val="center"/>
        <w:rPr>
          <w:noProof/>
          <w:lang w:eastAsia="hr-HR"/>
        </w:rPr>
      </w:pPr>
      <w:r>
        <w:rPr>
          <w:noProof/>
          <w:lang w:eastAsia="hr-HR"/>
        </w:rPr>
        <w:lastRenderedPageBreak/>
        <w:drawing>
          <wp:inline distT="0" distB="0" distL="0" distR="0" wp14:anchorId="7E4B419D" wp14:editId="28211481">
            <wp:extent cx="4442114" cy="2743199"/>
            <wp:effectExtent l="0" t="0" r="0" b="635"/>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E9C35CC" w14:textId="2C9CC7B8" w:rsidR="005E351D" w:rsidRPr="00241AEB" w:rsidRDefault="00A04395" w:rsidP="00E92750">
      <w:pPr>
        <w:spacing w:after="0" w:line="240" w:lineRule="auto"/>
        <w:jc w:val="center"/>
        <w:rPr>
          <w:bCs/>
        </w:rPr>
      </w:pPr>
      <w:bookmarkStart w:id="389" w:name="_Ref467156230"/>
      <w:bookmarkStart w:id="390" w:name="_Toc468277482"/>
      <w:r w:rsidRPr="00241AEB">
        <w:rPr>
          <w:b/>
          <w:bCs/>
        </w:rPr>
        <w:t xml:space="preserve">Slika </w:t>
      </w:r>
      <w:r w:rsidRPr="00241AEB">
        <w:rPr>
          <w:b/>
          <w:bCs/>
        </w:rPr>
        <w:fldChar w:fldCharType="begin"/>
      </w:r>
      <w:r w:rsidRPr="00241AEB">
        <w:rPr>
          <w:b/>
          <w:bCs/>
        </w:rPr>
        <w:instrText xml:space="preserve"> STYLEREF 1 \s </w:instrText>
      </w:r>
      <w:r w:rsidRPr="00241AEB">
        <w:rPr>
          <w:b/>
          <w:bCs/>
        </w:rPr>
        <w:fldChar w:fldCharType="separate"/>
      </w:r>
      <w:r w:rsidR="009C319B">
        <w:rPr>
          <w:b/>
          <w:bCs/>
          <w:noProof/>
        </w:rPr>
        <w:t>8</w:t>
      </w:r>
      <w:r w:rsidRPr="00241AEB">
        <w:rPr>
          <w:b/>
          <w:bCs/>
        </w:rPr>
        <w:fldChar w:fldCharType="end"/>
      </w:r>
      <w:r w:rsidRPr="00241AEB">
        <w:rPr>
          <w:b/>
          <w:bCs/>
        </w:rPr>
        <w:t>.</w:t>
      </w:r>
      <w:r w:rsidRPr="00241AEB">
        <w:rPr>
          <w:b/>
          <w:bCs/>
        </w:rPr>
        <w:fldChar w:fldCharType="begin"/>
      </w:r>
      <w:r w:rsidRPr="00241AEB">
        <w:rPr>
          <w:b/>
          <w:bCs/>
        </w:rPr>
        <w:instrText xml:space="preserve"> SEQ Slika \* ARABIC \s 1 </w:instrText>
      </w:r>
      <w:r w:rsidRPr="00241AEB">
        <w:rPr>
          <w:b/>
          <w:bCs/>
        </w:rPr>
        <w:fldChar w:fldCharType="separate"/>
      </w:r>
      <w:r w:rsidR="009C319B">
        <w:rPr>
          <w:b/>
          <w:bCs/>
          <w:noProof/>
        </w:rPr>
        <w:t>5</w:t>
      </w:r>
      <w:r w:rsidRPr="00241AEB">
        <w:rPr>
          <w:b/>
          <w:bCs/>
        </w:rPr>
        <w:fldChar w:fldCharType="end"/>
      </w:r>
      <w:bookmarkEnd w:id="389"/>
      <w:r w:rsidRPr="00241AEB">
        <w:rPr>
          <w:b/>
          <w:bCs/>
        </w:rPr>
        <w:t xml:space="preserve"> </w:t>
      </w:r>
      <w:r w:rsidRPr="00241AEB">
        <w:rPr>
          <w:bCs/>
        </w:rPr>
        <w:t>Kontrolni inventar emisija CO</w:t>
      </w:r>
      <w:r w:rsidRPr="00241AEB">
        <w:rPr>
          <w:bCs/>
          <w:vertAlign w:val="subscript"/>
        </w:rPr>
        <w:t>2</w:t>
      </w:r>
      <w:r w:rsidRPr="00241AEB">
        <w:rPr>
          <w:bCs/>
        </w:rPr>
        <w:t xml:space="preserve"> po sektorima u 2015. </w:t>
      </w:r>
      <w:r w:rsidR="00B445FD">
        <w:rPr>
          <w:bCs/>
        </w:rPr>
        <w:t>g</w:t>
      </w:r>
      <w:r w:rsidRPr="00241AEB">
        <w:rPr>
          <w:bCs/>
        </w:rPr>
        <w:t>odini</w:t>
      </w:r>
      <w:bookmarkEnd w:id="390"/>
    </w:p>
    <w:p w14:paraId="7C974B70" w14:textId="40E2AE8F" w:rsidR="007D037E" w:rsidRPr="00241AEB" w:rsidRDefault="00BE0221" w:rsidP="00E92750">
      <w:pPr>
        <w:pStyle w:val="Heading2"/>
        <w:rPr>
          <w:vertAlign w:val="subscript"/>
        </w:rPr>
      </w:pPr>
      <w:bookmarkStart w:id="391" w:name="_Toc468345392"/>
      <w:r>
        <w:t>Indikatori usporedbe</w:t>
      </w:r>
      <w:r w:rsidR="007D037E" w:rsidRPr="00241AEB">
        <w:t xml:space="preserve"> Referentnog i Kontrolnog inventara emisije CO</w:t>
      </w:r>
      <w:r w:rsidR="007D037E" w:rsidRPr="00241AEB">
        <w:rPr>
          <w:vertAlign w:val="subscript"/>
        </w:rPr>
        <w:t>2</w:t>
      </w:r>
      <w:bookmarkEnd w:id="391"/>
      <w:r w:rsidR="007D037E" w:rsidRPr="00241AEB">
        <w:rPr>
          <w:vertAlign w:val="subscript"/>
        </w:rPr>
        <w:t xml:space="preserve"> </w:t>
      </w:r>
    </w:p>
    <w:p w14:paraId="49F969F1" w14:textId="55962C19" w:rsidR="00341F37" w:rsidRPr="00241AEB" w:rsidRDefault="00341F37" w:rsidP="00E92750">
      <w:pPr>
        <w:spacing w:before="240" w:line="240" w:lineRule="auto"/>
        <w:jc w:val="both"/>
      </w:pPr>
      <w:r w:rsidRPr="00241AEB">
        <w:t>Na potrošnju energije, koja je baza za izračun emisije CO</w:t>
      </w:r>
      <w:r w:rsidRPr="00241AEB">
        <w:rPr>
          <w:vertAlign w:val="subscript"/>
        </w:rPr>
        <w:t>2</w:t>
      </w:r>
      <w:r w:rsidR="006B28EA">
        <w:t xml:space="preserve"> osim provedbe mjera energetske</w:t>
      </w:r>
      <w:r w:rsidRPr="00241AEB">
        <w:t xml:space="preserve"> učinkovitosti utječu ra</w:t>
      </w:r>
      <w:r w:rsidR="00B70C5B" w:rsidRPr="00241AEB">
        <w:t xml:space="preserve">zličiti čimbenici poput </w:t>
      </w:r>
      <w:r w:rsidRPr="00241AEB">
        <w:t>klimatskih utjecaja, promjena u gospoda</w:t>
      </w:r>
      <w:r w:rsidR="00B70C5B" w:rsidRPr="00241AEB">
        <w:t xml:space="preserve">rskoj strukturi i promjenama u stilu života </w:t>
      </w:r>
      <w:r w:rsidRPr="00241AEB">
        <w:t>poput povećanja površine kućanst</w:t>
      </w:r>
      <w:r w:rsidR="002B6653">
        <w:t>va te komercijalnog i uslužnog sektora.</w:t>
      </w:r>
    </w:p>
    <w:p w14:paraId="322D26AC" w14:textId="586B5E22" w:rsidR="007D037E" w:rsidRPr="00241AEB" w:rsidRDefault="007D037E" w:rsidP="00E92750">
      <w:pPr>
        <w:spacing w:before="240" w:line="240" w:lineRule="auto"/>
        <w:jc w:val="both"/>
      </w:pPr>
      <w:r w:rsidRPr="00241AEB">
        <w:t xml:space="preserve">Uzimajući u obzir </w:t>
      </w:r>
      <w:r w:rsidR="00B70C5B" w:rsidRPr="00241AEB">
        <w:t>navedeno</w:t>
      </w:r>
      <w:r w:rsidR="00341F37" w:rsidRPr="00241AEB">
        <w:t xml:space="preserve">, u nastavku je dano </w:t>
      </w:r>
      <w:r w:rsidRPr="00241AEB">
        <w:t xml:space="preserve">pojašnjenje </w:t>
      </w:r>
      <w:r w:rsidR="00341F37" w:rsidRPr="00241AEB">
        <w:t xml:space="preserve">usporedbe </w:t>
      </w:r>
      <w:r w:rsidRPr="00241AEB">
        <w:t>Referentnog i Kontrolnog inventara emisije CO</w:t>
      </w:r>
      <w:r w:rsidRPr="00241AEB">
        <w:rPr>
          <w:vertAlign w:val="subscript"/>
        </w:rPr>
        <w:t>2</w:t>
      </w:r>
      <w:r w:rsidRPr="00241AEB">
        <w:t xml:space="preserve"> za sektore zgrada</w:t>
      </w:r>
      <w:r w:rsidR="00341F37" w:rsidRPr="00241AEB">
        <w:t>rstva, prometa i javne rasvjete kroz indikatore.</w:t>
      </w:r>
    </w:p>
    <w:p w14:paraId="2B4EBFD1" w14:textId="60CDF2D6" w:rsidR="00B70C5B" w:rsidRPr="00241AEB" w:rsidRDefault="00B70C5B" w:rsidP="00E92750">
      <w:pPr>
        <w:spacing w:line="240" w:lineRule="auto"/>
        <w:jc w:val="both"/>
        <w:rPr>
          <w:b/>
        </w:rPr>
      </w:pPr>
      <w:r w:rsidRPr="00241AEB">
        <w:t xml:space="preserve">Na </w:t>
      </w:r>
      <w:r w:rsidRPr="00241AEB">
        <w:fldChar w:fldCharType="begin"/>
      </w:r>
      <w:r w:rsidRPr="00241AEB">
        <w:instrText xml:space="preserve"> REF _Ref467226669 \h  \* MERGEFORMAT </w:instrText>
      </w:r>
      <w:r w:rsidRPr="00241AEB">
        <w:fldChar w:fldCharType="separate"/>
      </w:r>
      <w:r w:rsidR="00D43292">
        <w:rPr>
          <w:b/>
          <w:bCs/>
        </w:rPr>
        <w:t>Slici</w:t>
      </w:r>
      <w:r w:rsidR="009C319B" w:rsidRPr="00241AEB">
        <w:rPr>
          <w:b/>
          <w:bCs/>
        </w:rPr>
        <w:t xml:space="preserve"> </w:t>
      </w:r>
      <w:r w:rsidR="009C319B">
        <w:rPr>
          <w:b/>
          <w:bCs/>
          <w:noProof/>
        </w:rPr>
        <w:t>8</w:t>
      </w:r>
      <w:r w:rsidR="009C319B" w:rsidRPr="00241AEB">
        <w:rPr>
          <w:b/>
          <w:bCs/>
          <w:noProof/>
        </w:rPr>
        <w:t>.</w:t>
      </w:r>
      <w:r w:rsidR="009C319B">
        <w:rPr>
          <w:b/>
          <w:bCs/>
          <w:noProof/>
        </w:rPr>
        <w:t>6</w:t>
      </w:r>
      <w:r w:rsidRPr="00241AEB">
        <w:fldChar w:fldCharType="end"/>
      </w:r>
      <w:r w:rsidRPr="00241AEB">
        <w:t xml:space="preserve"> dana je usporedba </w:t>
      </w:r>
      <w:r w:rsidRPr="00241AEB">
        <w:rPr>
          <w:bCs/>
        </w:rPr>
        <w:t>Referentnog i</w:t>
      </w:r>
      <w:r w:rsidRPr="00241AEB">
        <w:rPr>
          <w:b/>
          <w:bCs/>
        </w:rPr>
        <w:t xml:space="preserve"> </w:t>
      </w:r>
      <w:r w:rsidRPr="00241AEB">
        <w:rPr>
          <w:bCs/>
        </w:rPr>
        <w:t>Kontrolnog inventara emisija CO</w:t>
      </w:r>
      <w:r w:rsidRPr="00241AEB">
        <w:rPr>
          <w:bCs/>
          <w:vertAlign w:val="subscript"/>
        </w:rPr>
        <w:t>2</w:t>
      </w:r>
      <w:r w:rsidRPr="00241AEB">
        <w:rPr>
          <w:bCs/>
        </w:rPr>
        <w:t xml:space="preserve"> za sektor zgradarstva.</w:t>
      </w:r>
    </w:p>
    <w:p w14:paraId="15DE6862" w14:textId="51B92C26" w:rsidR="001A0CF3" w:rsidRDefault="00D43292" w:rsidP="00E92750">
      <w:pPr>
        <w:spacing w:after="0" w:line="240" w:lineRule="auto"/>
        <w:jc w:val="center"/>
        <w:rPr>
          <w:noProof/>
          <w:lang w:eastAsia="hr-HR"/>
        </w:rPr>
      </w:pPr>
      <w:r>
        <w:rPr>
          <w:noProof/>
          <w:lang w:eastAsia="hr-HR"/>
        </w:rPr>
        <w:drawing>
          <wp:inline distT="0" distB="0" distL="0" distR="0" wp14:anchorId="47DF9043" wp14:editId="138ECF74">
            <wp:extent cx="4353636" cy="2572603"/>
            <wp:effectExtent l="0" t="0" r="8890" b="0"/>
            <wp:docPr id="50" name="Chart 50">
              <a:extLst xmlns:a="http://schemas.openxmlformats.org/drawingml/2006/main">
                <a:ext uri="{FF2B5EF4-FFF2-40B4-BE49-F238E27FC236}">
                  <a16:creationId xmlns:a16="http://schemas.microsoft.com/office/drawing/2014/main" id="{5DFC8F8D-9AF2-4969-9D03-3F1EA9C76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346351E" w14:textId="309BFE5F" w:rsidR="0090320D" w:rsidRPr="00241AEB" w:rsidRDefault="0090320D" w:rsidP="00E92750">
      <w:pPr>
        <w:spacing w:line="240" w:lineRule="auto"/>
        <w:jc w:val="center"/>
        <w:rPr>
          <w:b/>
        </w:rPr>
      </w:pPr>
      <w:bookmarkStart w:id="392" w:name="_Ref467226669"/>
      <w:bookmarkStart w:id="393" w:name="_Toc468277483"/>
      <w:r w:rsidRPr="00241AEB">
        <w:rPr>
          <w:b/>
          <w:bCs/>
        </w:rPr>
        <w:t xml:space="preserve">Slika </w:t>
      </w:r>
      <w:r w:rsidRPr="00241AEB">
        <w:rPr>
          <w:b/>
          <w:bCs/>
        </w:rPr>
        <w:fldChar w:fldCharType="begin"/>
      </w:r>
      <w:r w:rsidRPr="00241AEB">
        <w:rPr>
          <w:b/>
          <w:bCs/>
        </w:rPr>
        <w:instrText xml:space="preserve"> STYLEREF 1 \s </w:instrText>
      </w:r>
      <w:r w:rsidRPr="00241AEB">
        <w:rPr>
          <w:b/>
          <w:bCs/>
        </w:rPr>
        <w:fldChar w:fldCharType="separate"/>
      </w:r>
      <w:r w:rsidR="009C319B">
        <w:rPr>
          <w:b/>
          <w:bCs/>
          <w:noProof/>
        </w:rPr>
        <w:t>8</w:t>
      </w:r>
      <w:r w:rsidRPr="00241AEB">
        <w:rPr>
          <w:b/>
          <w:bCs/>
        </w:rPr>
        <w:fldChar w:fldCharType="end"/>
      </w:r>
      <w:r w:rsidRPr="00241AEB">
        <w:rPr>
          <w:b/>
          <w:bCs/>
        </w:rPr>
        <w:t>.</w:t>
      </w:r>
      <w:r w:rsidRPr="00241AEB">
        <w:rPr>
          <w:b/>
          <w:bCs/>
        </w:rPr>
        <w:fldChar w:fldCharType="begin"/>
      </w:r>
      <w:r w:rsidRPr="00241AEB">
        <w:rPr>
          <w:b/>
          <w:bCs/>
        </w:rPr>
        <w:instrText xml:space="preserve"> SEQ Slika \* ARABIC \s 1 </w:instrText>
      </w:r>
      <w:r w:rsidRPr="00241AEB">
        <w:rPr>
          <w:b/>
          <w:bCs/>
        </w:rPr>
        <w:fldChar w:fldCharType="separate"/>
      </w:r>
      <w:r w:rsidR="009C319B">
        <w:rPr>
          <w:b/>
          <w:bCs/>
          <w:noProof/>
        </w:rPr>
        <w:t>6</w:t>
      </w:r>
      <w:r w:rsidRPr="00241AEB">
        <w:rPr>
          <w:b/>
          <w:bCs/>
        </w:rPr>
        <w:fldChar w:fldCharType="end"/>
      </w:r>
      <w:bookmarkEnd w:id="392"/>
      <w:r w:rsidRPr="00241AEB">
        <w:rPr>
          <w:b/>
          <w:bCs/>
        </w:rPr>
        <w:t xml:space="preserve"> </w:t>
      </w:r>
      <w:r w:rsidRPr="00241AEB">
        <w:rPr>
          <w:bCs/>
        </w:rPr>
        <w:t>Usporedba Referentnog i</w:t>
      </w:r>
      <w:r w:rsidRPr="00241AEB">
        <w:rPr>
          <w:b/>
          <w:bCs/>
        </w:rPr>
        <w:t xml:space="preserve"> </w:t>
      </w:r>
      <w:r w:rsidRPr="00241AEB">
        <w:rPr>
          <w:bCs/>
        </w:rPr>
        <w:t>Kontrolnog inventara emisija CO</w:t>
      </w:r>
      <w:r w:rsidRPr="00241AEB">
        <w:rPr>
          <w:bCs/>
          <w:vertAlign w:val="subscript"/>
        </w:rPr>
        <w:t>2</w:t>
      </w:r>
      <w:r w:rsidRPr="00241AEB">
        <w:rPr>
          <w:bCs/>
        </w:rPr>
        <w:t xml:space="preserve"> za sektor zgradarstva</w:t>
      </w:r>
      <w:bookmarkEnd w:id="393"/>
    </w:p>
    <w:p w14:paraId="0A61C4E2" w14:textId="570D1D1C" w:rsidR="00A86391" w:rsidRPr="00241AEB" w:rsidRDefault="00A86391" w:rsidP="00E92750">
      <w:pPr>
        <w:spacing w:before="240" w:line="240" w:lineRule="auto"/>
        <w:jc w:val="both"/>
      </w:pPr>
      <w:r w:rsidRPr="00241AEB">
        <w:t>Ukupan Kontrolni inventar emisija CO</w:t>
      </w:r>
      <w:r w:rsidRPr="00241AEB">
        <w:rPr>
          <w:vertAlign w:val="subscript"/>
        </w:rPr>
        <w:t>2</w:t>
      </w:r>
      <w:r w:rsidRPr="00241AEB">
        <w:t xml:space="preserve"> u 2015. godini u sektoru zgradarstva iznosio je</w:t>
      </w:r>
      <w:r w:rsidRPr="00BE0221">
        <w:rPr>
          <w:b/>
        </w:rPr>
        <w:t xml:space="preserve"> 1 802 </w:t>
      </w:r>
      <w:r w:rsidR="00E42E5A" w:rsidRPr="00BE0221">
        <w:rPr>
          <w:b/>
        </w:rPr>
        <w:t>k</w:t>
      </w:r>
      <w:r w:rsidRPr="00BE0221">
        <w:rPr>
          <w:b/>
        </w:rPr>
        <w:t>t CO</w:t>
      </w:r>
      <w:r w:rsidRPr="00BE0221">
        <w:rPr>
          <w:b/>
          <w:vertAlign w:val="subscript"/>
        </w:rPr>
        <w:t>2</w:t>
      </w:r>
      <w:r w:rsidRPr="00241AEB">
        <w:t xml:space="preserve"> te je za </w:t>
      </w:r>
      <w:r w:rsidR="006F3FE5">
        <w:t xml:space="preserve">oko </w:t>
      </w:r>
      <w:r w:rsidR="006F3FE5">
        <w:rPr>
          <w:b/>
        </w:rPr>
        <w:t>2</w:t>
      </w:r>
      <w:r w:rsidRPr="00241AEB">
        <w:rPr>
          <w:b/>
        </w:rPr>
        <w:t>%</w:t>
      </w:r>
      <w:r w:rsidRPr="00241AEB">
        <w:t xml:space="preserve"> veći u odnosu na Referentni inventar emisija CO</w:t>
      </w:r>
      <w:r w:rsidRPr="00241AEB">
        <w:rPr>
          <w:vertAlign w:val="subscript"/>
        </w:rPr>
        <w:t>2</w:t>
      </w:r>
      <w:r w:rsidRPr="00241AEB">
        <w:t xml:space="preserve"> izrađen za 2008. godinu.</w:t>
      </w:r>
    </w:p>
    <w:p w14:paraId="63CAD636" w14:textId="77777777" w:rsidR="00A86391" w:rsidRPr="00241AEB" w:rsidRDefault="00A86391" w:rsidP="00E92750">
      <w:pPr>
        <w:spacing w:line="240" w:lineRule="auto"/>
        <w:jc w:val="both"/>
        <w:rPr>
          <w:rFonts w:ascii="Calibri" w:eastAsia="Times New Roman" w:hAnsi="Calibri" w:cs="Calibri"/>
          <w:color w:val="000000"/>
          <w:lang w:eastAsia="hr-HR"/>
        </w:rPr>
      </w:pPr>
      <w:r w:rsidRPr="00241AEB">
        <w:rPr>
          <w:rFonts w:eastAsia="Calibri" w:cs="Times New Roman"/>
        </w:rPr>
        <w:lastRenderedPageBreak/>
        <w:t xml:space="preserve">Površina kućanstava te komercijalnog i uslužnog podsektora u promatranome razdoblju znatno je povećana, odnosno za </w:t>
      </w:r>
      <w:r w:rsidRPr="00241AEB">
        <w:rPr>
          <w:rFonts w:ascii="Calibri" w:eastAsia="Times New Roman" w:hAnsi="Calibri" w:cs="Calibri"/>
          <w:color w:val="000000"/>
          <w:lang w:eastAsia="hr-HR"/>
        </w:rPr>
        <w:t>2 416 882 m</w:t>
      </w:r>
      <w:r w:rsidRPr="00241AEB">
        <w:rPr>
          <w:rFonts w:ascii="Calibri" w:eastAsia="Times New Roman" w:hAnsi="Calibri" w:cs="Calibri"/>
          <w:color w:val="000000"/>
          <w:vertAlign w:val="superscript"/>
          <w:lang w:eastAsia="hr-HR"/>
        </w:rPr>
        <w:t xml:space="preserve">2 </w:t>
      </w:r>
      <w:r w:rsidRPr="00241AEB">
        <w:rPr>
          <w:rFonts w:ascii="Calibri" w:eastAsia="Times New Roman" w:hAnsi="Calibri" w:cs="Calibri"/>
          <w:color w:val="000000"/>
          <w:lang w:eastAsia="hr-HR"/>
        </w:rPr>
        <w:t>što je povećanje od 29,04%.</w:t>
      </w:r>
    </w:p>
    <w:p w14:paraId="7788B3B9" w14:textId="1C63C1F1" w:rsidR="00A86391" w:rsidRPr="00241AEB" w:rsidRDefault="00A86391" w:rsidP="00E92750">
      <w:pPr>
        <w:spacing w:after="240" w:line="240" w:lineRule="auto"/>
        <w:jc w:val="both"/>
        <w:rPr>
          <w:rFonts w:eastAsia="Calibri" w:cs="Times New Roman"/>
        </w:rPr>
      </w:pPr>
      <w:r w:rsidRPr="00241AEB">
        <w:rPr>
          <w:rFonts w:eastAsia="Calibri" w:cs="Times New Roman"/>
        </w:rPr>
        <w:t>U nastavku je dana usporedba omjera emisije CO</w:t>
      </w:r>
      <w:r w:rsidRPr="00241AEB">
        <w:rPr>
          <w:rFonts w:eastAsia="Calibri" w:cs="Times New Roman"/>
          <w:vertAlign w:val="subscript"/>
        </w:rPr>
        <w:t>2</w:t>
      </w:r>
      <w:r w:rsidRPr="00241AEB">
        <w:rPr>
          <w:rFonts w:eastAsia="Calibri" w:cs="Times New Roman"/>
        </w:rPr>
        <w:t xml:space="preserve"> i površine</w:t>
      </w:r>
      <w:r w:rsidR="002B52EB">
        <w:rPr>
          <w:rFonts w:eastAsia="Calibri" w:cs="Times New Roman"/>
        </w:rPr>
        <w:t xml:space="preserve"> (stambeni i komercijalni)</w:t>
      </w:r>
      <w:r w:rsidRPr="00241AEB">
        <w:rPr>
          <w:rFonts w:eastAsia="Calibri" w:cs="Times New Roman"/>
        </w:rPr>
        <w:t xml:space="preserve"> iz sektora zgradarstva u 2008. u odnosu na 2015. godinu: </w:t>
      </w:r>
    </w:p>
    <w:p w14:paraId="5263C5CE" w14:textId="6948FA9B" w:rsidR="00A86391" w:rsidRPr="00241AEB" w:rsidRDefault="008A2590" w:rsidP="00EE7021">
      <w:pPr>
        <w:pStyle w:val="ListParagraph"/>
        <w:numPr>
          <w:ilvl w:val="0"/>
          <w:numId w:val="42"/>
        </w:numPr>
        <w:spacing w:after="240" w:line="240" w:lineRule="auto"/>
        <w:jc w:val="both"/>
      </w:pPr>
      <w:r>
        <w:t>0,0610</w:t>
      </w:r>
      <w:r w:rsidR="006F3FE5">
        <w:t xml:space="preserve"> </w:t>
      </w:r>
      <w:r w:rsidR="00A86391" w:rsidRPr="00241AEB">
        <w:t>t CO</w:t>
      </w:r>
      <w:r w:rsidR="00A86391" w:rsidRPr="00241AEB">
        <w:rPr>
          <w:vertAlign w:val="subscript"/>
        </w:rPr>
        <w:t>2</w:t>
      </w:r>
      <w:r w:rsidR="00A86391" w:rsidRPr="00241AEB">
        <w:t>/m</w:t>
      </w:r>
      <w:r w:rsidR="00A86391" w:rsidRPr="00241AEB">
        <w:rPr>
          <w:vertAlign w:val="superscript"/>
        </w:rPr>
        <w:t>2</w:t>
      </w:r>
      <w:r w:rsidR="00A86391" w:rsidRPr="00241AEB">
        <w:t xml:space="preserve"> grijane površine (2008. godina) te</w:t>
      </w:r>
    </w:p>
    <w:p w14:paraId="4C59D9FC" w14:textId="70AF4E5E" w:rsidR="00C834E9" w:rsidRPr="00241AEB" w:rsidRDefault="008A2590" w:rsidP="00EE7021">
      <w:pPr>
        <w:pStyle w:val="ListParagraph"/>
        <w:numPr>
          <w:ilvl w:val="0"/>
          <w:numId w:val="42"/>
        </w:numPr>
        <w:spacing w:after="240" w:line="240" w:lineRule="auto"/>
        <w:jc w:val="both"/>
      </w:pPr>
      <w:r>
        <w:t xml:space="preserve">0,0458 </w:t>
      </w:r>
      <w:r w:rsidR="00A86391" w:rsidRPr="00241AEB">
        <w:t>t CO</w:t>
      </w:r>
      <w:r w:rsidR="00A86391" w:rsidRPr="00241AEB">
        <w:rPr>
          <w:vertAlign w:val="subscript"/>
        </w:rPr>
        <w:t>2</w:t>
      </w:r>
      <w:r w:rsidR="00A86391" w:rsidRPr="00241AEB">
        <w:t>/m</w:t>
      </w:r>
      <w:r w:rsidR="00A86391" w:rsidRPr="00241AEB">
        <w:rPr>
          <w:vertAlign w:val="superscript"/>
        </w:rPr>
        <w:t>2</w:t>
      </w:r>
      <w:r w:rsidR="00A86391" w:rsidRPr="00241AEB">
        <w:t xml:space="preserve"> grijane površine (2015. godina).</w:t>
      </w:r>
    </w:p>
    <w:p w14:paraId="1DA6F5D8" w14:textId="5A01C45C" w:rsidR="00B305BA" w:rsidRPr="00241AEB" w:rsidRDefault="00B305BA" w:rsidP="00E92750">
      <w:pPr>
        <w:spacing w:line="240" w:lineRule="auto"/>
        <w:jc w:val="both"/>
        <w:rPr>
          <w:b/>
        </w:rPr>
      </w:pPr>
      <w:r w:rsidRPr="00241AEB">
        <w:t xml:space="preserve">Na </w:t>
      </w:r>
      <w:r w:rsidRPr="00241AEB">
        <w:fldChar w:fldCharType="begin"/>
      </w:r>
      <w:r w:rsidRPr="00241AEB">
        <w:instrText xml:space="preserve"> REF _Ref467226805 \h </w:instrText>
      </w:r>
      <w:r w:rsidR="007C7920" w:rsidRPr="00241AEB">
        <w:instrText xml:space="preserve"> \* MERGEFORMAT </w:instrText>
      </w:r>
      <w:r w:rsidRPr="00241AEB">
        <w:fldChar w:fldCharType="separate"/>
      </w:r>
      <w:r w:rsidR="00971C3C">
        <w:rPr>
          <w:b/>
          <w:bCs/>
        </w:rPr>
        <w:t>Slici</w:t>
      </w:r>
      <w:r w:rsidR="009C319B" w:rsidRPr="00241AEB">
        <w:rPr>
          <w:b/>
          <w:bCs/>
        </w:rPr>
        <w:t xml:space="preserve"> </w:t>
      </w:r>
      <w:r w:rsidR="009C319B">
        <w:rPr>
          <w:b/>
          <w:bCs/>
          <w:noProof/>
        </w:rPr>
        <w:t>8</w:t>
      </w:r>
      <w:r w:rsidR="009C319B" w:rsidRPr="00241AEB">
        <w:rPr>
          <w:b/>
          <w:bCs/>
          <w:noProof/>
        </w:rPr>
        <w:t>.</w:t>
      </w:r>
      <w:r w:rsidR="009C319B">
        <w:rPr>
          <w:b/>
          <w:bCs/>
          <w:noProof/>
        </w:rPr>
        <w:t>7</w:t>
      </w:r>
      <w:r w:rsidRPr="00241AEB">
        <w:fldChar w:fldCharType="end"/>
      </w:r>
      <w:r w:rsidR="00A86391" w:rsidRPr="00241AEB">
        <w:t xml:space="preserve"> </w:t>
      </w:r>
      <w:r w:rsidRPr="00241AEB">
        <w:t xml:space="preserve">dana je usporedba </w:t>
      </w:r>
      <w:r w:rsidRPr="00241AEB">
        <w:rPr>
          <w:bCs/>
        </w:rPr>
        <w:t>Referentnog i</w:t>
      </w:r>
      <w:r w:rsidRPr="00241AEB">
        <w:rPr>
          <w:b/>
          <w:bCs/>
        </w:rPr>
        <w:t xml:space="preserve"> </w:t>
      </w:r>
      <w:r w:rsidRPr="00241AEB">
        <w:rPr>
          <w:bCs/>
        </w:rPr>
        <w:t>Kontrolnog inventara emisija CO</w:t>
      </w:r>
      <w:r w:rsidRPr="00241AEB">
        <w:rPr>
          <w:bCs/>
          <w:vertAlign w:val="subscript"/>
        </w:rPr>
        <w:t>2</w:t>
      </w:r>
      <w:r w:rsidR="00A86391" w:rsidRPr="00241AEB">
        <w:rPr>
          <w:bCs/>
        </w:rPr>
        <w:t xml:space="preserve"> za sektor prometa</w:t>
      </w:r>
      <w:r w:rsidRPr="00241AEB">
        <w:rPr>
          <w:bCs/>
        </w:rPr>
        <w:t>.</w:t>
      </w:r>
    </w:p>
    <w:p w14:paraId="0045566E" w14:textId="77777777" w:rsidR="0090320D" w:rsidRPr="00241AEB" w:rsidRDefault="007145E1" w:rsidP="00E92750">
      <w:pPr>
        <w:spacing w:after="0" w:line="240" w:lineRule="auto"/>
        <w:jc w:val="center"/>
        <w:rPr>
          <w:b/>
          <w:bCs/>
        </w:rPr>
      </w:pPr>
      <w:r w:rsidRPr="00241AEB">
        <w:rPr>
          <w:noProof/>
          <w:lang w:eastAsia="hr-HR"/>
        </w:rPr>
        <w:drawing>
          <wp:inline distT="0" distB="0" distL="0" distR="0" wp14:anchorId="7EF8F989" wp14:editId="6A6ABF13">
            <wp:extent cx="4648200" cy="3162300"/>
            <wp:effectExtent l="0" t="0" r="0" b="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3FDC79C" w14:textId="3C7C1F6C" w:rsidR="0090320D" w:rsidRPr="00241AEB" w:rsidRDefault="0090320D" w:rsidP="00E92750">
      <w:pPr>
        <w:spacing w:after="240" w:line="240" w:lineRule="auto"/>
        <w:jc w:val="center"/>
        <w:rPr>
          <w:bCs/>
        </w:rPr>
      </w:pPr>
      <w:bookmarkStart w:id="394" w:name="_Ref467226805"/>
      <w:bookmarkStart w:id="395" w:name="_Toc468277484"/>
      <w:r w:rsidRPr="00241AEB">
        <w:rPr>
          <w:b/>
          <w:bCs/>
        </w:rPr>
        <w:t xml:space="preserve">Slika </w:t>
      </w:r>
      <w:r w:rsidRPr="00241AEB">
        <w:rPr>
          <w:b/>
          <w:bCs/>
        </w:rPr>
        <w:fldChar w:fldCharType="begin"/>
      </w:r>
      <w:r w:rsidRPr="00241AEB">
        <w:rPr>
          <w:b/>
          <w:bCs/>
        </w:rPr>
        <w:instrText xml:space="preserve"> STYLEREF 1 \s </w:instrText>
      </w:r>
      <w:r w:rsidRPr="00241AEB">
        <w:rPr>
          <w:b/>
          <w:bCs/>
        </w:rPr>
        <w:fldChar w:fldCharType="separate"/>
      </w:r>
      <w:r w:rsidR="009C319B">
        <w:rPr>
          <w:b/>
          <w:bCs/>
          <w:noProof/>
        </w:rPr>
        <w:t>8</w:t>
      </w:r>
      <w:r w:rsidRPr="00241AEB">
        <w:rPr>
          <w:b/>
          <w:bCs/>
        </w:rPr>
        <w:fldChar w:fldCharType="end"/>
      </w:r>
      <w:r w:rsidRPr="00241AEB">
        <w:rPr>
          <w:b/>
          <w:bCs/>
        </w:rPr>
        <w:t>.</w:t>
      </w:r>
      <w:r w:rsidRPr="00241AEB">
        <w:rPr>
          <w:b/>
          <w:bCs/>
        </w:rPr>
        <w:fldChar w:fldCharType="begin"/>
      </w:r>
      <w:r w:rsidRPr="00241AEB">
        <w:rPr>
          <w:b/>
          <w:bCs/>
        </w:rPr>
        <w:instrText xml:space="preserve"> SEQ Slika \* ARABIC \s 1 </w:instrText>
      </w:r>
      <w:r w:rsidRPr="00241AEB">
        <w:rPr>
          <w:b/>
          <w:bCs/>
        </w:rPr>
        <w:fldChar w:fldCharType="separate"/>
      </w:r>
      <w:r w:rsidR="009C319B">
        <w:rPr>
          <w:b/>
          <w:bCs/>
          <w:noProof/>
        </w:rPr>
        <w:t>7</w:t>
      </w:r>
      <w:r w:rsidRPr="00241AEB">
        <w:rPr>
          <w:b/>
          <w:bCs/>
        </w:rPr>
        <w:fldChar w:fldCharType="end"/>
      </w:r>
      <w:bookmarkEnd w:id="394"/>
      <w:r w:rsidRPr="00241AEB">
        <w:rPr>
          <w:b/>
          <w:bCs/>
        </w:rPr>
        <w:t xml:space="preserve"> </w:t>
      </w:r>
      <w:r w:rsidRPr="00241AEB">
        <w:rPr>
          <w:bCs/>
        </w:rPr>
        <w:t>Usporedba Referentnog i</w:t>
      </w:r>
      <w:r w:rsidRPr="00241AEB">
        <w:rPr>
          <w:b/>
          <w:bCs/>
        </w:rPr>
        <w:t xml:space="preserve"> </w:t>
      </w:r>
      <w:r w:rsidRPr="00241AEB">
        <w:rPr>
          <w:bCs/>
        </w:rPr>
        <w:t>Kontrolnog inventara emisija CO</w:t>
      </w:r>
      <w:r w:rsidRPr="00241AEB">
        <w:rPr>
          <w:bCs/>
          <w:vertAlign w:val="subscript"/>
        </w:rPr>
        <w:t>2</w:t>
      </w:r>
      <w:r w:rsidRPr="00241AEB">
        <w:rPr>
          <w:bCs/>
        </w:rPr>
        <w:t xml:space="preserve"> za sektor prometa</w:t>
      </w:r>
      <w:bookmarkEnd w:id="395"/>
    </w:p>
    <w:p w14:paraId="0E28D941" w14:textId="7D269451" w:rsidR="002B6653" w:rsidRDefault="00C125F7" w:rsidP="00E92750">
      <w:pPr>
        <w:spacing w:before="240" w:line="240" w:lineRule="auto"/>
        <w:jc w:val="both"/>
      </w:pPr>
      <w:r w:rsidRPr="00241AEB">
        <w:t>Ukupan Kontrolni inventar emisija CO</w:t>
      </w:r>
      <w:r w:rsidRPr="00241AEB">
        <w:rPr>
          <w:vertAlign w:val="subscript"/>
        </w:rPr>
        <w:t>2</w:t>
      </w:r>
      <w:r w:rsidRPr="00241AEB">
        <w:t xml:space="preserve"> u 2015. godini u sektoru </w:t>
      </w:r>
      <w:r w:rsidR="00A86391" w:rsidRPr="00241AEB">
        <w:t>prometa</w:t>
      </w:r>
      <w:r w:rsidRPr="00241AEB">
        <w:t xml:space="preserve"> iznosio je </w:t>
      </w:r>
      <w:r w:rsidR="00971C3C">
        <w:rPr>
          <w:b/>
        </w:rPr>
        <w:t>1 102</w:t>
      </w:r>
      <w:r w:rsidRPr="00241AEB">
        <w:rPr>
          <w:b/>
        </w:rPr>
        <w:t xml:space="preserve"> </w:t>
      </w:r>
      <w:r w:rsidR="00971C3C">
        <w:rPr>
          <w:b/>
        </w:rPr>
        <w:t>k</w:t>
      </w:r>
      <w:r w:rsidRPr="00241AEB">
        <w:rPr>
          <w:b/>
        </w:rPr>
        <w:t>t CO</w:t>
      </w:r>
      <w:r w:rsidRPr="00241AEB">
        <w:rPr>
          <w:b/>
          <w:vertAlign w:val="subscript"/>
        </w:rPr>
        <w:t>2</w:t>
      </w:r>
      <w:r w:rsidRPr="00241AEB">
        <w:t xml:space="preserve"> te je za</w:t>
      </w:r>
      <w:r w:rsidR="006B28EA">
        <w:t xml:space="preserve"> oko</w:t>
      </w:r>
      <w:r w:rsidRPr="00241AEB">
        <w:t xml:space="preserve"> </w:t>
      </w:r>
      <w:r w:rsidR="00971C3C">
        <w:rPr>
          <w:b/>
        </w:rPr>
        <w:t>10</w:t>
      </w:r>
      <w:r w:rsidRPr="00241AEB">
        <w:rPr>
          <w:b/>
        </w:rPr>
        <w:t>%</w:t>
      </w:r>
      <w:r w:rsidRPr="00241AEB">
        <w:t xml:space="preserve"> veći u odnosu na Referentni inventar emisija CO</w:t>
      </w:r>
      <w:r w:rsidRPr="00241AEB">
        <w:rPr>
          <w:vertAlign w:val="subscript"/>
        </w:rPr>
        <w:t>2</w:t>
      </w:r>
      <w:r w:rsidRPr="00241AEB">
        <w:t xml:space="preserve"> izrađen za 2008. godinu.</w:t>
      </w:r>
      <w:r w:rsidR="002B6653">
        <w:t xml:space="preserve"> </w:t>
      </w:r>
    </w:p>
    <w:p w14:paraId="2DC4F033" w14:textId="773FACA4" w:rsidR="006B28EA" w:rsidRDefault="002B6653" w:rsidP="006B28EA">
      <w:pPr>
        <w:spacing w:before="240" w:line="240" w:lineRule="auto"/>
        <w:jc w:val="both"/>
      </w:pPr>
      <w:r>
        <w:t>Povećanje inventara je uzrokovano činjenicom da je u Akcijskom planu za 2008. godinu proračun</w:t>
      </w:r>
      <w:r w:rsidRPr="002B6653">
        <w:t xml:space="preserve"> rađen računalnim programom COPERT III, a isti nije uzimao u obzir </w:t>
      </w:r>
      <w:r>
        <w:t xml:space="preserve">potrošnju međugradskih autobusa, dok COPERT IV koji je naknadno izdan </w:t>
      </w:r>
      <w:r w:rsidR="00EE1133">
        <w:t>od Europske agencije za okoliš uzima u obzir potrošnju međugradskih autobusa, a isti je korišten za izradu Kontrolnog inventara emisije CO</w:t>
      </w:r>
      <w:r w:rsidR="00EE1133" w:rsidRPr="00EE1133">
        <w:rPr>
          <w:vertAlign w:val="subscript"/>
        </w:rPr>
        <w:t>2</w:t>
      </w:r>
      <w:r w:rsidR="00EE1133">
        <w:t>.</w:t>
      </w:r>
      <w:r w:rsidR="006B28EA">
        <w:br w:type="page"/>
      </w:r>
    </w:p>
    <w:p w14:paraId="1BC07AFE" w14:textId="6E18ABE3" w:rsidR="00B305BA" w:rsidRPr="00241AEB" w:rsidRDefault="00B305BA" w:rsidP="00E92750">
      <w:pPr>
        <w:spacing w:line="240" w:lineRule="auto"/>
        <w:jc w:val="both"/>
        <w:rPr>
          <w:bCs/>
        </w:rPr>
      </w:pPr>
      <w:r w:rsidRPr="00241AEB">
        <w:lastRenderedPageBreak/>
        <w:t xml:space="preserve">Na </w:t>
      </w:r>
      <w:r w:rsidR="002B52EB">
        <w:fldChar w:fldCharType="begin"/>
      </w:r>
      <w:r w:rsidR="002B52EB">
        <w:instrText xml:space="preserve"> REF _Ref467226833 \h </w:instrText>
      </w:r>
      <w:r w:rsidR="002B52EB">
        <w:fldChar w:fldCharType="separate"/>
      </w:r>
      <w:r w:rsidR="00971C3C">
        <w:rPr>
          <w:b/>
          <w:bCs/>
        </w:rPr>
        <w:t>Slici</w:t>
      </w:r>
      <w:r w:rsidR="009C319B" w:rsidRPr="00241AEB">
        <w:rPr>
          <w:b/>
          <w:bCs/>
        </w:rPr>
        <w:t xml:space="preserve"> </w:t>
      </w:r>
      <w:r w:rsidR="009C319B">
        <w:rPr>
          <w:b/>
          <w:bCs/>
          <w:noProof/>
        </w:rPr>
        <w:t>8</w:t>
      </w:r>
      <w:r w:rsidR="009C319B" w:rsidRPr="00241AEB">
        <w:rPr>
          <w:b/>
          <w:bCs/>
        </w:rPr>
        <w:t>.</w:t>
      </w:r>
      <w:r w:rsidR="009C319B">
        <w:rPr>
          <w:b/>
          <w:bCs/>
          <w:noProof/>
        </w:rPr>
        <w:t>8</w:t>
      </w:r>
      <w:r w:rsidR="002B52EB">
        <w:fldChar w:fldCharType="end"/>
      </w:r>
      <w:r w:rsidR="002B52EB">
        <w:t xml:space="preserve"> </w:t>
      </w:r>
      <w:r w:rsidRPr="00241AEB">
        <w:t xml:space="preserve">dana je usporedba </w:t>
      </w:r>
      <w:r w:rsidRPr="00241AEB">
        <w:rPr>
          <w:bCs/>
        </w:rPr>
        <w:t>Referentnog i</w:t>
      </w:r>
      <w:r w:rsidRPr="00241AEB">
        <w:rPr>
          <w:b/>
          <w:bCs/>
        </w:rPr>
        <w:t xml:space="preserve"> </w:t>
      </w:r>
      <w:r w:rsidRPr="00241AEB">
        <w:rPr>
          <w:bCs/>
        </w:rPr>
        <w:t>Kontrolnog inventara emisija CO</w:t>
      </w:r>
      <w:r w:rsidRPr="00241AEB">
        <w:rPr>
          <w:bCs/>
          <w:vertAlign w:val="subscript"/>
        </w:rPr>
        <w:t>2</w:t>
      </w:r>
      <w:r w:rsidR="00EE1133">
        <w:rPr>
          <w:bCs/>
        </w:rPr>
        <w:t xml:space="preserve"> za sektor javne rasvjete</w:t>
      </w:r>
      <w:r w:rsidRPr="00241AEB">
        <w:rPr>
          <w:bCs/>
        </w:rPr>
        <w:t>.</w:t>
      </w:r>
    </w:p>
    <w:p w14:paraId="3027EA05" w14:textId="109C2747" w:rsidR="007145E1" w:rsidRPr="00241AEB" w:rsidRDefault="007145E1" w:rsidP="00E92750">
      <w:pPr>
        <w:spacing w:after="0" w:line="240" w:lineRule="auto"/>
        <w:jc w:val="center"/>
      </w:pPr>
      <w:r w:rsidRPr="00241AEB">
        <w:rPr>
          <w:noProof/>
          <w:lang w:eastAsia="hr-HR"/>
        </w:rPr>
        <w:drawing>
          <wp:inline distT="0" distB="0" distL="0" distR="0" wp14:anchorId="433C5953" wp14:editId="1B86B803">
            <wp:extent cx="4270076" cy="3338422"/>
            <wp:effectExtent l="0" t="0" r="16510" b="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D42FAE0" w14:textId="3E1A89DA" w:rsidR="0090320D" w:rsidRPr="00241AEB" w:rsidRDefault="0090320D" w:rsidP="00E92750">
      <w:pPr>
        <w:spacing w:after="0" w:line="240" w:lineRule="auto"/>
        <w:jc w:val="center"/>
        <w:rPr>
          <w:b/>
        </w:rPr>
      </w:pPr>
      <w:bookmarkStart w:id="396" w:name="_Ref467226833"/>
      <w:bookmarkStart w:id="397" w:name="_Toc468277485"/>
      <w:r w:rsidRPr="00241AEB">
        <w:rPr>
          <w:b/>
          <w:bCs/>
        </w:rPr>
        <w:t xml:space="preserve">Slika </w:t>
      </w:r>
      <w:r w:rsidRPr="00241AEB">
        <w:rPr>
          <w:b/>
          <w:bCs/>
        </w:rPr>
        <w:fldChar w:fldCharType="begin"/>
      </w:r>
      <w:r w:rsidRPr="00241AEB">
        <w:rPr>
          <w:b/>
          <w:bCs/>
        </w:rPr>
        <w:instrText xml:space="preserve"> STYLEREF 1 \s </w:instrText>
      </w:r>
      <w:r w:rsidRPr="00241AEB">
        <w:rPr>
          <w:b/>
          <w:bCs/>
        </w:rPr>
        <w:fldChar w:fldCharType="separate"/>
      </w:r>
      <w:r w:rsidR="009C319B">
        <w:rPr>
          <w:b/>
          <w:bCs/>
          <w:noProof/>
        </w:rPr>
        <w:t>8</w:t>
      </w:r>
      <w:r w:rsidRPr="00241AEB">
        <w:rPr>
          <w:b/>
          <w:bCs/>
        </w:rPr>
        <w:fldChar w:fldCharType="end"/>
      </w:r>
      <w:r w:rsidRPr="00241AEB">
        <w:rPr>
          <w:b/>
          <w:bCs/>
        </w:rPr>
        <w:t>.</w:t>
      </w:r>
      <w:r w:rsidRPr="00241AEB">
        <w:rPr>
          <w:b/>
          <w:bCs/>
        </w:rPr>
        <w:fldChar w:fldCharType="begin"/>
      </w:r>
      <w:r w:rsidRPr="00241AEB">
        <w:rPr>
          <w:b/>
          <w:bCs/>
        </w:rPr>
        <w:instrText xml:space="preserve"> SEQ Slika \* ARABIC \s 1 </w:instrText>
      </w:r>
      <w:r w:rsidRPr="00241AEB">
        <w:rPr>
          <w:b/>
          <w:bCs/>
        </w:rPr>
        <w:fldChar w:fldCharType="separate"/>
      </w:r>
      <w:r w:rsidR="009C319B">
        <w:rPr>
          <w:b/>
          <w:bCs/>
          <w:noProof/>
        </w:rPr>
        <w:t>8</w:t>
      </w:r>
      <w:r w:rsidRPr="00241AEB">
        <w:rPr>
          <w:b/>
          <w:bCs/>
        </w:rPr>
        <w:fldChar w:fldCharType="end"/>
      </w:r>
      <w:bookmarkEnd w:id="396"/>
      <w:r w:rsidRPr="00241AEB">
        <w:rPr>
          <w:b/>
          <w:bCs/>
        </w:rPr>
        <w:t xml:space="preserve"> </w:t>
      </w:r>
      <w:r w:rsidRPr="00241AEB">
        <w:rPr>
          <w:bCs/>
        </w:rPr>
        <w:t>Usporedba Referentnog i</w:t>
      </w:r>
      <w:r w:rsidRPr="00241AEB">
        <w:rPr>
          <w:b/>
          <w:bCs/>
        </w:rPr>
        <w:t xml:space="preserve"> </w:t>
      </w:r>
      <w:r w:rsidRPr="00241AEB">
        <w:rPr>
          <w:bCs/>
        </w:rPr>
        <w:t>Kontrolnog inventara emisija CO</w:t>
      </w:r>
      <w:r w:rsidRPr="00241AEB">
        <w:rPr>
          <w:bCs/>
          <w:vertAlign w:val="subscript"/>
        </w:rPr>
        <w:t>2</w:t>
      </w:r>
      <w:r w:rsidRPr="00241AEB">
        <w:rPr>
          <w:bCs/>
        </w:rPr>
        <w:t xml:space="preserve"> za sektor javne rasvjete</w:t>
      </w:r>
      <w:bookmarkEnd w:id="397"/>
    </w:p>
    <w:p w14:paraId="064987BA" w14:textId="10E6E19B" w:rsidR="007145E1" w:rsidRPr="00241AEB" w:rsidRDefault="00B305BA" w:rsidP="00E92750">
      <w:pPr>
        <w:spacing w:before="240" w:line="240" w:lineRule="auto"/>
        <w:jc w:val="both"/>
      </w:pPr>
      <w:r w:rsidRPr="00241AEB">
        <w:t>Ukupan Kontrolni inventar emisija CO</w:t>
      </w:r>
      <w:r w:rsidRPr="00241AEB">
        <w:rPr>
          <w:vertAlign w:val="subscript"/>
        </w:rPr>
        <w:t>2</w:t>
      </w:r>
      <w:r w:rsidRPr="00241AEB">
        <w:t xml:space="preserve"> u 2015. godini u sektoru javne rasvjete iznosio je 27 411,84</w:t>
      </w:r>
      <w:r w:rsidRPr="00241AEB">
        <w:rPr>
          <w:b/>
        </w:rPr>
        <w:t xml:space="preserve"> t CO</w:t>
      </w:r>
      <w:r w:rsidRPr="00241AEB">
        <w:rPr>
          <w:b/>
          <w:vertAlign w:val="subscript"/>
        </w:rPr>
        <w:t>2</w:t>
      </w:r>
      <w:r w:rsidRPr="00241AEB">
        <w:t xml:space="preserve"> te je za </w:t>
      </w:r>
      <w:r w:rsidR="00971C3C">
        <w:t xml:space="preserve">oko </w:t>
      </w:r>
      <w:r w:rsidR="00971C3C">
        <w:rPr>
          <w:b/>
        </w:rPr>
        <w:t>6</w:t>
      </w:r>
      <w:r w:rsidRPr="00241AEB">
        <w:rPr>
          <w:b/>
        </w:rPr>
        <w:t>%</w:t>
      </w:r>
      <w:r w:rsidRPr="00241AEB">
        <w:t xml:space="preserve"> manji u odnosu na Referentni inventar emisija CO</w:t>
      </w:r>
      <w:r w:rsidRPr="00241AEB">
        <w:rPr>
          <w:vertAlign w:val="subscript"/>
        </w:rPr>
        <w:t>2</w:t>
      </w:r>
      <w:r w:rsidRPr="00241AEB">
        <w:t xml:space="preserve"> izrađen za 2008. godinu.</w:t>
      </w:r>
      <w:r w:rsidR="00EE1133">
        <w:t xml:space="preserve"> Iznos smanjenja direktna je posljedica realiziranih mjera modernizacije i upravljanja sustavom javne rasvjete (Detalji u poglavlju 9 ovog dokumenta).</w:t>
      </w:r>
    </w:p>
    <w:p w14:paraId="7CD34761" w14:textId="4AAFE44C" w:rsidR="00DA3578" w:rsidRPr="00241AEB" w:rsidRDefault="00DA3578" w:rsidP="00E92750">
      <w:pPr>
        <w:spacing w:after="240" w:line="240" w:lineRule="auto"/>
        <w:jc w:val="both"/>
        <w:rPr>
          <w:rFonts w:eastAsia="Calibri" w:cs="Times New Roman"/>
        </w:rPr>
      </w:pPr>
      <w:r w:rsidRPr="00241AEB">
        <w:rPr>
          <w:rFonts w:eastAsia="Calibri" w:cs="Times New Roman"/>
        </w:rPr>
        <w:t>U nastavku je dana usporedba omjera emisije CO</w:t>
      </w:r>
      <w:r w:rsidRPr="00241AEB">
        <w:rPr>
          <w:rFonts w:eastAsia="Calibri" w:cs="Times New Roman"/>
          <w:vertAlign w:val="subscript"/>
        </w:rPr>
        <w:t>2</w:t>
      </w:r>
      <w:r w:rsidRPr="00241AEB">
        <w:rPr>
          <w:rFonts w:eastAsia="Calibri" w:cs="Times New Roman"/>
        </w:rPr>
        <w:t xml:space="preserve"> iz sektora javna rasvjeta i broja rasvjetnih tijela u 2008. i 2015. godini: </w:t>
      </w:r>
    </w:p>
    <w:p w14:paraId="69C602B6" w14:textId="77777777" w:rsidR="00241AEB" w:rsidRDefault="00DA3578" w:rsidP="00EE7021">
      <w:pPr>
        <w:numPr>
          <w:ilvl w:val="0"/>
          <w:numId w:val="41"/>
        </w:numPr>
        <w:spacing w:after="240" w:line="240" w:lineRule="auto"/>
        <w:contextualSpacing/>
        <w:jc w:val="both"/>
        <w:rPr>
          <w:rFonts w:ascii="Calibri" w:eastAsia="Calibri" w:hAnsi="Calibri" w:cs="Times New Roman"/>
        </w:rPr>
      </w:pPr>
      <w:r w:rsidRPr="00241AEB">
        <w:rPr>
          <w:rFonts w:ascii="Calibri" w:eastAsia="Calibri" w:hAnsi="Calibri" w:cs="Times New Roman"/>
        </w:rPr>
        <w:t>0,2210 t CO</w:t>
      </w:r>
      <w:r w:rsidRPr="00241AEB">
        <w:rPr>
          <w:rFonts w:ascii="Calibri" w:eastAsia="Calibri" w:hAnsi="Calibri" w:cs="Times New Roman"/>
          <w:vertAlign w:val="subscript"/>
        </w:rPr>
        <w:t>2</w:t>
      </w:r>
      <w:r w:rsidRPr="00241AEB">
        <w:rPr>
          <w:rFonts w:ascii="Calibri" w:eastAsia="Calibri" w:hAnsi="Calibri" w:cs="Times New Roman"/>
        </w:rPr>
        <w:t xml:space="preserve">/izvoru svjetlosti (2008. godina) te </w:t>
      </w:r>
    </w:p>
    <w:p w14:paraId="37E3D3DE" w14:textId="6C62F7A0" w:rsidR="00D8175C" w:rsidRPr="00241AEB" w:rsidRDefault="00DA3578" w:rsidP="00EE7021">
      <w:pPr>
        <w:numPr>
          <w:ilvl w:val="0"/>
          <w:numId w:val="41"/>
        </w:numPr>
        <w:spacing w:after="240" w:line="240" w:lineRule="auto"/>
        <w:contextualSpacing/>
        <w:jc w:val="both"/>
        <w:rPr>
          <w:rFonts w:ascii="Calibri" w:eastAsia="Calibri" w:hAnsi="Calibri" w:cs="Times New Roman"/>
        </w:rPr>
      </w:pPr>
      <w:r w:rsidRPr="00241AEB">
        <w:rPr>
          <w:rFonts w:ascii="Calibri" w:eastAsia="Times New Roman" w:hAnsi="Calibri" w:cs="Calibri"/>
          <w:color w:val="000000"/>
          <w:lang w:eastAsia="hr-HR"/>
        </w:rPr>
        <w:t>0,2167</w:t>
      </w:r>
      <w:r w:rsidRPr="00241AEB">
        <w:rPr>
          <w:rFonts w:ascii="Calibri" w:eastAsia="Calibri" w:hAnsi="Calibri" w:cs="Times New Roman"/>
        </w:rPr>
        <w:t xml:space="preserve"> t CO</w:t>
      </w:r>
      <w:r w:rsidRPr="00241AEB">
        <w:rPr>
          <w:rFonts w:ascii="Calibri" w:eastAsia="Calibri" w:hAnsi="Calibri" w:cs="Times New Roman"/>
          <w:vertAlign w:val="subscript"/>
        </w:rPr>
        <w:t>2</w:t>
      </w:r>
      <w:r w:rsidRPr="00241AEB">
        <w:rPr>
          <w:rFonts w:ascii="Calibri" w:eastAsia="Calibri" w:hAnsi="Calibri" w:cs="Times New Roman"/>
        </w:rPr>
        <w:t>/izvoru svjetlosti (</w:t>
      </w:r>
      <w:r w:rsidR="00A86391" w:rsidRPr="00241AEB">
        <w:rPr>
          <w:rFonts w:ascii="Calibri" w:eastAsia="Calibri" w:hAnsi="Calibri" w:cs="Times New Roman"/>
        </w:rPr>
        <w:t>2015</w:t>
      </w:r>
      <w:r w:rsidRPr="00241AEB">
        <w:rPr>
          <w:rFonts w:ascii="Calibri" w:eastAsia="Calibri" w:hAnsi="Calibri" w:cs="Times New Roman"/>
        </w:rPr>
        <w:t>. godina).</w:t>
      </w:r>
      <w:r w:rsidR="00D8175C" w:rsidRPr="00241AEB">
        <w:rPr>
          <w:highlight w:val="yellow"/>
        </w:rPr>
        <w:br w:type="page"/>
      </w:r>
    </w:p>
    <w:p w14:paraId="492964B0" w14:textId="273F1666" w:rsidR="004160FA" w:rsidRPr="00783C5D" w:rsidRDefault="004160FA" w:rsidP="00E92750">
      <w:pPr>
        <w:pStyle w:val="Heading1"/>
        <w:spacing w:before="240" w:after="240" w:line="240" w:lineRule="auto"/>
        <w:ind w:left="431" w:hanging="431"/>
        <w:jc w:val="both"/>
        <w:rPr>
          <w:rFonts w:eastAsia="Times New Roman"/>
          <w:b/>
        </w:rPr>
      </w:pPr>
      <w:bookmarkStart w:id="398" w:name="_Toc468345393"/>
      <w:r w:rsidRPr="00783C5D">
        <w:rPr>
          <w:rFonts w:eastAsia="Times New Roman"/>
          <w:b/>
        </w:rPr>
        <w:lastRenderedPageBreak/>
        <w:t>ANALIZA USPJEŠNOSTI PROVEDBE AKCIJSKOG PLANA</w:t>
      </w:r>
      <w:r w:rsidR="003160A1" w:rsidRPr="00783C5D">
        <w:rPr>
          <w:rFonts w:eastAsia="Times New Roman"/>
          <w:b/>
        </w:rPr>
        <w:t xml:space="preserve"> ENERGETSKI ODRŽIVOG RAZVITKA GRADA </w:t>
      </w:r>
      <w:r w:rsidR="000F64C5" w:rsidRPr="00783C5D">
        <w:rPr>
          <w:rFonts w:eastAsia="Times New Roman"/>
          <w:b/>
        </w:rPr>
        <w:t>ZAGREBA</w:t>
      </w:r>
      <w:bookmarkEnd w:id="398"/>
    </w:p>
    <w:p w14:paraId="610F16BA" w14:textId="37EE451E" w:rsidR="00701D78" w:rsidRPr="00783C5D" w:rsidRDefault="00AD45D9" w:rsidP="00E92750">
      <w:pPr>
        <w:spacing w:line="240" w:lineRule="auto"/>
        <w:jc w:val="both"/>
        <w:rPr>
          <w:rFonts w:cstheme="minorHAnsi"/>
        </w:rPr>
      </w:pPr>
      <w:r w:rsidRPr="00783C5D">
        <w:t xml:space="preserve">Grad Zagreb se potpisivanjem Sporazuma gradonačelnika uključio u europsku inicijativu za smanjenje emisije stakleničkih plinova i predložio indikativni cilj </w:t>
      </w:r>
      <w:r w:rsidR="00701D78" w:rsidRPr="00783C5D">
        <w:rPr>
          <w:rFonts w:cstheme="minorHAnsi"/>
        </w:rPr>
        <w:t>smanjenja emisije CO</w:t>
      </w:r>
      <w:r w:rsidR="00701D78" w:rsidRPr="00783C5D">
        <w:rPr>
          <w:rFonts w:cstheme="minorHAnsi"/>
          <w:vertAlign w:val="subscript"/>
        </w:rPr>
        <w:t>2</w:t>
      </w:r>
      <w:r w:rsidR="00701D78" w:rsidRPr="00783C5D">
        <w:rPr>
          <w:rFonts w:cstheme="minorHAnsi"/>
        </w:rPr>
        <w:t xml:space="preserve"> od 21%</w:t>
      </w:r>
      <w:r w:rsidR="008811D6" w:rsidRPr="00783C5D">
        <w:rPr>
          <w:rFonts w:cstheme="minorHAnsi"/>
        </w:rPr>
        <w:t xml:space="preserve"> u odnosu na 2008. godinu, što je ekvivalentno </w:t>
      </w:r>
      <w:r w:rsidR="006569FC" w:rsidRPr="00783C5D">
        <w:rPr>
          <w:rFonts w:cstheme="minorHAnsi"/>
          <w:b/>
        </w:rPr>
        <w:t>587 17</w:t>
      </w:r>
      <w:r w:rsidR="00D92DA6" w:rsidRPr="00783C5D">
        <w:rPr>
          <w:rFonts w:cstheme="minorHAnsi"/>
          <w:b/>
        </w:rPr>
        <w:t>1</w:t>
      </w:r>
      <w:r w:rsidR="001816D3" w:rsidRPr="00783C5D">
        <w:rPr>
          <w:rFonts w:cstheme="minorHAnsi"/>
          <w:b/>
        </w:rPr>
        <w:t xml:space="preserve"> </w:t>
      </w:r>
      <w:r w:rsidR="00701D78" w:rsidRPr="00783C5D">
        <w:rPr>
          <w:rFonts w:cstheme="minorHAnsi"/>
          <w:b/>
        </w:rPr>
        <w:t>t CO</w:t>
      </w:r>
      <w:r w:rsidR="00701D78" w:rsidRPr="00783C5D">
        <w:rPr>
          <w:rFonts w:cstheme="minorHAnsi"/>
          <w:b/>
          <w:vertAlign w:val="subscript"/>
        </w:rPr>
        <w:t>2</w:t>
      </w:r>
      <w:r w:rsidR="008811D6" w:rsidRPr="00783C5D">
        <w:rPr>
          <w:rFonts w:cstheme="minorHAnsi"/>
        </w:rPr>
        <w:t xml:space="preserve"> do 2020. godine. Zadani indikativni cilj smanjenja emisije CO</w:t>
      </w:r>
      <w:r w:rsidR="008811D6" w:rsidRPr="00783C5D">
        <w:rPr>
          <w:rFonts w:cstheme="minorHAnsi"/>
          <w:vertAlign w:val="subscript"/>
        </w:rPr>
        <w:t>2</w:t>
      </w:r>
      <w:r w:rsidR="008811D6" w:rsidRPr="00783C5D">
        <w:rPr>
          <w:rFonts w:cstheme="minorHAnsi"/>
        </w:rPr>
        <w:t xml:space="preserve"> se odnosi na tri glavna sektora – zgradarstvo, promet i javnu rasvjetu sukladno preporukama Europske komisije.</w:t>
      </w:r>
    </w:p>
    <w:p w14:paraId="516A6AFA" w14:textId="1C8D9E6E" w:rsidR="0096127C" w:rsidRPr="00783C5D" w:rsidRDefault="00204E38" w:rsidP="00E92750">
      <w:pPr>
        <w:spacing w:before="240" w:line="240" w:lineRule="auto"/>
        <w:jc w:val="both"/>
      </w:pPr>
      <w:r w:rsidRPr="00783C5D">
        <w:t xml:space="preserve">U sklopu Akcijskog plana izvršen je odabir prioritetnih mjera i aktivnosti čijom primjenom se može ostvariti zadani </w:t>
      </w:r>
      <w:r w:rsidR="00DD08EF" w:rsidRPr="00783C5D">
        <w:t xml:space="preserve">indikativni </w:t>
      </w:r>
      <w:r w:rsidRPr="00783C5D">
        <w:t>cilj smanjenja emisije CO</w:t>
      </w:r>
      <w:r w:rsidRPr="00783C5D">
        <w:rPr>
          <w:vertAlign w:val="subscript"/>
        </w:rPr>
        <w:t>2</w:t>
      </w:r>
      <w:r w:rsidR="006427BC" w:rsidRPr="00783C5D">
        <w:t xml:space="preserve"> za</w:t>
      </w:r>
      <w:r w:rsidR="008811D6" w:rsidRPr="00783C5D">
        <w:t xml:space="preserve"> sva tri spomenuta sektora</w:t>
      </w:r>
      <w:r w:rsidR="007D0C96">
        <w:rPr>
          <w:rFonts w:eastAsia="Calibri" w:cstheme="minorHAnsi"/>
        </w:rPr>
        <w:t>.</w:t>
      </w:r>
      <w:r w:rsidR="004546ED" w:rsidRPr="00783C5D">
        <w:rPr>
          <w:rFonts w:eastAsia="Calibri" w:cstheme="minorHAnsi"/>
        </w:rPr>
        <w:t xml:space="preserve"> </w:t>
      </w:r>
      <w:r w:rsidR="007D0C96">
        <w:t>S</w:t>
      </w:r>
      <w:r w:rsidR="00847E49" w:rsidRPr="00783C5D">
        <w:t xml:space="preserve"> ciljem dobivanja odgovora ko</w:t>
      </w:r>
      <w:r w:rsidR="004546ED" w:rsidRPr="00783C5D">
        <w:t>liko je u</w:t>
      </w:r>
      <w:r w:rsidR="00847E49" w:rsidRPr="00783C5D">
        <w:t>stvari uspješna pr</w:t>
      </w:r>
      <w:r w:rsidR="0073081E" w:rsidRPr="00783C5D">
        <w:t>ovedba Akcijskog plana u ovom</w:t>
      </w:r>
      <w:r w:rsidR="00847E49" w:rsidRPr="00783C5D">
        <w:t xml:space="preserve"> </w:t>
      </w:r>
      <w:r w:rsidR="0073081E" w:rsidRPr="00783C5D">
        <w:t>poglavlju</w:t>
      </w:r>
      <w:r w:rsidR="00847E49" w:rsidRPr="00783C5D">
        <w:t xml:space="preserve"> izradit će se Analiza uspj</w:t>
      </w:r>
      <w:r w:rsidR="00097C18" w:rsidRPr="00783C5D">
        <w:t>ešnosti njegove provedbe</w:t>
      </w:r>
      <w:r w:rsidR="00847E49" w:rsidRPr="00783C5D">
        <w:t>.</w:t>
      </w:r>
      <w:r w:rsidR="0096127C" w:rsidRPr="00783C5D">
        <w:t xml:space="preserve"> </w:t>
      </w:r>
    </w:p>
    <w:p w14:paraId="3FF9DDBF" w14:textId="2F71DF2A" w:rsidR="006427BC" w:rsidRPr="00783C5D" w:rsidRDefault="00203734" w:rsidP="00E92750">
      <w:pPr>
        <w:spacing w:line="240" w:lineRule="auto"/>
        <w:jc w:val="both"/>
      </w:pPr>
      <w:r w:rsidRPr="00783C5D">
        <w:t xml:space="preserve">Analiza uspješnosti </w:t>
      </w:r>
      <w:r w:rsidR="006A5528" w:rsidRPr="00783C5D">
        <w:t xml:space="preserve">provedbe Akcijskog plana </w:t>
      </w:r>
      <w:r w:rsidRPr="00783C5D">
        <w:t xml:space="preserve">obuhvatit će sve mjere i aktivnosti </w:t>
      </w:r>
      <w:r w:rsidR="00642F25" w:rsidRPr="00783C5D">
        <w:t xml:space="preserve">realizirane </w:t>
      </w:r>
      <w:r w:rsidRPr="00783C5D">
        <w:t>zaključ</w:t>
      </w:r>
      <w:r w:rsidR="006427BC" w:rsidRPr="00783C5D">
        <w:t>n</w:t>
      </w:r>
      <w:r w:rsidR="008811D6" w:rsidRPr="00783C5D">
        <w:t>o do 31. prosinca 20</w:t>
      </w:r>
      <w:r w:rsidR="002365B9" w:rsidRPr="00783C5D">
        <w:t xml:space="preserve">15. godine </w:t>
      </w:r>
      <w:r w:rsidR="0073081E" w:rsidRPr="00783C5D">
        <w:t xml:space="preserve">i dati odgovor na pitanje odvija li </w:t>
      </w:r>
      <w:r w:rsidR="008811D6" w:rsidRPr="00783C5D">
        <w:t>se</w:t>
      </w:r>
      <w:r w:rsidR="0073081E" w:rsidRPr="00783C5D">
        <w:t xml:space="preserve"> provedba Akcijskog plana</w:t>
      </w:r>
      <w:r w:rsidR="008811D6" w:rsidRPr="00783C5D">
        <w:t xml:space="preserve"> prema planu, </w:t>
      </w:r>
      <w:r w:rsidR="002365B9" w:rsidRPr="00783C5D">
        <w:t xml:space="preserve">odnosno koliko je </w:t>
      </w:r>
      <w:r w:rsidR="0047323F">
        <w:t>ustvari napravljeno do sad u fazi</w:t>
      </w:r>
      <w:r w:rsidR="002365B9" w:rsidRPr="00783C5D">
        <w:t xml:space="preserve"> „na pola puta“</w:t>
      </w:r>
      <w:r w:rsidR="0047323F">
        <w:t xml:space="preserve"> do predviđene 2020. godine.</w:t>
      </w:r>
      <w:r w:rsidR="008811D6" w:rsidRPr="00783C5D">
        <w:t xml:space="preserve"> </w:t>
      </w:r>
    </w:p>
    <w:p w14:paraId="234D1945" w14:textId="47EFDFCC" w:rsidR="002C142D" w:rsidRPr="009B63BB" w:rsidRDefault="002C142D" w:rsidP="00E92750">
      <w:pPr>
        <w:spacing w:after="240" w:line="240" w:lineRule="auto"/>
        <w:jc w:val="both"/>
      </w:pPr>
      <w:r w:rsidRPr="009B63BB">
        <w:t>Pregled izvora</w:t>
      </w:r>
      <w:r w:rsidR="00DD6A67" w:rsidRPr="009B63BB">
        <w:t xml:space="preserve"> relevantnih podataka </w:t>
      </w:r>
      <w:r w:rsidR="008811D6" w:rsidRPr="009B63BB">
        <w:t>korištenih za izradu Analize uspješnosti provedbe Akcijskog plana</w:t>
      </w:r>
      <w:r w:rsidRPr="009B63BB">
        <w:t xml:space="preserve"> dan je u nastavku:</w:t>
      </w:r>
    </w:p>
    <w:p w14:paraId="5FCF35CB" w14:textId="77777777" w:rsidR="002C142D" w:rsidRPr="009B63BB" w:rsidRDefault="002C142D" w:rsidP="00EE7021">
      <w:pPr>
        <w:numPr>
          <w:ilvl w:val="0"/>
          <w:numId w:val="34"/>
        </w:numPr>
        <w:spacing w:after="0" w:line="240" w:lineRule="auto"/>
        <w:jc w:val="both"/>
      </w:pPr>
      <w:r w:rsidRPr="009B63BB">
        <w:t>Gradski ured za energetiku, zaštitu okoliša i održivi razvoj, Grad Zagreb;</w:t>
      </w:r>
    </w:p>
    <w:p w14:paraId="2B4FA2C2" w14:textId="77777777" w:rsidR="002C142D" w:rsidRPr="009B63BB" w:rsidRDefault="002C142D" w:rsidP="00EE7021">
      <w:pPr>
        <w:numPr>
          <w:ilvl w:val="0"/>
          <w:numId w:val="34"/>
        </w:numPr>
        <w:spacing w:after="0" w:line="240" w:lineRule="auto"/>
        <w:jc w:val="both"/>
      </w:pPr>
      <w:r w:rsidRPr="009B63BB">
        <w:t>Gradski ured za zdravstvo, Grad Zagreb;</w:t>
      </w:r>
    </w:p>
    <w:p w14:paraId="2923C98A" w14:textId="77777777" w:rsidR="002C142D" w:rsidRPr="009B63BB" w:rsidRDefault="002C142D" w:rsidP="00EE7021">
      <w:pPr>
        <w:numPr>
          <w:ilvl w:val="0"/>
          <w:numId w:val="34"/>
        </w:numPr>
        <w:spacing w:after="0" w:line="240" w:lineRule="auto"/>
        <w:ind w:left="714" w:hanging="357"/>
        <w:jc w:val="both"/>
      </w:pPr>
      <w:r w:rsidRPr="009B63BB">
        <w:t>Gradski ured za gospodarstvo, radi i poduzetništvo, Grad Zagreb;</w:t>
      </w:r>
    </w:p>
    <w:p w14:paraId="5CF77D89" w14:textId="3AD9E3B3" w:rsidR="002C142D" w:rsidRPr="009B63BB" w:rsidRDefault="002C142D" w:rsidP="00EE7021">
      <w:pPr>
        <w:numPr>
          <w:ilvl w:val="0"/>
          <w:numId w:val="34"/>
        </w:numPr>
        <w:spacing w:after="0" w:line="240" w:lineRule="auto"/>
        <w:jc w:val="both"/>
      </w:pPr>
      <w:r w:rsidRPr="009B63BB">
        <w:t>Gradski ured za prostorno uređenje, izgradnju Grada, graditeljstvo, komunalne poslove i promet, Grad Zagreb, Odsjek za građenje i održavanje javne rasvjet</w:t>
      </w:r>
      <w:r w:rsidR="00134303" w:rsidRPr="009B63BB">
        <w:t>e;</w:t>
      </w:r>
    </w:p>
    <w:p w14:paraId="55667249" w14:textId="46D47612" w:rsidR="00F07DBF" w:rsidRPr="009B63BB" w:rsidRDefault="00F07DBF" w:rsidP="00EE7021">
      <w:pPr>
        <w:numPr>
          <w:ilvl w:val="0"/>
          <w:numId w:val="34"/>
        </w:numPr>
        <w:spacing w:after="0" w:line="240" w:lineRule="auto"/>
        <w:jc w:val="both"/>
      </w:pPr>
      <w:r w:rsidRPr="009B63BB">
        <w:t>Gradski ured za socijalnu zaštitu i osobe s invaliditetom;</w:t>
      </w:r>
    </w:p>
    <w:p w14:paraId="2C324E17" w14:textId="3B35A75A" w:rsidR="00D2789D" w:rsidRPr="009B63BB" w:rsidRDefault="00134303" w:rsidP="00EE7021">
      <w:pPr>
        <w:numPr>
          <w:ilvl w:val="0"/>
          <w:numId w:val="34"/>
        </w:numPr>
        <w:spacing w:after="0" w:line="240" w:lineRule="auto"/>
        <w:jc w:val="both"/>
      </w:pPr>
      <w:r w:rsidRPr="009B63BB">
        <w:t>Podružnice, trgovačka društva i ustanova Zagrebačkog Holdinga d.o.o</w:t>
      </w:r>
      <w:r w:rsidR="008A0299" w:rsidRPr="009B63BB">
        <w:t>.:</w:t>
      </w:r>
    </w:p>
    <w:p w14:paraId="26D62376" w14:textId="14620B34" w:rsidR="008A0299" w:rsidRPr="009B63BB" w:rsidRDefault="008A0299" w:rsidP="00EE7021">
      <w:pPr>
        <w:pStyle w:val="ListParagraph"/>
        <w:numPr>
          <w:ilvl w:val="0"/>
          <w:numId w:val="46"/>
        </w:numPr>
        <w:spacing w:after="0" w:line="240" w:lineRule="auto"/>
        <w:jc w:val="both"/>
      </w:pPr>
      <w:r w:rsidRPr="009B63BB">
        <w:t>AGM d.o.o.;</w:t>
      </w:r>
    </w:p>
    <w:p w14:paraId="001B33A6" w14:textId="105485C3" w:rsidR="008A0299" w:rsidRPr="009B63BB" w:rsidRDefault="008A0299" w:rsidP="00EE7021">
      <w:pPr>
        <w:pStyle w:val="ListParagraph"/>
        <w:numPr>
          <w:ilvl w:val="0"/>
          <w:numId w:val="46"/>
        </w:numPr>
        <w:spacing w:after="0" w:line="240" w:lineRule="auto"/>
        <w:jc w:val="both"/>
      </w:pPr>
      <w:r w:rsidRPr="009B63BB">
        <w:t>Arena Zagreb;</w:t>
      </w:r>
    </w:p>
    <w:p w14:paraId="2E990940" w14:textId="159C4257" w:rsidR="008A0299" w:rsidRPr="009B63BB" w:rsidRDefault="008A0299" w:rsidP="00EE7021">
      <w:pPr>
        <w:pStyle w:val="ListParagraph"/>
        <w:numPr>
          <w:ilvl w:val="0"/>
          <w:numId w:val="46"/>
        </w:numPr>
        <w:spacing w:after="0" w:line="240" w:lineRule="auto"/>
        <w:jc w:val="both"/>
      </w:pPr>
      <w:r w:rsidRPr="009B63BB">
        <w:t>Autobusni kolodvor;</w:t>
      </w:r>
    </w:p>
    <w:p w14:paraId="40049A98" w14:textId="26A9B56F" w:rsidR="008A0299" w:rsidRPr="009B63BB" w:rsidRDefault="008A0299" w:rsidP="00EE7021">
      <w:pPr>
        <w:pStyle w:val="ListParagraph"/>
        <w:numPr>
          <w:ilvl w:val="0"/>
          <w:numId w:val="46"/>
        </w:numPr>
        <w:spacing w:after="0" w:line="240" w:lineRule="auto"/>
        <w:jc w:val="both"/>
      </w:pPr>
      <w:r w:rsidRPr="009B63BB">
        <w:t>Centar d.o.o.;</w:t>
      </w:r>
    </w:p>
    <w:p w14:paraId="0BAB7FE1" w14:textId="57A23525" w:rsidR="008A0299" w:rsidRPr="009B63BB" w:rsidRDefault="008A0299" w:rsidP="00EE7021">
      <w:pPr>
        <w:pStyle w:val="ListParagraph"/>
        <w:numPr>
          <w:ilvl w:val="0"/>
          <w:numId w:val="46"/>
        </w:numPr>
        <w:spacing w:after="0" w:line="240" w:lineRule="auto"/>
        <w:jc w:val="both"/>
      </w:pPr>
      <w:r w:rsidRPr="009B63BB">
        <w:t>Čistoća;</w:t>
      </w:r>
    </w:p>
    <w:p w14:paraId="4D55993A" w14:textId="04DDB3C5" w:rsidR="008A0299" w:rsidRPr="009B63BB" w:rsidRDefault="008A0299" w:rsidP="00EE7021">
      <w:pPr>
        <w:pStyle w:val="ListParagraph"/>
        <w:numPr>
          <w:ilvl w:val="0"/>
          <w:numId w:val="46"/>
        </w:numPr>
        <w:spacing w:after="0" w:line="240" w:lineRule="auto"/>
        <w:jc w:val="both"/>
      </w:pPr>
      <w:r w:rsidRPr="009B63BB">
        <w:t>Gradska groblja;</w:t>
      </w:r>
    </w:p>
    <w:p w14:paraId="67E432A4" w14:textId="4846528D" w:rsidR="008A0299" w:rsidRPr="009B63BB" w:rsidRDefault="008A0299" w:rsidP="00EE7021">
      <w:pPr>
        <w:pStyle w:val="ListParagraph"/>
        <w:numPr>
          <w:ilvl w:val="0"/>
          <w:numId w:val="46"/>
        </w:numPr>
        <w:spacing w:after="0" w:line="240" w:lineRule="auto"/>
        <w:jc w:val="both"/>
      </w:pPr>
      <w:r w:rsidRPr="009B63BB">
        <w:t>Gradska ljekarna Zagreb;</w:t>
      </w:r>
    </w:p>
    <w:p w14:paraId="38779EFC" w14:textId="4CD9B7B9" w:rsidR="008A0299" w:rsidRPr="009B63BB" w:rsidRDefault="008A0299" w:rsidP="00EE7021">
      <w:pPr>
        <w:pStyle w:val="ListParagraph"/>
        <w:numPr>
          <w:ilvl w:val="0"/>
          <w:numId w:val="46"/>
        </w:numPr>
        <w:spacing w:after="0" w:line="240" w:lineRule="auto"/>
        <w:jc w:val="both"/>
      </w:pPr>
      <w:r w:rsidRPr="009B63BB">
        <w:t>Gradska plinara Zagreb d.o.o.;</w:t>
      </w:r>
    </w:p>
    <w:p w14:paraId="601B087B" w14:textId="576A1F81" w:rsidR="008A0299" w:rsidRPr="009B63BB" w:rsidRDefault="008A0299" w:rsidP="00EE7021">
      <w:pPr>
        <w:pStyle w:val="ListParagraph"/>
        <w:numPr>
          <w:ilvl w:val="0"/>
          <w:numId w:val="46"/>
        </w:numPr>
        <w:spacing w:after="0" w:line="240" w:lineRule="auto"/>
        <w:jc w:val="both"/>
      </w:pPr>
      <w:r w:rsidRPr="009B63BB">
        <w:t>Gradska plinara Zagreb Opskrba d.o.o.;</w:t>
      </w:r>
    </w:p>
    <w:p w14:paraId="082135D9" w14:textId="1D4775E7" w:rsidR="008A0299" w:rsidRPr="009B63BB" w:rsidRDefault="008A0299" w:rsidP="00EE7021">
      <w:pPr>
        <w:pStyle w:val="ListParagraph"/>
        <w:numPr>
          <w:ilvl w:val="0"/>
          <w:numId w:val="46"/>
        </w:numPr>
        <w:spacing w:after="0" w:line="240" w:lineRule="auto"/>
        <w:jc w:val="both"/>
      </w:pPr>
      <w:r w:rsidRPr="009B63BB">
        <w:t>Gradsko stambeno komunalno gospodarstvo d.o.o.;</w:t>
      </w:r>
    </w:p>
    <w:p w14:paraId="7D1B6D2A" w14:textId="5982D0D2" w:rsidR="008A0299" w:rsidRPr="009B63BB" w:rsidRDefault="008A0299" w:rsidP="00EE7021">
      <w:pPr>
        <w:pStyle w:val="ListParagraph"/>
        <w:numPr>
          <w:ilvl w:val="0"/>
          <w:numId w:val="46"/>
        </w:numPr>
        <w:spacing w:after="0" w:line="240" w:lineRule="auto"/>
        <w:jc w:val="both"/>
      </w:pPr>
      <w:r w:rsidRPr="009B63BB">
        <w:t>Robni terminali Zagreb;</w:t>
      </w:r>
    </w:p>
    <w:p w14:paraId="2037F253" w14:textId="0A91E115" w:rsidR="008A0299" w:rsidRPr="009B63BB" w:rsidRDefault="008A0299" w:rsidP="00EE7021">
      <w:pPr>
        <w:pStyle w:val="ListParagraph"/>
        <w:numPr>
          <w:ilvl w:val="0"/>
          <w:numId w:val="46"/>
        </w:numPr>
        <w:spacing w:after="0" w:line="240" w:lineRule="auto"/>
        <w:jc w:val="both"/>
      </w:pPr>
      <w:r w:rsidRPr="009B63BB">
        <w:t>Upravljanje nekretninama;</w:t>
      </w:r>
    </w:p>
    <w:p w14:paraId="1D581C9E" w14:textId="19749F79" w:rsidR="008A0299" w:rsidRPr="009B63BB" w:rsidRDefault="008A0299" w:rsidP="00EE7021">
      <w:pPr>
        <w:pStyle w:val="ListParagraph"/>
        <w:numPr>
          <w:ilvl w:val="0"/>
          <w:numId w:val="46"/>
        </w:numPr>
        <w:spacing w:after="0" w:line="240" w:lineRule="auto"/>
        <w:jc w:val="both"/>
      </w:pPr>
      <w:r w:rsidRPr="009B63BB">
        <w:t>Upravljanje projektima;</w:t>
      </w:r>
    </w:p>
    <w:p w14:paraId="584E914B" w14:textId="2A16AB51" w:rsidR="008A0299" w:rsidRPr="009B63BB" w:rsidRDefault="008A0299" w:rsidP="00EE7021">
      <w:pPr>
        <w:pStyle w:val="ListParagraph"/>
        <w:numPr>
          <w:ilvl w:val="0"/>
          <w:numId w:val="46"/>
        </w:numPr>
        <w:spacing w:after="0" w:line="240" w:lineRule="auto"/>
        <w:jc w:val="both"/>
      </w:pPr>
      <w:r w:rsidRPr="009B63BB">
        <w:t>Tržnice Zagreb;</w:t>
      </w:r>
    </w:p>
    <w:p w14:paraId="5928D76A" w14:textId="42B70B68" w:rsidR="008A0299" w:rsidRPr="009B63BB" w:rsidRDefault="008A0299" w:rsidP="00EE7021">
      <w:pPr>
        <w:pStyle w:val="ListParagraph"/>
        <w:numPr>
          <w:ilvl w:val="0"/>
          <w:numId w:val="46"/>
        </w:numPr>
        <w:spacing w:after="0" w:line="240" w:lineRule="auto"/>
        <w:jc w:val="both"/>
      </w:pPr>
      <w:r w:rsidRPr="009B63BB">
        <w:t>Vladimir Nazor;</w:t>
      </w:r>
    </w:p>
    <w:p w14:paraId="0EDCF04D" w14:textId="77777777" w:rsidR="008A0299" w:rsidRPr="009B63BB" w:rsidRDefault="008A0299" w:rsidP="00EE7021">
      <w:pPr>
        <w:pStyle w:val="ListParagraph"/>
        <w:numPr>
          <w:ilvl w:val="0"/>
          <w:numId w:val="46"/>
        </w:numPr>
        <w:spacing w:after="0" w:line="240" w:lineRule="auto"/>
        <w:jc w:val="both"/>
      </w:pPr>
      <w:r w:rsidRPr="009B63BB">
        <w:t>Vodoopskrba i odvodnja d.o.o.</w:t>
      </w:r>
    </w:p>
    <w:p w14:paraId="4CFB77F0" w14:textId="033D6B7A" w:rsidR="008A0299" w:rsidRPr="009B63BB" w:rsidRDefault="008A0299" w:rsidP="00EE7021">
      <w:pPr>
        <w:pStyle w:val="ListParagraph"/>
        <w:numPr>
          <w:ilvl w:val="0"/>
          <w:numId w:val="46"/>
        </w:numPr>
        <w:spacing w:after="0" w:line="240" w:lineRule="auto"/>
        <w:jc w:val="both"/>
      </w:pPr>
      <w:r w:rsidRPr="009B63BB">
        <w:t>Zagreb plakat d.o.o.;</w:t>
      </w:r>
    </w:p>
    <w:p w14:paraId="66351457" w14:textId="6650E0DD" w:rsidR="008A0299" w:rsidRPr="009B63BB" w:rsidRDefault="008A0299" w:rsidP="00EE7021">
      <w:pPr>
        <w:pStyle w:val="ListParagraph"/>
        <w:numPr>
          <w:ilvl w:val="0"/>
          <w:numId w:val="46"/>
        </w:numPr>
        <w:spacing w:after="0" w:line="240" w:lineRule="auto"/>
        <w:jc w:val="both"/>
      </w:pPr>
      <w:r w:rsidRPr="009B63BB">
        <w:t>Zagrebačka stanogradnja d.o.o.;</w:t>
      </w:r>
    </w:p>
    <w:p w14:paraId="1D5A4BDD" w14:textId="47CF6B4F" w:rsidR="008A0299" w:rsidRPr="009B63BB" w:rsidRDefault="008A0299" w:rsidP="00EE7021">
      <w:pPr>
        <w:pStyle w:val="ListParagraph"/>
        <w:numPr>
          <w:ilvl w:val="0"/>
          <w:numId w:val="46"/>
        </w:numPr>
        <w:spacing w:after="0" w:line="240" w:lineRule="auto"/>
        <w:jc w:val="both"/>
      </w:pPr>
      <w:r w:rsidRPr="009B63BB">
        <w:t>Zagrebparking;</w:t>
      </w:r>
    </w:p>
    <w:p w14:paraId="2C1D133C" w14:textId="7B548B30" w:rsidR="008A0299" w:rsidRPr="009B63BB" w:rsidRDefault="008A0299" w:rsidP="00EE7021">
      <w:pPr>
        <w:pStyle w:val="ListParagraph"/>
        <w:numPr>
          <w:ilvl w:val="0"/>
          <w:numId w:val="46"/>
        </w:numPr>
        <w:spacing w:after="0" w:line="240" w:lineRule="auto"/>
        <w:jc w:val="both"/>
      </w:pPr>
      <w:r w:rsidRPr="009B63BB">
        <w:t>Zagrebačke ceste;</w:t>
      </w:r>
    </w:p>
    <w:p w14:paraId="7277B63E" w14:textId="756CBA4D" w:rsidR="008A0299" w:rsidRPr="009B63BB" w:rsidRDefault="008A0299" w:rsidP="00EE7021">
      <w:pPr>
        <w:pStyle w:val="ListParagraph"/>
        <w:numPr>
          <w:ilvl w:val="0"/>
          <w:numId w:val="46"/>
        </w:numPr>
        <w:spacing w:after="0" w:line="240" w:lineRule="auto"/>
        <w:jc w:val="both"/>
      </w:pPr>
      <w:r w:rsidRPr="009B63BB">
        <w:t>Zagrebački digitalni grad;</w:t>
      </w:r>
    </w:p>
    <w:p w14:paraId="7597535E" w14:textId="7BF018D4" w:rsidR="008A0299" w:rsidRPr="009B63BB" w:rsidRDefault="008A0299" w:rsidP="00EE7021">
      <w:pPr>
        <w:pStyle w:val="ListParagraph"/>
        <w:numPr>
          <w:ilvl w:val="0"/>
          <w:numId w:val="46"/>
        </w:numPr>
        <w:spacing w:after="0" w:line="240" w:lineRule="auto"/>
        <w:jc w:val="both"/>
      </w:pPr>
      <w:r w:rsidRPr="009B63BB">
        <w:lastRenderedPageBreak/>
        <w:t>Zagrebački električni tramvaj – ZET;</w:t>
      </w:r>
    </w:p>
    <w:p w14:paraId="49663E40" w14:textId="44F57114" w:rsidR="008A0299" w:rsidRPr="009B63BB" w:rsidRDefault="008A0299" w:rsidP="00EE7021">
      <w:pPr>
        <w:pStyle w:val="ListParagraph"/>
        <w:numPr>
          <w:ilvl w:val="0"/>
          <w:numId w:val="46"/>
        </w:numPr>
        <w:spacing w:after="0" w:line="240" w:lineRule="auto"/>
        <w:jc w:val="both"/>
      </w:pPr>
      <w:r w:rsidRPr="009B63BB">
        <w:t>Zagrebački velesajam;</w:t>
      </w:r>
    </w:p>
    <w:p w14:paraId="726EF5E3" w14:textId="16FFF40B" w:rsidR="008A0299" w:rsidRPr="009B63BB" w:rsidRDefault="008A0299" w:rsidP="00EE7021">
      <w:pPr>
        <w:pStyle w:val="ListParagraph"/>
        <w:numPr>
          <w:ilvl w:val="0"/>
          <w:numId w:val="46"/>
        </w:numPr>
        <w:spacing w:after="0" w:line="240" w:lineRule="auto"/>
        <w:jc w:val="both"/>
      </w:pPr>
      <w:r w:rsidRPr="009B63BB">
        <w:t>ZGOS i</w:t>
      </w:r>
    </w:p>
    <w:p w14:paraId="675AFD78" w14:textId="7442136C" w:rsidR="008A0299" w:rsidRPr="009B63BB" w:rsidRDefault="008A0299" w:rsidP="00EE7021">
      <w:pPr>
        <w:pStyle w:val="ListParagraph"/>
        <w:numPr>
          <w:ilvl w:val="0"/>
          <w:numId w:val="46"/>
        </w:numPr>
        <w:spacing w:line="240" w:lineRule="auto"/>
        <w:jc w:val="both"/>
      </w:pPr>
      <w:r w:rsidRPr="009B63BB">
        <w:t>Zrinjevac.</w:t>
      </w:r>
    </w:p>
    <w:p w14:paraId="1D97D8C6" w14:textId="3E46BEA5" w:rsidR="002C142D" w:rsidRPr="009B63BB" w:rsidRDefault="002C142D" w:rsidP="00EE7021">
      <w:pPr>
        <w:numPr>
          <w:ilvl w:val="0"/>
          <w:numId w:val="34"/>
        </w:numPr>
        <w:spacing w:after="0" w:line="240" w:lineRule="auto"/>
        <w:jc w:val="both"/>
      </w:pPr>
      <w:r w:rsidRPr="009B63BB">
        <w:t>Izvješće o izvršenju programa radova kapitalnih ulaganja u objekte društvenih djelatnosti u Gradu Zagrebu, Gradski ured za prostorno uređenje, izgradnju Grada, graditeljs</w:t>
      </w:r>
      <w:r w:rsidR="006B28EA">
        <w:t>tvo, komunalne poslove i promet;</w:t>
      </w:r>
    </w:p>
    <w:p w14:paraId="5FBFF9B0" w14:textId="0778EA6A" w:rsidR="002C142D" w:rsidRPr="009B63BB" w:rsidRDefault="002C142D" w:rsidP="00EE7021">
      <w:pPr>
        <w:numPr>
          <w:ilvl w:val="0"/>
          <w:numId w:val="34"/>
        </w:numPr>
        <w:spacing w:after="0" w:line="240" w:lineRule="auto"/>
        <w:jc w:val="both"/>
      </w:pPr>
      <w:r w:rsidRPr="009B63BB">
        <w:t>Izvješće o izvršenju programa radova kapitalnih ulaganja u objekte društvenih djelatnosti u Gradu Zagrebu, Gradski ured za prostorno uređenje, izgradnju Grada, graditeljs</w:t>
      </w:r>
      <w:r w:rsidR="006B28EA">
        <w:t>tvo, komunalne poslove i promet;</w:t>
      </w:r>
    </w:p>
    <w:p w14:paraId="6FB5F2BF" w14:textId="6F944901" w:rsidR="00F50617" w:rsidRDefault="00F50617" w:rsidP="00EE7021">
      <w:pPr>
        <w:numPr>
          <w:ilvl w:val="0"/>
          <w:numId w:val="34"/>
        </w:numPr>
        <w:spacing w:after="0" w:line="240" w:lineRule="auto"/>
        <w:jc w:val="both"/>
      </w:pPr>
      <w:r>
        <w:t>Godišnji plan energetske učinkovitosti Grada Zagreba za 2015. godinu;</w:t>
      </w:r>
    </w:p>
    <w:p w14:paraId="10CB5976" w14:textId="7DEE100A" w:rsidR="00523B53" w:rsidRPr="009B63BB" w:rsidRDefault="00523B53" w:rsidP="00EE7021">
      <w:pPr>
        <w:numPr>
          <w:ilvl w:val="0"/>
          <w:numId w:val="34"/>
        </w:numPr>
        <w:spacing w:after="0" w:line="240" w:lineRule="auto"/>
        <w:jc w:val="both"/>
      </w:pPr>
      <w:r w:rsidRPr="009B63BB">
        <w:t>Godišnji plan energetske učinkovitosti Grada Zagreba za 2016. godinu;</w:t>
      </w:r>
    </w:p>
    <w:p w14:paraId="6563DBE6" w14:textId="7DEE100A" w:rsidR="002C142D" w:rsidRPr="000F10C2" w:rsidRDefault="002C142D" w:rsidP="00EE7021">
      <w:pPr>
        <w:numPr>
          <w:ilvl w:val="0"/>
          <w:numId w:val="34"/>
        </w:numPr>
        <w:spacing w:after="0" w:line="240" w:lineRule="auto"/>
        <w:jc w:val="both"/>
      </w:pPr>
      <w:r w:rsidRPr="000F10C2">
        <w:t>Godišnji izvještaji o izvršenju Proračuna Grada Zagreba i</w:t>
      </w:r>
    </w:p>
    <w:p w14:paraId="64501BAB" w14:textId="781BD571" w:rsidR="0096127C" w:rsidRPr="000F10C2" w:rsidRDefault="002C142D" w:rsidP="00EE7021">
      <w:pPr>
        <w:numPr>
          <w:ilvl w:val="0"/>
          <w:numId w:val="34"/>
        </w:numPr>
        <w:spacing w:after="240" w:line="240" w:lineRule="auto"/>
        <w:jc w:val="both"/>
      </w:pPr>
      <w:r w:rsidRPr="000F10C2">
        <w:t>Fond za zaštitu okoliša i energetsku učinkovitost.</w:t>
      </w:r>
    </w:p>
    <w:p w14:paraId="7042674E" w14:textId="75AAC907" w:rsidR="0096127C" w:rsidRPr="000F10C2" w:rsidRDefault="0096127C" w:rsidP="00E92750">
      <w:pPr>
        <w:spacing w:line="240" w:lineRule="auto"/>
        <w:jc w:val="both"/>
        <w:rPr>
          <w:rFonts w:cstheme="minorHAnsi"/>
          <w:iCs/>
        </w:rPr>
      </w:pPr>
      <w:r w:rsidRPr="000F10C2">
        <w:rPr>
          <w:rFonts w:cstheme="minorHAnsi"/>
          <w:iCs/>
        </w:rPr>
        <w:t>U nastavku je dan pregled rezultata Analize uspješnosti provedbe Akcijskog plana.</w:t>
      </w:r>
    </w:p>
    <w:p w14:paraId="5168D4F1" w14:textId="3D57DFC3" w:rsidR="002E458B" w:rsidRPr="000F10C2" w:rsidRDefault="002E458B" w:rsidP="00E92750">
      <w:pPr>
        <w:pStyle w:val="Heading2"/>
        <w:spacing w:after="240"/>
      </w:pPr>
      <w:bookmarkStart w:id="399" w:name="_Toc468345394"/>
      <w:r w:rsidRPr="000F10C2">
        <w:t>Status implementacije planiranih mjera i aktivnosti iz Akcijskog plana</w:t>
      </w:r>
      <w:bookmarkEnd w:id="399"/>
    </w:p>
    <w:p w14:paraId="1435EC78" w14:textId="12DC705C" w:rsidR="002E458B" w:rsidRPr="000F10C2" w:rsidRDefault="002E458B" w:rsidP="00CD1AE5">
      <w:pPr>
        <w:spacing w:line="240" w:lineRule="auto"/>
        <w:jc w:val="both"/>
      </w:pPr>
      <w:r w:rsidRPr="000F10C2">
        <w:t>U sklopu Analize najprije je napravljena analiza statusa implementacije m</w:t>
      </w:r>
      <w:r w:rsidR="00B5429C" w:rsidRPr="000F10C2">
        <w:t>jera i aktivnosti definiranih u</w:t>
      </w:r>
      <w:r w:rsidRPr="000F10C2">
        <w:t xml:space="preserve"> Akcijsko</w:t>
      </w:r>
      <w:r w:rsidR="00672B46" w:rsidRPr="000F10C2">
        <w:t>m</w:t>
      </w:r>
      <w:r w:rsidRPr="000F10C2">
        <w:t xml:space="preserve"> plan</w:t>
      </w:r>
      <w:r w:rsidR="00672B46" w:rsidRPr="000F10C2">
        <w:t>u</w:t>
      </w:r>
      <w:r w:rsidRPr="000F10C2">
        <w:t>, a čijom primjenom je planirano ostvariti zadani indikativni cilj smanjenja emisije CO</w:t>
      </w:r>
      <w:r w:rsidRPr="000F10C2">
        <w:rPr>
          <w:vertAlign w:val="subscript"/>
        </w:rPr>
        <w:t>2</w:t>
      </w:r>
      <w:r w:rsidRPr="000F10C2">
        <w:t xml:space="preserve"> do 2020. godine. Prikaz rezultata dan je na </w:t>
      </w:r>
      <w:r w:rsidRPr="000F10C2">
        <w:fldChar w:fldCharType="begin"/>
      </w:r>
      <w:r w:rsidRPr="000F10C2">
        <w:instrText xml:space="preserve"> REF _Ref467272349 \h  \* MERGEFORMAT </w:instrText>
      </w:r>
      <w:r w:rsidRPr="000F10C2">
        <w:fldChar w:fldCharType="separate"/>
      </w:r>
      <w:r w:rsidR="004612F3">
        <w:rPr>
          <w:b/>
          <w:bCs/>
        </w:rPr>
        <w:t>Slici</w:t>
      </w:r>
      <w:r w:rsidR="009C319B" w:rsidRPr="009C319B">
        <w:rPr>
          <w:b/>
          <w:bCs/>
        </w:rPr>
        <w:t xml:space="preserve"> </w:t>
      </w:r>
      <w:r w:rsidR="009C319B" w:rsidRPr="009C319B">
        <w:rPr>
          <w:b/>
          <w:bCs/>
          <w:noProof/>
        </w:rPr>
        <w:t>9.1</w:t>
      </w:r>
      <w:r w:rsidRPr="000F10C2">
        <w:fldChar w:fldCharType="end"/>
      </w:r>
      <w:r w:rsidRPr="000F10C2">
        <w:t>.</w:t>
      </w:r>
    </w:p>
    <w:p w14:paraId="3FF67ADB" w14:textId="5C1C2649" w:rsidR="002E458B" w:rsidRDefault="008B5865" w:rsidP="00E92750">
      <w:pPr>
        <w:spacing w:after="0" w:line="240" w:lineRule="auto"/>
        <w:jc w:val="center"/>
        <w:rPr>
          <w:noProof/>
          <w:lang w:eastAsia="hr-HR"/>
        </w:rPr>
      </w:pPr>
      <w:r>
        <w:rPr>
          <w:noProof/>
          <w:lang w:eastAsia="hr-HR"/>
        </w:rPr>
        <w:drawing>
          <wp:inline distT="0" distB="0" distL="0" distR="0" wp14:anchorId="3EF5B4D5" wp14:editId="40CC9E69">
            <wp:extent cx="5762445" cy="22860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DD3EC3D" w14:textId="0FF46BFC" w:rsidR="002E458B" w:rsidRPr="00882DAD" w:rsidRDefault="002E458B" w:rsidP="00E92750">
      <w:pPr>
        <w:spacing w:line="240" w:lineRule="auto"/>
        <w:jc w:val="center"/>
        <w:rPr>
          <w:rFonts w:ascii="Century Gothic" w:eastAsia="Calibri" w:hAnsi="Century Gothic" w:cs="Times New Roman"/>
          <w:b/>
        </w:rPr>
      </w:pPr>
      <w:bookmarkStart w:id="400" w:name="_Ref467272349"/>
      <w:bookmarkStart w:id="401" w:name="_Toc468277486"/>
      <w:r w:rsidRPr="00882DAD">
        <w:rPr>
          <w:b/>
          <w:bCs/>
        </w:rPr>
        <w:t xml:space="preserve">Slika </w:t>
      </w:r>
      <w:r w:rsidRPr="00882DAD">
        <w:rPr>
          <w:b/>
          <w:bCs/>
        </w:rPr>
        <w:fldChar w:fldCharType="begin"/>
      </w:r>
      <w:r w:rsidRPr="00882DAD">
        <w:rPr>
          <w:b/>
          <w:bCs/>
        </w:rPr>
        <w:instrText xml:space="preserve"> STYLEREF 1 \s </w:instrText>
      </w:r>
      <w:r w:rsidRPr="00882DAD">
        <w:rPr>
          <w:b/>
          <w:bCs/>
        </w:rPr>
        <w:fldChar w:fldCharType="separate"/>
      </w:r>
      <w:r w:rsidR="009C319B" w:rsidRPr="00882DAD">
        <w:rPr>
          <w:b/>
          <w:bCs/>
          <w:noProof/>
        </w:rPr>
        <w:t>9</w:t>
      </w:r>
      <w:r w:rsidRPr="00882DAD">
        <w:rPr>
          <w:b/>
          <w:bCs/>
        </w:rPr>
        <w:fldChar w:fldCharType="end"/>
      </w:r>
      <w:r w:rsidRPr="00882DAD">
        <w:rPr>
          <w:b/>
          <w:bCs/>
        </w:rPr>
        <w:t>.</w:t>
      </w:r>
      <w:r w:rsidRPr="00882DAD">
        <w:rPr>
          <w:b/>
          <w:bCs/>
        </w:rPr>
        <w:fldChar w:fldCharType="begin"/>
      </w:r>
      <w:r w:rsidRPr="00882DAD">
        <w:rPr>
          <w:b/>
          <w:bCs/>
        </w:rPr>
        <w:instrText xml:space="preserve"> SEQ Slika \* ARABIC \s 1 </w:instrText>
      </w:r>
      <w:r w:rsidRPr="00882DAD">
        <w:rPr>
          <w:b/>
          <w:bCs/>
        </w:rPr>
        <w:fldChar w:fldCharType="separate"/>
      </w:r>
      <w:r w:rsidR="009C319B" w:rsidRPr="00882DAD">
        <w:rPr>
          <w:b/>
          <w:bCs/>
          <w:noProof/>
        </w:rPr>
        <w:t>1</w:t>
      </w:r>
      <w:r w:rsidRPr="00882DAD">
        <w:rPr>
          <w:b/>
          <w:bCs/>
        </w:rPr>
        <w:fldChar w:fldCharType="end"/>
      </w:r>
      <w:bookmarkEnd w:id="400"/>
      <w:r w:rsidRPr="00882DAD">
        <w:rPr>
          <w:b/>
          <w:bCs/>
        </w:rPr>
        <w:t xml:space="preserve"> </w:t>
      </w:r>
      <w:r w:rsidRPr="00882DAD">
        <w:rPr>
          <w:rFonts w:ascii="Calibri" w:eastAsia="Calibri" w:hAnsi="Calibri" w:cs="Times New Roman"/>
          <w:bCs/>
        </w:rPr>
        <w:t>Status implementacije planiranih mjera i aktivnosti iz Akcijskog plana</w:t>
      </w:r>
      <w:bookmarkEnd w:id="401"/>
    </w:p>
    <w:p w14:paraId="1F35B6CE" w14:textId="5158790B" w:rsidR="00F3063D" w:rsidRPr="008E42A5" w:rsidRDefault="00B76D40" w:rsidP="00E92750">
      <w:pPr>
        <w:spacing w:line="240" w:lineRule="auto"/>
        <w:jc w:val="both"/>
        <w:rPr>
          <w:rFonts w:eastAsia="Calibri" w:cstheme="minorHAnsi"/>
          <w:iCs/>
        </w:rPr>
      </w:pPr>
      <w:r w:rsidRPr="008E42A5">
        <w:rPr>
          <w:rFonts w:eastAsia="Calibri" w:cstheme="minorHAnsi"/>
          <w:iCs/>
        </w:rPr>
        <w:t>Iz prethodne Slike je vidljivo da se i</w:t>
      </w:r>
      <w:r w:rsidR="002E458B" w:rsidRPr="008E42A5">
        <w:rPr>
          <w:rFonts w:eastAsia="Calibri" w:cstheme="minorHAnsi"/>
          <w:iCs/>
        </w:rPr>
        <w:t xml:space="preserve">mplementacija mjera i aktivnosti </w:t>
      </w:r>
      <w:r w:rsidRPr="008E42A5">
        <w:rPr>
          <w:rFonts w:eastAsia="Calibri" w:cstheme="minorHAnsi"/>
          <w:iCs/>
        </w:rPr>
        <w:t>u svim sektorima i podsektorima odvija</w:t>
      </w:r>
      <w:r w:rsidR="002E458B" w:rsidRPr="008E42A5">
        <w:rPr>
          <w:rFonts w:eastAsia="Calibri" w:cstheme="minorHAnsi"/>
          <w:iCs/>
        </w:rPr>
        <w:t xml:space="preserve"> uspješno</w:t>
      </w:r>
      <w:r w:rsidRPr="008E42A5">
        <w:rPr>
          <w:rFonts w:eastAsia="Calibri" w:cstheme="minorHAnsi"/>
          <w:iCs/>
        </w:rPr>
        <w:t>, pri čemu je implementacija mjera najuspješnija u sektoru</w:t>
      </w:r>
      <w:r w:rsidR="00E4379B" w:rsidRPr="008E42A5">
        <w:rPr>
          <w:rFonts w:eastAsia="Calibri" w:cstheme="minorHAnsi"/>
          <w:iCs/>
        </w:rPr>
        <w:t xml:space="preserve"> javne rasvjete (100%</w:t>
      </w:r>
      <w:r w:rsidRPr="008E42A5">
        <w:rPr>
          <w:rFonts w:eastAsia="Calibri" w:cstheme="minorHAnsi"/>
          <w:iCs/>
        </w:rPr>
        <w:t xml:space="preserve"> </w:t>
      </w:r>
      <w:r w:rsidR="00C13D4C">
        <w:rPr>
          <w:rFonts w:eastAsia="Calibri" w:cstheme="minorHAnsi"/>
          <w:iCs/>
        </w:rPr>
        <w:t>mjera</w:t>
      </w:r>
      <w:r w:rsidR="00315184" w:rsidRPr="008E42A5">
        <w:rPr>
          <w:rFonts w:eastAsia="Calibri" w:cstheme="minorHAnsi"/>
          <w:iCs/>
        </w:rPr>
        <w:t xml:space="preserve"> u provedbi).</w:t>
      </w:r>
    </w:p>
    <w:p w14:paraId="686C560C" w14:textId="6E8D43DB" w:rsidR="00C474D5" w:rsidRPr="008E42A5" w:rsidRDefault="00F3063D" w:rsidP="00E92750">
      <w:pPr>
        <w:spacing w:line="240" w:lineRule="auto"/>
        <w:jc w:val="both"/>
        <w:sectPr w:rsidR="00C474D5" w:rsidRPr="008E42A5" w:rsidSect="00827600">
          <w:pgSz w:w="11906" w:h="16838"/>
          <w:pgMar w:top="992" w:right="1418" w:bottom="1418" w:left="1418" w:header="709" w:footer="709" w:gutter="0"/>
          <w:cols w:space="708"/>
          <w:docGrid w:linePitch="360"/>
        </w:sectPr>
      </w:pPr>
      <w:r w:rsidRPr="008E42A5">
        <w:t xml:space="preserve">Ovdje je važno naglasiti da se konačan učinak smanjenja emisije </w:t>
      </w:r>
      <w:r w:rsidR="0002089F" w:rsidRPr="008E42A5">
        <w:t>CO</w:t>
      </w:r>
      <w:r w:rsidR="0002089F" w:rsidRPr="008E42A5">
        <w:rPr>
          <w:vertAlign w:val="subscript"/>
        </w:rPr>
        <w:t>2</w:t>
      </w:r>
      <w:r w:rsidR="0002089F" w:rsidRPr="008E42A5">
        <w:t xml:space="preserve"> mjera i aktivnosti čija je implementacija završena ili u fazi provedbe </w:t>
      </w:r>
      <w:r w:rsidRPr="008E42A5">
        <w:t>očekuje tek u 2020. godini.</w:t>
      </w:r>
      <w:r w:rsidRPr="008E42A5">
        <w:rPr>
          <w:rFonts w:eastAsia="Calibri" w:cstheme="minorHAnsi"/>
          <w:iCs/>
        </w:rPr>
        <w:t xml:space="preserve"> </w:t>
      </w:r>
      <w:r w:rsidR="0073081E" w:rsidRPr="008E42A5">
        <w:t>U ovom poglavlju</w:t>
      </w:r>
      <w:r w:rsidRPr="008E42A5">
        <w:t xml:space="preserve"> je dan pregled rezultata do sad ostvarenog smanjenja emisije CO</w:t>
      </w:r>
      <w:r w:rsidRPr="008E42A5">
        <w:rPr>
          <w:vertAlign w:val="subscript"/>
        </w:rPr>
        <w:t>2</w:t>
      </w:r>
      <w:r w:rsidR="007A34D1" w:rsidRPr="008E42A5">
        <w:t xml:space="preserve"> </w:t>
      </w:r>
      <w:r w:rsidRPr="008E42A5">
        <w:t xml:space="preserve">po sektorima, dok je projekcija očekivanog konačnog </w:t>
      </w:r>
      <w:r w:rsidR="007A34D1" w:rsidRPr="008E42A5">
        <w:t xml:space="preserve">učinka </w:t>
      </w:r>
      <w:r w:rsidRPr="008E42A5">
        <w:t>smanjenja emisije CO</w:t>
      </w:r>
      <w:r w:rsidRPr="008E42A5">
        <w:rPr>
          <w:vertAlign w:val="subscript"/>
        </w:rPr>
        <w:t xml:space="preserve">2 </w:t>
      </w:r>
      <w:r w:rsidRPr="008E42A5">
        <w:t>dana u Poglavlju 10 ovog dokumenta.</w:t>
      </w:r>
    </w:p>
    <w:p w14:paraId="5FCCD88D" w14:textId="7BC95170" w:rsidR="00E96086" w:rsidRPr="008E42A5" w:rsidRDefault="00D119A1" w:rsidP="00E92750">
      <w:pPr>
        <w:pStyle w:val="Heading2"/>
        <w:spacing w:after="240"/>
        <w:rPr>
          <w:rFonts w:eastAsia="Calibri"/>
        </w:rPr>
      </w:pPr>
      <w:bookmarkStart w:id="402" w:name="_Toc468345395"/>
      <w:r w:rsidRPr="008E42A5">
        <w:rPr>
          <w:rFonts w:eastAsia="Calibri"/>
        </w:rPr>
        <w:lastRenderedPageBreak/>
        <w:t xml:space="preserve">Pregled provedenih mjera i aktivnosti </w:t>
      </w:r>
      <w:r w:rsidR="00CD1AE5">
        <w:rPr>
          <w:rFonts w:eastAsia="Calibri"/>
        </w:rPr>
        <w:t>iz Akcijskog plana</w:t>
      </w:r>
      <w:bookmarkEnd w:id="402"/>
    </w:p>
    <w:p w14:paraId="63C00B72" w14:textId="34D779AF" w:rsidR="002575E1" w:rsidRPr="00BF47DC" w:rsidRDefault="002575E1" w:rsidP="00E92750">
      <w:pPr>
        <w:spacing w:line="240" w:lineRule="auto"/>
        <w:jc w:val="both"/>
        <w:rPr>
          <w:rFonts w:cstheme="minorHAnsi"/>
        </w:rPr>
      </w:pPr>
      <w:r w:rsidRPr="00BF47DC">
        <w:rPr>
          <w:rFonts w:eastAsia="Calibri" w:cstheme="minorHAnsi"/>
        </w:rPr>
        <w:t xml:space="preserve">U Akcijskom planu definirano je 29 mjera za sektor zgradarstva, 20 mjera za sektor prometa te dvije mjere za sektor javne rasvjete. </w:t>
      </w:r>
      <w:r w:rsidRPr="00BF47DC">
        <w:rPr>
          <w:rFonts w:cstheme="minorHAnsi"/>
        </w:rPr>
        <w:t xml:space="preserve">Ukupan </w:t>
      </w:r>
      <w:r w:rsidR="00CC72C3" w:rsidRPr="00BF47DC">
        <w:rPr>
          <w:rFonts w:cstheme="minorHAnsi"/>
        </w:rPr>
        <w:t xml:space="preserve">definiran </w:t>
      </w:r>
      <w:r w:rsidRPr="00BF47DC">
        <w:rPr>
          <w:rFonts w:cstheme="minorHAnsi"/>
        </w:rPr>
        <w:t>potencijal smanjenja emisija CO</w:t>
      </w:r>
      <w:r w:rsidRPr="00BF47DC">
        <w:rPr>
          <w:rFonts w:cstheme="minorHAnsi"/>
          <w:vertAlign w:val="subscript"/>
        </w:rPr>
        <w:t>2</w:t>
      </w:r>
      <w:r w:rsidR="00EE680B" w:rsidRPr="00BF47DC">
        <w:rPr>
          <w:rFonts w:cstheme="minorHAnsi"/>
        </w:rPr>
        <w:t xml:space="preserve"> svih mjera iznosi oko 914</w:t>
      </w:r>
      <w:r w:rsidRPr="00BF47DC">
        <w:rPr>
          <w:rFonts w:cstheme="minorHAnsi"/>
        </w:rPr>
        <w:t xml:space="preserve"> </w:t>
      </w:r>
      <w:r w:rsidR="00EE680B" w:rsidRPr="00BF47DC">
        <w:rPr>
          <w:rFonts w:cstheme="minorHAnsi"/>
        </w:rPr>
        <w:t>k</w:t>
      </w:r>
      <w:r w:rsidR="0018664F" w:rsidRPr="00BF47DC">
        <w:rPr>
          <w:rFonts w:cstheme="minorHAnsi"/>
        </w:rPr>
        <w:t xml:space="preserve">t </w:t>
      </w:r>
      <w:r w:rsidRPr="00BF47DC">
        <w:rPr>
          <w:rFonts w:cstheme="minorHAnsi"/>
        </w:rPr>
        <w:t>CO</w:t>
      </w:r>
      <w:r w:rsidRPr="00BF47DC">
        <w:rPr>
          <w:rFonts w:cstheme="minorHAnsi"/>
          <w:vertAlign w:val="subscript"/>
        </w:rPr>
        <w:t>2</w:t>
      </w:r>
      <w:r w:rsidRPr="00BF47DC">
        <w:rPr>
          <w:rFonts w:cstheme="minorHAnsi"/>
        </w:rPr>
        <w:t>, odnosn</w:t>
      </w:r>
      <w:r w:rsidR="00A239F1">
        <w:rPr>
          <w:rFonts w:cstheme="minorHAnsi"/>
        </w:rPr>
        <w:t>o nešto više od 30</w:t>
      </w:r>
      <w:r w:rsidRPr="00BF47DC">
        <w:rPr>
          <w:rFonts w:cstheme="minorHAnsi"/>
        </w:rPr>
        <w:t>% emisija CO</w:t>
      </w:r>
      <w:r w:rsidRPr="00BF47DC">
        <w:rPr>
          <w:rFonts w:cstheme="minorHAnsi"/>
          <w:vertAlign w:val="subscript"/>
        </w:rPr>
        <w:t>2</w:t>
      </w:r>
      <w:r w:rsidRPr="00BF47DC">
        <w:rPr>
          <w:rFonts w:cstheme="minorHAnsi"/>
        </w:rPr>
        <w:t xml:space="preserve"> iz 2008. godine, što je više od planiranog cilja od 21%. Iz tog razloga, za ostvarenje cilja nije </w:t>
      </w:r>
      <w:r w:rsidR="0018664F" w:rsidRPr="00BF47DC">
        <w:rPr>
          <w:rFonts w:cstheme="minorHAnsi"/>
        </w:rPr>
        <w:t>potrebna provedba svih predloženih</w:t>
      </w:r>
      <w:r w:rsidRPr="00BF47DC">
        <w:rPr>
          <w:rFonts w:cstheme="minorHAnsi"/>
        </w:rPr>
        <w:t xml:space="preserve"> mjera</w:t>
      </w:r>
      <w:r w:rsidR="00CC72C3" w:rsidRPr="00BF47DC">
        <w:rPr>
          <w:rFonts w:cstheme="minorHAnsi"/>
        </w:rPr>
        <w:t>.</w:t>
      </w:r>
      <w:r w:rsidR="00A43059">
        <w:rPr>
          <w:rFonts w:cstheme="minorHAnsi"/>
        </w:rPr>
        <w:t xml:space="preserve"> Kratak pregled provedenih mjera i aktivnosti iz Akcijskog plana dan je u nastavku.</w:t>
      </w:r>
    </w:p>
    <w:p w14:paraId="495ACAA5" w14:textId="3B1CE9DE" w:rsidR="005726C4" w:rsidRPr="00446B81" w:rsidRDefault="005726C4" w:rsidP="004E381E">
      <w:pPr>
        <w:spacing w:before="240" w:after="240" w:line="240" w:lineRule="auto"/>
        <w:jc w:val="both"/>
        <w:rPr>
          <w:rFonts w:cs="Calibri"/>
          <w:b/>
        </w:rPr>
      </w:pPr>
      <w:r w:rsidRPr="00446B81">
        <w:rPr>
          <w:rFonts w:cs="Calibri"/>
          <w:b/>
        </w:rPr>
        <w:t>Sektor zgradarstvo</w:t>
      </w:r>
    </w:p>
    <w:p w14:paraId="4C50C0FA" w14:textId="3B854DC6" w:rsidR="004E381E" w:rsidRPr="00DC3088" w:rsidRDefault="004E381E" w:rsidP="00154B92">
      <w:pPr>
        <w:spacing w:before="240" w:after="240" w:line="240" w:lineRule="auto"/>
        <w:jc w:val="both"/>
        <w:rPr>
          <w:rFonts w:cs="Calibri"/>
        </w:rPr>
      </w:pPr>
      <w:r w:rsidRPr="00381FAF">
        <w:rPr>
          <w:rFonts w:cs="Calibri"/>
        </w:rPr>
        <w:t xml:space="preserve">Grad Zagreb ugradio je pločaste solarne kolektore na ukupno 23 objekta, ukupna instalirana površina </w:t>
      </w:r>
      <w:r w:rsidRPr="009874AD">
        <w:rPr>
          <w:rFonts w:cs="Calibri"/>
        </w:rPr>
        <w:t>solarnih kolektora iznosi: 623 m</w:t>
      </w:r>
      <w:r w:rsidRPr="009874AD">
        <w:rPr>
          <w:rFonts w:cs="Calibri"/>
          <w:vertAlign w:val="superscript"/>
        </w:rPr>
        <w:t>2</w:t>
      </w:r>
      <w:r w:rsidRPr="009874AD">
        <w:rPr>
          <w:rFonts w:cs="Calibri"/>
        </w:rPr>
        <w:t>. Provedena je modernizacija rasvjete u gradskim objektima. Pregled instalirane snage stare rasvjete: 918,93 kW (ukupno instalirana električna snaga T 8 fluo cijevi: 774,42 kW, ukupno instalirana električna snaga žarulja sa žarnom niti: 144,51 kW.) Pregled instalirane snage nakon rekonstrukcije: 558,</w:t>
      </w:r>
      <w:r w:rsidRPr="00DC3088">
        <w:rPr>
          <w:rFonts w:cs="Calibri"/>
        </w:rPr>
        <w:t xml:space="preserve">42 kW. </w:t>
      </w:r>
      <w:r w:rsidRPr="00DC3088">
        <w:rPr>
          <w:rFonts w:eastAsia="Times New Roman" w:cs="Calibri"/>
          <w:color w:val="000000"/>
          <w:lang w:eastAsia="hr-HR"/>
        </w:rPr>
        <w:t xml:space="preserve">Provedeno je oko </w:t>
      </w:r>
      <w:r w:rsidRPr="00DC3088">
        <w:t>400 individualnih edukacija za pravilno korištenje i unos podataka u energetski informacijs</w:t>
      </w:r>
      <w:r w:rsidR="001D6890">
        <w:t>ki sustav, Euronet 50/50 max</w:t>
      </w:r>
      <w:r w:rsidRPr="00DC3088">
        <w:t>.</w:t>
      </w:r>
      <w:r w:rsidR="00DC3088">
        <w:t xml:space="preserve"> Daljinsko očitanje potrošnje energenata u</w:t>
      </w:r>
      <w:r w:rsidR="00C13D4C">
        <w:t>vedeno</w:t>
      </w:r>
      <w:r w:rsidR="00DC3088">
        <w:t xml:space="preserve"> je</w:t>
      </w:r>
      <w:r w:rsidR="00C13D4C">
        <w:t xml:space="preserve"> z</w:t>
      </w:r>
      <w:r w:rsidR="005F4CED" w:rsidRPr="00DC3088">
        <w:t>a 13 objekata.</w:t>
      </w:r>
    </w:p>
    <w:p w14:paraId="5108159B" w14:textId="53AFBBFD" w:rsidR="004E381E" w:rsidRPr="00154B92" w:rsidRDefault="004E381E" w:rsidP="00154B92">
      <w:pPr>
        <w:spacing w:line="240" w:lineRule="auto"/>
        <w:jc w:val="both"/>
        <w:rPr>
          <w:rFonts w:cs="Calibri"/>
        </w:rPr>
      </w:pPr>
      <w:r w:rsidRPr="000C472A">
        <w:rPr>
          <w:rFonts w:eastAsia="Times New Roman" w:cs="Calibri"/>
          <w:color w:val="000000"/>
          <w:lang w:eastAsia="hr-HR"/>
        </w:rPr>
        <w:t>Energetski pregledi su provedeni za 618 objekata, ukupne grijane površine 1 336 948,82 m</w:t>
      </w:r>
      <w:r w:rsidRPr="000C472A">
        <w:rPr>
          <w:rFonts w:eastAsia="Times New Roman" w:cs="Calibri"/>
          <w:color w:val="000000"/>
          <w:vertAlign w:val="superscript"/>
          <w:lang w:eastAsia="hr-HR"/>
        </w:rPr>
        <w:t>2</w:t>
      </w:r>
      <w:r w:rsidRPr="000C472A">
        <w:rPr>
          <w:rFonts w:eastAsia="Times New Roman" w:cs="Calibri"/>
          <w:color w:val="000000"/>
          <w:lang w:eastAsia="hr-HR"/>
        </w:rPr>
        <w:t xml:space="preserve">. </w:t>
      </w:r>
      <w:r w:rsidRPr="000C472A">
        <w:t xml:space="preserve">Nadalje, Grad </w:t>
      </w:r>
      <w:r w:rsidRPr="00154B92">
        <w:t>Zagreb je ugradi</w:t>
      </w:r>
      <w:r w:rsidR="00DF1E81" w:rsidRPr="00154B92">
        <w:t>o je fotonaponske sustave na sedam</w:t>
      </w:r>
      <w:r w:rsidRPr="00154B92">
        <w:t xml:space="preserve"> objekata</w:t>
      </w:r>
      <w:r w:rsidR="0007113B" w:rsidRPr="00154B92">
        <w:t>,</w:t>
      </w:r>
      <w:r w:rsidRPr="00154B92">
        <w:t xml:space="preserve"> ukupna snaga instaliranih fo</w:t>
      </w:r>
      <w:r w:rsidR="00DF1E81" w:rsidRPr="00154B92">
        <w:t>tonaponskih elektrana iznosi 122,1 kW</w:t>
      </w:r>
      <w:r w:rsidRPr="00154B92">
        <w:t>.</w:t>
      </w:r>
      <w:r w:rsidRPr="00154B92">
        <w:rPr>
          <w:rFonts w:eastAsia="Times New Roman" w:cs="Calibri"/>
          <w:color w:val="000000"/>
          <w:lang w:eastAsia="hr-HR"/>
        </w:rPr>
        <w:t xml:space="preserve"> </w:t>
      </w:r>
      <w:r w:rsidRPr="00154B92">
        <w:rPr>
          <w:rFonts w:cs="Arial"/>
          <w:bCs/>
        </w:rPr>
        <w:t xml:space="preserve">Energetska obnova u sklopu ZagEE projekta završena je za tri objekta (Dječji vrtić Pčelica, ulica Josipa Hamma 2, Dječji vrtić Srednjaci, Vladimira Filakovca 2 i </w:t>
      </w:r>
      <w:r w:rsidRPr="00154B92">
        <w:rPr>
          <w:rFonts w:cs="Calibri"/>
        </w:rPr>
        <w:t>Dječji vrtić</w:t>
      </w:r>
      <w:r w:rsidR="00C8033C" w:rsidRPr="00154B92">
        <w:rPr>
          <w:rFonts w:cs="Calibri"/>
        </w:rPr>
        <w:t xml:space="preserve"> Zvončić, Hanamanova ulica 3a).</w:t>
      </w:r>
      <w:r w:rsidR="00154B92">
        <w:rPr>
          <w:rFonts w:cs="Calibri"/>
        </w:rPr>
        <w:t xml:space="preserve"> Ukupna vrijednost investicije iznosi 7 310 916 kuna.</w:t>
      </w:r>
    </w:p>
    <w:p w14:paraId="034BE7B7" w14:textId="03048FC6" w:rsidR="00C8033C" w:rsidRPr="00154B92" w:rsidRDefault="00C8033C" w:rsidP="00154B92">
      <w:pPr>
        <w:spacing w:line="240" w:lineRule="auto"/>
        <w:jc w:val="both"/>
        <w:rPr>
          <w:rFonts w:eastAsia="Times New Roman" w:cs="Calibri"/>
          <w:color w:val="000000"/>
          <w:lang w:eastAsia="hr-HR"/>
        </w:rPr>
      </w:pPr>
      <w:r w:rsidRPr="000C472A">
        <w:rPr>
          <w:rFonts w:eastAsia="Times New Roman" w:cs="Calibri"/>
          <w:color w:val="000000"/>
          <w:lang w:eastAsia="hr-HR"/>
        </w:rPr>
        <w:t>U sklopu projekta Sustavno gospodarenje energijom, Zagrebački holding d.o.o. proveo je edukacijske radionice pod nazivom Zeleni ured za svoje zaposlenike.</w:t>
      </w:r>
      <w:r w:rsidR="00B84C2A" w:rsidRPr="000C472A">
        <w:rPr>
          <w:rFonts w:eastAsia="Times New Roman" w:cs="Calibri"/>
          <w:color w:val="000000"/>
          <w:lang w:eastAsia="hr-HR"/>
        </w:rPr>
        <w:t xml:space="preserve"> Termostatski ventili uvedeni su u oko 50% </w:t>
      </w:r>
      <w:r w:rsidR="00B84C2A" w:rsidRPr="00154B92">
        <w:rPr>
          <w:rFonts w:eastAsia="Times New Roman" w:cs="Calibri"/>
          <w:color w:val="000000"/>
          <w:lang w:eastAsia="hr-HR"/>
        </w:rPr>
        <w:t>zgrada u vlasništvu Grada Zagreba.</w:t>
      </w:r>
    </w:p>
    <w:p w14:paraId="3E31AC88" w14:textId="76267F08" w:rsidR="004E381E" w:rsidRPr="00154B92" w:rsidRDefault="00B84C2A" w:rsidP="004E381E">
      <w:pPr>
        <w:spacing w:after="240" w:line="240" w:lineRule="auto"/>
        <w:jc w:val="both"/>
      </w:pPr>
      <w:r w:rsidRPr="00154B92">
        <w:t>Grad Zagreb subvencionirao je troškove</w:t>
      </w:r>
      <w:r w:rsidR="004E381E" w:rsidRPr="00154B92">
        <w:t xml:space="preserve"> nabave i ugradnje sustava obnovljivih izvora energije na području Grada Zagreba za kuće i stanove (fizičke osobe) te malo i srednje poduzetništvo (pravne osobe). Ukupna vrijednost investicije iznosi </w:t>
      </w:r>
      <w:r w:rsidR="004E381E" w:rsidRPr="00154B92">
        <w:rPr>
          <w:rFonts w:cs="Calibri"/>
        </w:rPr>
        <w:t xml:space="preserve">15 353 045,63 kuna, a ukupno je </w:t>
      </w:r>
      <w:r w:rsidR="00420585" w:rsidRPr="00154B92">
        <w:t>dodijeljeno 208 subvencija (17 subvencija za fotonapon</w:t>
      </w:r>
      <w:r w:rsidR="00613705">
        <w:t>ski sustav</w:t>
      </w:r>
      <w:r w:rsidR="00420585" w:rsidRPr="00154B92">
        <w:t xml:space="preserve">, </w:t>
      </w:r>
      <w:r w:rsidR="00EB4E35">
        <w:t>130 za solarne kolektorske</w:t>
      </w:r>
      <w:r w:rsidR="00C2002F" w:rsidRPr="00154B92">
        <w:t xml:space="preserve"> sustav</w:t>
      </w:r>
      <w:r w:rsidR="00EB4E35">
        <w:t>e</w:t>
      </w:r>
      <w:r w:rsidR="00420585" w:rsidRPr="00154B92">
        <w:t>, 49 peleti, 5 piroliza i 7 dizalice topline).</w:t>
      </w:r>
    </w:p>
    <w:p w14:paraId="12B4B35A" w14:textId="2C9F5718" w:rsidR="004E381E" w:rsidRPr="00154B92" w:rsidRDefault="004E381E" w:rsidP="004E381E">
      <w:pPr>
        <w:autoSpaceDE w:val="0"/>
        <w:autoSpaceDN w:val="0"/>
        <w:adjustRightInd w:val="0"/>
        <w:spacing w:after="240" w:line="240" w:lineRule="auto"/>
        <w:jc w:val="both"/>
      </w:pPr>
      <w:r w:rsidRPr="00154B92">
        <w:rPr>
          <w:rFonts w:cs="Arial"/>
          <w:bCs/>
        </w:rPr>
        <w:t>Grad Zagreb subvencionirao je troškove ugradnje razdjelnika topline za 6 objekata s ukupno 670 stanova i 2 296 razdjelnika topline, ukupna korisna površine zgrade obuhvaćene mjernim uređajima iznosi 27 700 m</w:t>
      </w:r>
      <w:r w:rsidRPr="00154B92">
        <w:rPr>
          <w:rFonts w:cs="Arial"/>
          <w:bCs/>
          <w:vertAlign w:val="superscript"/>
        </w:rPr>
        <w:t>2</w:t>
      </w:r>
      <w:r w:rsidRPr="00154B92">
        <w:rPr>
          <w:rFonts w:cs="Arial"/>
          <w:bCs/>
        </w:rPr>
        <w:t>.</w:t>
      </w:r>
      <w:r w:rsidRPr="00154B92">
        <w:t xml:space="preserve"> </w:t>
      </w:r>
      <w:r w:rsidRPr="00154B92">
        <w:rPr>
          <w:rFonts w:cs="Arial"/>
          <w:bCs/>
        </w:rPr>
        <w:t>Mjera je dio zajedničke stavke Proračuna Projekt T100001. Poticanje uporabe obnovljivih izvora energije i mjera energetske učinkovitosti u iznosu od 1 760 983,89 HRK.</w:t>
      </w:r>
    </w:p>
    <w:p w14:paraId="5615B149" w14:textId="1975F12A" w:rsidR="0049576E" w:rsidRPr="00154B92" w:rsidRDefault="00154B92" w:rsidP="0049576E">
      <w:pPr>
        <w:autoSpaceDE w:val="0"/>
        <w:autoSpaceDN w:val="0"/>
        <w:adjustRightInd w:val="0"/>
        <w:spacing w:line="240" w:lineRule="auto"/>
        <w:jc w:val="both"/>
      </w:pPr>
      <w:r w:rsidRPr="00154B92">
        <w:t xml:space="preserve">Pregled projekata koje je sufinancirao </w:t>
      </w:r>
      <w:r w:rsidR="0049576E" w:rsidRPr="00154B92">
        <w:t>Fond za zaštitu okoliša i energetsku učinkovitost dan</w:t>
      </w:r>
      <w:r w:rsidRPr="00154B92">
        <w:t xml:space="preserve"> je</w:t>
      </w:r>
      <w:r w:rsidR="0049576E" w:rsidRPr="00154B92">
        <w:t xml:space="preserve"> u nastavku.</w:t>
      </w:r>
    </w:p>
    <w:p w14:paraId="39514449" w14:textId="7E4D0A77" w:rsidR="004E381E" w:rsidRPr="00F061E8" w:rsidRDefault="004E381E" w:rsidP="004E381E">
      <w:pPr>
        <w:autoSpaceDE w:val="0"/>
        <w:autoSpaceDN w:val="0"/>
        <w:adjustRightInd w:val="0"/>
        <w:spacing w:after="0" w:line="240" w:lineRule="auto"/>
        <w:jc w:val="both"/>
      </w:pPr>
      <w:r w:rsidRPr="00F061E8">
        <w:t xml:space="preserve">U sklopu Programa energetske obnove obiteljskih kuća kojeg provodi Fond za zaštitu okoliša i energetsku učinkovitost ukupno je odobreno </w:t>
      </w:r>
      <w:r w:rsidR="005B657C" w:rsidRPr="00F061E8">
        <w:t>538</w:t>
      </w:r>
      <w:r w:rsidRPr="00F061E8">
        <w:t xml:space="preserve"> subvencija.</w:t>
      </w:r>
      <w:r w:rsidR="005B657C" w:rsidRPr="00F061E8">
        <w:t xml:space="preserve"> Ukupna vrijednost invest</w:t>
      </w:r>
      <w:r w:rsidR="00F50617" w:rsidRPr="00F061E8">
        <w:t>i</w:t>
      </w:r>
      <w:r w:rsidR="005B657C" w:rsidRPr="00F061E8">
        <w:t>cije iznosi 51 680 713,39 kuna, od čega je udio Fonda za zaštitu okoliš</w:t>
      </w:r>
      <w:r w:rsidR="00613705">
        <w:t xml:space="preserve">a i energetsku učinkovitost (16 745 </w:t>
      </w:r>
      <w:r w:rsidR="005B657C" w:rsidRPr="00F061E8">
        <w:t>108,54 HRK).</w:t>
      </w:r>
    </w:p>
    <w:p w14:paraId="0A1FBD7A" w14:textId="087D5E48" w:rsidR="005B657C" w:rsidRPr="00613705" w:rsidRDefault="004A1F21" w:rsidP="00A239F1">
      <w:pPr>
        <w:spacing w:before="240" w:line="240" w:lineRule="auto"/>
        <w:jc w:val="both"/>
      </w:pPr>
      <w:r w:rsidRPr="00613705">
        <w:t xml:space="preserve">Nadalje, </w:t>
      </w:r>
      <w:r w:rsidR="004E381E" w:rsidRPr="00613705">
        <w:t>tijekom 2015. godine u sklopu Javnog poziva</w:t>
      </w:r>
      <w:r w:rsidRPr="00613705">
        <w:t xml:space="preserve"> Fonda za zaštitu okoliša i energetsku učinkovitost</w:t>
      </w:r>
      <w:r w:rsidR="004E381E" w:rsidRPr="00613705">
        <w:t xml:space="preserve"> isplaćena je ukupno </w:t>
      </w:r>
      <w:r w:rsidR="005B657C" w:rsidRPr="00613705">
        <w:t>5 962</w:t>
      </w:r>
      <w:r w:rsidR="004E381E" w:rsidRPr="00613705">
        <w:t xml:space="preserve"> </w:t>
      </w:r>
      <w:r w:rsidR="005B657C" w:rsidRPr="00613705">
        <w:t>neposrednih</w:t>
      </w:r>
      <w:r w:rsidR="004E381E" w:rsidRPr="00613705">
        <w:t xml:space="preserve"> subvencija za građane s prebivalištem na području Grada Zagreba u svrhu kupnje energetski učinkovitih uređaja A+++.</w:t>
      </w:r>
      <w:r w:rsidR="005B657C" w:rsidRPr="00613705">
        <w:t xml:space="preserve"> Ukupna </w:t>
      </w:r>
      <w:r w:rsidR="00613705" w:rsidRPr="00613705">
        <w:t xml:space="preserve">vrijednost </w:t>
      </w:r>
      <w:r w:rsidR="005B657C" w:rsidRPr="00613705">
        <w:t>4 769 600 kuna.</w:t>
      </w:r>
    </w:p>
    <w:p w14:paraId="6CF795F1" w14:textId="1C88833D" w:rsidR="000840EF" w:rsidRPr="0022572D" w:rsidRDefault="00585677" w:rsidP="00A239F1">
      <w:pPr>
        <w:spacing w:line="240" w:lineRule="auto"/>
        <w:jc w:val="both"/>
      </w:pPr>
      <w:r w:rsidRPr="0022572D">
        <w:lastRenderedPageBreak/>
        <w:t>Fond je ugovorio sredstva donacije u iznosu do 36 561 637,06 kuna</w:t>
      </w:r>
      <w:r w:rsidR="0022572D">
        <w:t xml:space="preserve"> za ugradnju</w:t>
      </w:r>
      <w:r w:rsidR="00155A9B" w:rsidRPr="0022572D">
        <w:t xml:space="preserve"> 136 </w:t>
      </w:r>
      <w:r w:rsidRPr="0022572D">
        <w:t>740 razdjelnika topline.</w:t>
      </w:r>
    </w:p>
    <w:p w14:paraId="047AFC9D" w14:textId="4A950993" w:rsidR="00BA10EA" w:rsidRDefault="00BA10EA" w:rsidP="00A239F1">
      <w:pPr>
        <w:spacing w:before="240" w:line="240" w:lineRule="auto"/>
        <w:jc w:val="both"/>
      </w:pPr>
      <w:r>
        <w:t>Putem natječaja Fonda iz 2015. godine</w:t>
      </w:r>
      <w:r w:rsidR="00116277">
        <w:t xml:space="preserve"> odobrene su subvencije za energetske preglede</w:t>
      </w:r>
      <w:r>
        <w:t xml:space="preserve"> za 170 višestambenih zgrada. Ukupna investicija iznosila je 2 643 304,23 kuna, a udio Fonda iznosio je 1 057 321,70 kuna.</w:t>
      </w:r>
      <w:r w:rsidR="00116277">
        <w:t xml:space="preserve"> Putem natječaja </w:t>
      </w:r>
      <w:r w:rsidR="00A239F1">
        <w:t xml:space="preserve">iz </w:t>
      </w:r>
      <w:r w:rsidR="00116277">
        <w:t xml:space="preserve">2014. </w:t>
      </w:r>
      <w:r w:rsidR="004C0750">
        <w:t>g</w:t>
      </w:r>
      <w:r w:rsidR="00116277">
        <w:t>odine odobrene su subvencije za provedbu energetskih pregleda za 150 višestambenih zgrada, ukupn</w:t>
      </w:r>
      <w:r w:rsidR="00975464">
        <w:t xml:space="preserve">a investicija iznosila je 1 587 </w:t>
      </w:r>
      <w:r w:rsidR="00116277">
        <w:t>232,62 k</w:t>
      </w:r>
      <w:r w:rsidR="00975464">
        <w:t>u</w:t>
      </w:r>
      <w:r w:rsidR="00116277">
        <w:t>n</w:t>
      </w:r>
      <w:r w:rsidR="00975464">
        <w:t xml:space="preserve">a, a </w:t>
      </w:r>
      <w:r w:rsidR="00116277">
        <w:t>udio Fonda 67</w:t>
      </w:r>
      <w:r w:rsidR="00975464">
        <w:t xml:space="preserve">0 </w:t>
      </w:r>
      <w:r w:rsidR="00116277">
        <w:t>196,57 k</w:t>
      </w:r>
      <w:r w:rsidR="00975464">
        <w:t>u</w:t>
      </w:r>
      <w:r w:rsidR="00116277">
        <w:t>n</w:t>
      </w:r>
      <w:r w:rsidR="00975464">
        <w:t>a.</w:t>
      </w:r>
    </w:p>
    <w:p w14:paraId="0A20078E" w14:textId="2F446D32" w:rsidR="00564E64" w:rsidRPr="0022572D" w:rsidRDefault="004E381E" w:rsidP="00A239F1">
      <w:pPr>
        <w:spacing w:before="240" w:line="240" w:lineRule="auto"/>
        <w:jc w:val="both"/>
      </w:pPr>
      <w:r w:rsidRPr="0022572D">
        <w:t>Dodatno, obrazovne aktivnosti za sve podsektore sektora zgradarstvo provođene su kroz organizaciju Zagrebačkog energetskog</w:t>
      </w:r>
      <w:r w:rsidR="00C6778D" w:rsidRPr="0022572D">
        <w:t xml:space="preserve"> tjedna</w:t>
      </w:r>
      <w:r w:rsidRPr="0022572D">
        <w:t xml:space="preserve"> svake godine.</w:t>
      </w:r>
      <w:r w:rsidR="00564E64" w:rsidRPr="0022572D">
        <w:t xml:space="preserve"> </w:t>
      </w:r>
    </w:p>
    <w:p w14:paraId="62D89843" w14:textId="2A563C79" w:rsidR="005726C4" w:rsidRPr="00446B81" w:rsidRDefault="005726C4" w:rsidP="00690687">
      <w:pPr>
        <w:spacing w:before="240" w:line="240" w:lineRule="auto"/>
        <w:jc w:val="both"/>
        <w:rPr>
          <w:b/>
        </w:rPr>
      </w:pPr>
      <w:r w:rsidRPr="00446B81">
        <w:rPr>
          <w:b/>
        </w:rPr>
        <w:t>Sektor promet</w:t>
      </w:r>
    </w:p>
    <w:p w14:paraId="1AC1E646" w14:textId="1349FD21" w:rsidR="0007113B" w:rsidRDefault="0007113B" w:rsidP="00690687">
      <w:pPr>
        <w:spacing w:before="240" w:line="240" w:lineRule="auto"/>
        <w:jc w:val="both"/>
      </w:pPr>
      <w:r w:rsidRPr="00D41A90">
        <w:t>Grad Zagreb subvencionirao je izgradnju tri punionice za električna vozila (Trg S. Radića 1, Park Stara Trešnjevka i Avenija Dubrovnik 15).</w:t>
      </w:r>
      <w:r w:rsidR="00D41A90" w:rsidRPr="00D41A90">
        <w:t xml:space="preserve"> Sa tehničkom dokumentacijom i radovima ukupan iznos investicije je 8</w:t>
      </w:r>
      <w:r w:rsidR="00D41A90">
        <w:t xml:space="preserve">77 </w:t>
      </w:r>
      <w:r w:rsidR="00D41A90" w:rsidRPr="00D41A90">
        <w:t>681, 67 kuna bez PDV-a.</w:t>
      </w:r>
    </w:p>
    <w:p w14:paraId="007A1833" w14:textId="37667AF9" w:rsidR="00012C77" w:rsidRDefault="006A1899" w:rsidP="00173805">
      <w:pPr>
        <w:spacing w:before="240" w:line="240" w:lineRule="auto"/>
        <w:jc w:val="both"/>
      </w:pPr>
      <w:r>
        <w:t>Uveden je nextbike</w:t>
      </w:r>
      <w:r w:rsidRPr="006A1899">
        <w:t xml:space="preserve"> automatizirani sustav javnih bicikala</w:t>
      </w:r>
      <w:r>
        <w:t xml:space="preserve">. </w:t>
      </w:r>
      <w:r w:rsidR="00F8040B">
        <w:t>ZET je nabavio 76 vozila na stlačeni prirodni plin.</w:t>
      </w:r>
      <w:r w:rsidR="0084522A">
        <w:t xml:space="preserve"> </w:t>
      </w:r>
      <w:r w:rsidR="00012C77">
        <w:t xml:space="preserve">U sklopu projekta </w:t>
      </w:r>
      <w:r w:rsidR="00012C77" w:rsidRPr="002E5727">
        <w:rPr>
          <w:i/>
        </w:rPr>
        <w:t>Clean Fleets</w:t>
      </w:r>
      <w:r w:rsidR="00012C77">
        <w:t xml:space="preserve"> u sklopu kojeg je </w:t>
      </w:r>
      <w:r w:rsidR="00012C77" w:rsidRPr="00012C77">
        <w:t>Zagrebački holding d.o.o., Podružnica ZET, sastavni</w:t>
      </w:r>
      <w:r w:rsidR="00012C77">
        <w:t xml:space="preserve"> dio kon</w:t>
      </w:r>
      <w:r w:rsidR="008D3B9F">
        <w:t xml:space="preserve">zorcija provedene su radionice </w:t>
      </w:r>
      <w:r w:rsidR="00012C77">
        <w:t>na temu prednosti i primjene nabavom energetski učinkovitih vozila.</w:t>
      </w:r>
    </w:p>
    <w:p w14:paraId="45BA4143" w14:textId="6854972C" w:rsidR="00173805" w:rsidRPr="00FF0B1C" w:rsidRDefault="00F8040B" w:rsidP="00173805">
      <w:pPr>
        <w:spacing w:before="240" w:line="240" w:lineRule="auto"/>
        <w:jc w:val="both"/>
      </w:pPr>
      <w:r>
        <w:t>Nadalje, z</w:t>
      </w:r>
      <w:r w:rsidR="00173805" w:rsidRPr="00FF0B1C">
        <w:t>a projekte čistijeg transporta na području Grada Zagreba od Fonda za zaštitu okoliša i energetsku učinkovitost odobreno je 244 subvencija i to:</w:t>
      </w:r>
    </w:p>
    <w:p w14:paraId="038F19E5" w14:textId="76E8AF09" w:rsidR="00173805" w:rsidRPr="00FF0B1C" w:rsidRDefault="00173805" w:rsidP="00EE7021">
      <w:pPr>
        <w:pStyle w:val="ListParagraph"/>
        <w:numPr>
          <w:ilvl w:val="0"/>
          <w:numId w:val="52"/>
        </w:numPr>
        <w:spacing w:before="240" w:line="240" w:lineRule="auto"/>
        <w:jc w:val="both"/>
      </w:pPr>
      <w:r w:rsidRPr="00FF0B1C">
        <w:t>Edukacija vozača o elementima eko vožnje: 12 projekata;</w:t>
      </w:r>
    </w:p>
    <w:p w14:paraId="11514C4C" w14:textId="4750110D" w:rsidR="00173805" w:rsidRPr="00FF0B1C" w:rsidRDefault="00173805" w:rsidP="00EE7021">
      <w:pPr>
        <w:pStyle w:val="ListParagraph"/>
        <w:numPr>
          <w:ilvl w:val="0"/>
          <w:numId w:val="52"/>
        </w:numPr>
        <w:spacing w:before="240" w:line="240" w:lineRule="auto"/>
        <w:jc w:val="both"/>
      </w:pPr>
      <w:r w:rsidRPr="00FF0B1C">
        <w:t>Izgradnja punionice za vozila na SPP: 1;</w:t>
      </w:r>
    </w:p>
    <w:p w14:paraId="578FEBA6" w14:textId="6C2EEFBB" w:rsidR="00173805" w:rsidRPr="00FF0B1C" w:rsidRDefault="00173805" w:rsidP="00EE7021">
      <w:pPr>
        <w:pStyle w:val="ListParagraph"/>
        <w:numPr>
          <w:ilvl w:val="0"/>
          <w:numId w:val="52"/>
        </w:numPr>
        <w:spacing w:before="240" w:line="240" w:lineRule="auto"/>
        <w:jc w:val="both"/>
      </w:pPr>
      <w:r w:rsidRPr="00FF0B1C">
        <w:t>Nabava eko guma: 4;</w:t>
      </w:r>
    </w:p>
    <w:p w14:paraId="65AB0014" w14:textId="761BDD0D" w:rsidR="00173805" w:rsidRPr="00FF0B1C" w:rsidRDefault="00173805" w:rsidP="00EE7021">
      <w:pPr>
        <w:pStyle w:val="ListParagraph"/>
        <w:numPr>
          <w:ilvl w:val="0"/>
          <w:numId w:val="52"/>
        </w:numPr>
        <w:spacing w:before="240" w:line="240" w:lineRule="auto"/>
        <w:jc w:val="both"/>
      </w:pPr>
      <w:r w:rsidRPr="00FF0B1C">
        <w:t>Sufinanciranje energetski učinkovitih vozila: 223;</w:t>
      </w:r>
    </w:p>
    <w:p w14:paraId="5FAFCB6C" w14:textId="568B7C54" w:rsidR="00173805" w:rsidRPr="00FF0B1C" w:rsidRDefault="00173805" w:rsidP="00EE7021">
      <w:pPr>
        <w:pStyle w:val="ListParagraph"/>
        <w:numPr>
          <w:ilvl w:val="0"/>
          <w:numId w:val="52"/>
        </w:numPr>
        <w:spacing w:before="240" w:line="240" w:lineRule="auto"/>
        <w:jc w:val="both"/>
      </w:pPr>
      <w:r w:rsidRPr="00FF0B1C">
        <w:t>Informacijski sustav za optimiranje transporta: 2 i</w:t>
      </w:r>
    </w:p>
    <w:p w14:paraId="25FC2E5D" w14:textId="402D747D" w:rsidR="00173805" w:rsidRPr="00FF0B1C" w:rsidRDefault="00173805" w:rsidP="00EE7021">
      <w:pPr>
        <w:pStyle w:val="ListParagraph"/>
        <w:numPr>
          <w:ilvl w:val="0"/>
          <w:numId w:val="52"/>
        </w:numPr>
        <w:spacing w:before="240" w:line="240" w:lineRule="auto"/>
        <w:jc w:val="both"/>
      </w:pPr>
      <w:r w:rsidRPr="00FF0B1C">
        <w:t>Izgradnja punionice za električna vozila: 2.</w:t>
      </w:r>
    </w:p>
    <w:p w14:paraId="2DAB5AB9" w14:textId="21C449EB" w:rsidR="00446B81" w:rsidRPr="00FF0B1C" w:rsidRDefault="00446B81" w:rsidP="0007113B">
      <w:pPr>
        <w:spacing w:before="240" w:line="240" w:lineRule="auto"/>
        <w:jc w:val="both"/>
        <w:rPr>
          <w:rFonts w:eastAsia="Times New Roman"/>
          <w:b/>
        </w:rPr>
      </w:pPr>
      <w:r w:rsidRPr="00FF0B1C">
        <w:rPr>
          <w:rFonts w:eastAsia="Times New Roman"/>
          <w:b/>
        </w:rPr>
        <w:t>Sektor javna rasvjeta</w:t>
      </w:r>
    </w:p>
    <w:p w14:paraId="51031FD7" w14:textId="042A3387" w:rsidR="0007113B" w:rsidRPr="00FF0B1C" w:rsidRDefault="0007113B" w:rsidP="0007113B">
      <w:pPr>
        <w:spacing w:before="240" w:line="240" w:lineRule="auto"/>
        <w:jc w:val="both"/>
        <w:rPr>
          <w:rFonts w:eastAsia="Times New Roman"/>
        </w:rPr>
      </w:pPr>
      <w:r w:rsidRPr="00FF0B1C">
        <w:rPr>
          <w:rFonts w:eastAsia="Times New Roman"/>
        </w:rPr>
        <w:t>U sklopu ZagEE projekta - u sustavu javne rasvjete napravljena je modernizacija 157 zastarjelih parkovnih svjetiljki izmjenom u LED tehnologiju. Ukupno uložena sr</w:t>
      </w:r>
      <w:r w:rsidR="00A239F1">
        <w:rPr>
          <w:rFonts w:eastAsia="Times New Roman"/>
        </w:rPr>
        <w:t>edstva iznose 1 000 000 kuna.</w:t>
      </w:r>
    </w:p>
    <w:p w14:paraId="7FE95A30" w14:textId="77777777" w:rsidR="0007113B" w:rsidRPr="00FF0B1C" w:rsidRDefault="0007113B" w:rsidP="0007113B">
      <w:pPr>
        <w:spacing w:line="240" w:lineRule="auto"/>
        <w:jc w:val="both"/>
        <w:rPr>
          <w:rFonts w:eastAsia="Times New Roman"/>
        </w:rPr>
      </w:pPr>
      <w:r w:rsidRPr="00FF0B1C">
        <w:rPr>
          <w:rFonts w:eastAsia="Times New Roman"/>
        </w:rPr>
        <w:t>Ukupno uložena sredstva u projekte modernizacije i upravljanja javnom rasvjetom izvan ZagEE projekta iznose 41 653 088 kuna, a pregled stanja prije i nakon provedbe modernizacija i upravljanja javnom rasvjetom je dan u nastavku:</w:t>
      </w:r>
    </w:p>
    <w:p w14:paraId="3635D089" w14:textId="77777777" w:rsidR="0007113B" w:rsidRPr="00FF0B1C" w:rsidRDefault="0007113B" w:rsidP="00EE7021">
      <w:pPr>
        <w:pStyle w:val="ListParagraph"/>
        <w:numPr>
          <w:ilvl w:val="0"/>
          <w:numId w:val="50"/>
        </w:numPr>
        <w:spacing w:line="240" w:lineRule="auto"/>
        <w:jc w:val="both"/>
        <w:rPr>
          <w:rFonts w:eastAsia="Times New Roman"/>
        </w:rPr>
      </w:pPr>
      <w:r w:rsidRPr="00FF0B1C">
        <w:rPr>
          <w:rFonts w:eastAsia="Times New Roman"/>
        </w:rPr>
        <w:t>Instalirana snaga prije provedbe: 2 662 409 W;</w:t>
      </w:r>
    </w:p>
    <w:p w14:paraId="498DDD3A" w14:textId="77777777" w:rsidR="0007113B" w:rsidRPr="00FF0B1C" w:rsidRDefault="0007113B" w:rsidP="00EE7021">
      <w:pPr>
        <w:pStyle w:val="ListParagraph"/>
        <w:numPr>
          <w:ilvl w:val="0"/>
          <w:numId w:val="50"/>
        </w:numPr>
        <w:spacing w:line="240" w:lineRule="auto"/>
        <w:jc w:val="both"/>
        <w:rPr>
          <w:rFonts w:eastAsia="Times New Roman"/>
        </w:rPr>
      </w:pPr>
      <w:r w:rsidRPr="00FF0B1C">
        <w:rPr>
          <w:rFonts w:eastAsia="Times New Roman"/>
        </w:rPr>
        <w:t>Instalirana snaga nakon provedbe: 1 430 311 W;</w:t>
      </w:r>
    </w:p>
    <w:p w14:paraId="626CE285" w14:textId="77777777" w:rsidR="0007113B" w:rsidRPr="00FF0B1C" w:rsidRDefault="0007113B" w:rsidP="00EE7021">
      <w:pPr>
        <w:pStyle w:val="ListParagraph"/>
        <w:numPr>
          <w:ilvl w:val="0"/>
          <w:numId w:val="50"/>
        </w:numPr>
        <w:spacing w:line="240" w:lineRule="auto"/>
        <w:jc w:val="both"/>
        <w:rPr>
          <w:rFonts w:eastAsia="Times New Roman"/>
        </w:rPr>
      </w:pPr>
      <w:r w:rsidRPr="00FF0B1C">
        <w:rPr>
          <w:rFonts w:eastAsia="Times New Roman"/>
        </w:rPr>
        <w:t>Broj svjetiljaka prije provedbe: 14 120 i</w:t>
      </w:r>
    </w:p>
    <w:p w14:paraId="063AEA1A" w14:textId="77777777" w:rsidR="0007113B" w:rsidRPr="00FF0B1C" w:rsidRDefault="0007113B" w:rsidP="00EE7021">
      <w:pPr>
        <w:pStyle w:val="ListParagraph"/>
        <w:numPr>
          <w:ilvl w:val="0"/>
          <w:numId w:val="50"/>
        </w:numPr>
        <w:spacing w:line="240" w:lineRule="auto"/>
        <w:ind w:left="714" w:hanging="357"/>
        <w:contextualSpacing w:val="0"/>
        <w:jc w:val="both"/>
        <w:rPr>
          <w:rFonts w:eastAsia="Times New Roman"/>
        </w:rPr>
      </w:pPr>
      <w:r w:rsidRPr="00FF0B1C">
        <w:rPr>
          <w:rFonts w:eastAsia="Times New Roman"/>
        </w:rPr>
        <w:t>Broj svjetiljaka nakon provedbe: 13 933.</w:t>
      </w:r>
    </w:p>
    <w:p w14:paraId="780C5421" w14:textId="57F6A5DF" w:rsidR="00845388" w:rsidRDefault="004E381E" w:rsidP="0084522A">
      <w:pPr>
        <w:spacing w:before="240" w:line="240" w:lineRule="auto"/>
        <w:jc w:val="both"/>
      </w:pPr>
      <w:r w:rsidRPr="00FF0B1C">
        <w:t>Detaljna razrada vezana uz mjere kojima je ostvareno smanjenje emisije CO</w:t>
      </w:r>
      <w:r w:rsidRPr="00FF0B1C">
        <w:rPr>
          <w:vertAlign w:val="subscript"/>
        </w:rPr>
        <w:t>2</w:t>
      </w:r>
      <w:r w:rsidRPr="00FF0B1C">
        <w:t>, a koje proizlaze iz zakonodavnog okvira, dana je u poglavlju 12. ovog dokumenta.</w:t>
      </w:r>
      <w:r w:rsidR="0084522A">
        <w:t xml:space="preserve"> </w:t>
      </w:r>
      <w:r w:rsidR="00845388" w:rsidRPr="00FF0B1C">
        <w:t xml:space="preserve">Pregled rezultata provedenih mjera i </w:t>
      </w:r>
      <w:r w:rsidR="00845388" w:rsidRPr="00FF0B1C">
        <w:lastRenderedPageBreak/>
        <w:t>aktivnosti za smanjenje emisije CO</w:t>
      </w:r>
      <w:r w:rsidR="00845388" w:rsidRPr="00FF0B1C">
        <w:rPr>
          <w:vertAlign w:val="subscript"/>
        </w:rPr>
        <w:t>2</w:t>
      </w:r>
      <w:r w:rsidR="00845388" w:rsidRPr="00FF0B1C">
        <w:t xml:space="preserve"> dan je u </w:t>
      </w:r>
      <w:r w:rsidR="00845388" w:rsidRPr="00FF0B1C">
        <w:fldChar w:fldCharType="begin"/>
      </w:r>
      <w:r w:rsidR="00845388" w:rsidRPr="00FF0B1C">
        <w:instrText xml:space="preserve"> REF _Ref467484198 \h  \* MERGEFORMAT </w:instrText>
      </w:r>
      <w:r w:rsidR="00845388" w:rsidRPr="00FF0B1C">
        <w:fldChar w:fldCharType="separate"/>
      </w:r>
      <w:r w:rsidR="00AC2688">
        <w:rPr>
          <w:b/>
        </w:rPr>
        <w:t>Tablici</w:t>
      </w:r>
      <w:r w:rsidR="009C319B" w:rsidRPr="009D2651">
        <w:rPr>
          <w:b/>
        </w:rPr>
        <w:t xml:space="preserve"> </w:t>
      </w:r>
      <w:r w:rsidR="009C319B">
        <w:rPr>
          <w:b/>
          <w:noProof/>
        </w:rPr>
        <w:t>9</w:t>
      </w:r>
      <w:r w:rsidR="009C319B" w:rsidRPr="009D2651">
        <w:rPr>
          <w:b/>
          <w:noProof/>
        </w:rPr>
        <w:t>.</w:t>
      </w:r>
      <w:r w:rsidR="009C319B">
        <w:rPr>
          <w:b/>
          <w:noProof/>
        </w:rPr>
        <w:t>1</w:t>
      </w:r>
      <w:r w:rsidR="00845388" w:rsidRPr="00FF0B1C">
        <w:fldChar w:fldCharType="end"/>
      </w:r>
      <w:r w:rsidR="00845388" w:rsidRPr="00FF0B1C">
        <w:t xml:space="preserve"> za sektor zgradarstvo, </w:t>
      </w:r>
      <w:r w:rsidR="00FC1CB0">
        <w:fldChar w:fldCharType="begin"/>
      </w:r>
      <w:r w:rsidR="00FC1CB0">
        <w:instrText xml:space="preserve"> REF _Ref468108118 \h </w:instrText>
      </w:r>
      <w:r w:rsidR="00FC1CB0">
        <w:fldChar w:fldCharType="separate"/>
      </w:r>
      <w:r w:rsidR="00FC1CB0">
        <w:rPr>
          <w:b/>
        </w:rPr>
        <w:t>Tablici</w:t>
      </w:r>
      <w:r w:rsidR="00FC1CB0" w:rsidRPr="00243DBD">
        <w:rPr>
          <w:b/>
        </w:rPr>
        <w:t xml:space="preserve"> </w:t>
      </w:r>
      <w:r w:rsidR="00FC1CB0">
        <w:rPr>
          <w:b/>
          <w:noProof/>
        </w:rPr>
        <w:t>9</w:t>
      </w:r>
      <w:r w:rsidR="00FC1CB0" w:rsidRPr="00243DBD">
        <w:rPr>
          <w:b/>
        </w:rPr>
        <w:t>.</w:t>
      </w:r>
      <w:r w:rsidR="00FC1CB0">
        <w:rPr>
          <w:b/>
          <w:noProof/>
        </w:rPr>
        <w:t>2</w:t>
      </w:r>
      <w:r w:rsidR="00FC1CB0">
        <w:fldChar w:fldCharType="end"/>
      </w:r>
      <w:r w:rsidR="00FC1CB0">
        <w:t xml:space="preserve"> za sektor prometa i </w:t>
      </w:r>
      <w:r w:rsidR="00FC1CB0">
        <w:fldChar w:fldCharType="begin"/>
      </w:r>
      <w:r w:rsidR="00FC1CB0">
        <w:instrText xml:space="preserve"> REF _Ref468108127 \h </w:instrText>
      </w:r>
      <w:r w:rsidR="00FC1CB0">
        <w:fldChar w:fldCharType="separate"/>
      </w:r>
      <w:r w:rsidR="00FC1CB0">
        <w:rPr>
          <w:b/>
        </w:rPr>
        <w:t>Tablici</w:t>
      </w:r>
      <w:r w:rsidR="00FC1CB0" w:rsidRPr="00E00AB5">
        <w:rPr>
          <w:b/>
        </w:rPr>
        <w:t xml:space="preserve"> </w:t>
      </w:r>
      <w:r w:rsidR="00FC1CB0">
        <w:rPr>
          <w:b/>
          <w:noProof/>
        </w:rPr>
        <w:t>9</w:t>
      </w:r>
      <w:r w:rsidR="00FC1CB0" w:rsidRPr="00E00AB5">
        <w:rPr>
          <w:b/>
        </w:rPr>
        <w:t>.</w:t>
      </w:r>
      <w:r w:rsidR="00FC1CB0">
        <w:rPr>
          <w:b/>
          <w:noProof/>
        </w:rPr>
        <w:t>3</w:t>
      </w:r>
      <w:r w:rsidR="00FC1CB0">
        <w:fldChar w:fldCharType="end"/>
      </w:r>
      <w:r w:rsidR="00FC1CB0">
        <w:t xml:space="preserve"> za sektor javne rasvjete.</w:t>
      </w:r>
    </w:p>
    <w:p w14:paraId="0C046ABB" w14:textId="77777777" w:rsidR="00845388" w:rsidRPr="00BF47DC" w:rsidRDefault="00845388" w:rsidP="004E381E">
      <w:pPr>
        <w:spacing w:before="240" w:line="240" w:lineRule="auto"/>
        <w:jc w:val="both"/>
        <w:sectPr w:rsidR="00845388" w:rsidRPr="00BF47DC" w:rsidSect="00827600">
          <w:pgSz w:w="11906" w:h="16838"/>
          <w:pgMar w:top="992" w:right="1418" w:bottom="1418" w:left="1418" w:header="709" w:footer="709" w:gutter="0"/>
          <w:cols w:space="708"/>
          <w:docGrid w:linePitch="360"/>
        </w:sectPr>
      </w:pPr>
    </w:p>
    <w:p w14:paraId="69BD2788" w14:textId="1E1A5F77" w:rsidR="00B5429C" w:rsidRPr="009D2651" w:rsidRDefault="00B5429C" w:rsidP="00E92750">
      <w:pPr>
        <w:spacing w:after="0" w:line="240" w:lineRule="auto"/>
        <w:jc w:val="both"/>
      </w:pPr>
      <w:bookmarkStart w:id="403" w:name="_Ref467484198"/>
      <w:bookmarkStart w:id="404" w:name="_Toc311547315"/>
      <w:bookmarkStart w:id="405" w:name="_Toc451240976"/>
      <w:bookmarkStart w:id="406" w:name="_Toc468277521"/>
      <w:r w:rsidRPr="009D2651">
        <w:rPr>
          <w:b/>
        </w:rPr>
        <w:lastRenderedPageBreak/>
        <w:t xml:space="preserve">Tablica </w:t>
      </w:r>
      <w:r w:rsidRPr="009D2651">
        <w:rPr>
          <w:b/>
        </w:rPr>
        <w:fldChar w:fldCharType="begin"/>
      </w:r>
      <w:r w:rsidRPr="009D2651">
        <w:rPr>
          <w:b/>
        </w:rPr>
        <w:instrText xml:space="preserve"> STYLEREF 1 \s </w:instrText>
      </w:r>
      <w:r w:rsidRPr="009D2651">
        <w:rPr>
          <w:b/>
        </w:rPr>
        <w:fldChar w:fldCharType="separate"/>
      </w:r>
      <w:r w:rsidR="009C319B">
        <w:rPr>
          <w:b/>
          <w:noProof/>
        </w:rPr>
        <w:t>9</w:t>
      </w:r>
      <w:r w:rsidRPr="009D2651">
        <w:rPr>
          <w:b/>
          <w:noProof/>
        </w:rPr>
        <w:fldChar w:fldCharType="end"/>
      </w:r>
      <w:r w:rsidRPr="009D2651">
        <w:rPr>
          <w:b/>
        </w:rPr>
        <w:t>.</w:t>
      </w:r>
      <w:r w:rsidRPr="009D2651">
        <w:rPr>
          <w:b/>
        </w:rPr>
        <w:fldChar w:fldCharType="begin"/>
      </w:r>
      <w:r w:rsidRPr="009D2651">
        <w:rPr>
          <w:b/>
        </w:rPr>
        <w:instrText xml:space="preserve"> SEQ Tablica \* ARABIC \s 1 </w:instrText>
      </w:r>
      <w:r w:rsidRPr="009D2651">
        <w:rPr>
          <w:b/>
        </w:rPr>
        <w:fldChar w:fldCharType="separate"/>
      </w:r>
      <w:r w:rsidR="009C319B">
        <w:rPr>
          <w:b/>
          <w:noProof/>
        </w:rPr>
        <w:t>1</w:t>
      </w:r>
      <w:r w:rsidRPr="009D2651">
        <w:rPr>
          <w:b/>
          <w:noProof/>
        </w:rPr>
        <w:fldChar w:fldCharType="end"/>
      </w:r>
      <w:bookmarkEnd w:id="403"/>
      <w:r w:rsidRPr="009D2651">
        <w:t xml:space="preserve"> </w:t>
      </w:r>
      <w:bookmarkEnd w:id="404"/>
      <w:bookmarkEnd w:id="405"/>
      <w:r w:rsidR="00A9368D" w:rsidRPr="009D2651">
        <w:t xml:space="preserve">Pregled ostvarenih mjera i aktivnosti iz Akcijskog plana </w:t>
      </w:r>
      <w:r w:rsidR="00C474D5" w:rsidRPr="009D2651">
        <w:t>za sektor zgradarstvo</w:t>
      </w:r>
      <w:bookmarkEnd w:id="406"/>
    </w:p>
    <w:tbl>
      <w:tblPr>
        <w:tblW w:w="5022" w:type="pct"/>
        <w:tblLook w:val="04A0" w:firstRow="1" w:lastRow="0" w:firstColumn="1" w:lastColumn="0" w:noHBand="0" w:noVBand="1"/>
      </w:tblPr>
      <w:tblGrid>
        <w:gridCol w:w="10099"/>
        <w:gridCol w:w="4382"/>
      </w:tblGrid>
      <w:tr w:rsidR="0094749F" w:rsidRPr="0094749F" w14:paraId="79D5B1A2" w14:textId="77777777" w:rsidTr="0094749F">
        <w:trPr>
          <w:trHeight w:val="108"/>
        </w:trPr>
        <w:tc>
          <w:tcPr>
            <w:tcW w:w="3487" w:type="pct"/>
            <w:tcBorders>
              <w:top w:val="single" w:sz="4" w:space="0" w:color="auto"/>
              <w:left w:val="single" w:sz="4" w:space="0" w:color="auto"/>
              <w:bottom w:val="single" w:sz="4" w:space="0" w:color="auto"/>
              <w:right w:val="single" w:sz="4" w:space="0" w:color="auto"/>
            </w:tcBorders>
            <w:shd w:val="clear" w:color="000000" w:fill="D9D9D9"/>
            <w:noWrap/>
            <w:hideMark/>
          </w:tcPr>
          <w:p w14:paraId="195E983E" w14:textId="187C7F72" w:rsidR="0094749F" w:rsidRPr="0094749F" w:rsidRDefault="0094749F" w:rsidP="0094749F">
            <w:pPr>
              <w:spacing w:after="0" w:line="240" w:lineRule="auto"/>
              <w:rPr>
                <w:rFonts w:eastAsia="Times New Roman" w:cstheme="minorHAnsi"/>
                <w:b/>
                <w:bCs/>
                <w:sz w:val="16"/>
                <w:szCs w:val="16"/>
                <w:lang w:eastAsia="hr-HR"/>
              </w:rPr>
            </w:pPr>
            <w:bookmarkStart w:id="407" w:name="_Ref467485472"/>
            <w:bookmarkStart w:id="408" w:name="_Ref467586779"/>
            <w:bookmarkStart w:id="409" w:name="_Ref468108118"/>
            <w:bookmarkStart w:id="410" w:name="_Toc251161373"/>
            <w:bookmarkStart w:id="411" w:name="_Toc251924049"/>
            <w:bookmarkStart w:id="412" w:name="_Toc258934023"/>
            <w:bookmarkStart w:id="413" w:name="_Toc311547316"/>
            <w:r w:rsidRPr="0094749F">
              <w:rPr>
                <w:rFonts w:eastAsia="Times New Roman" w:cstheme="minorHAnsi"/>
                <w:b/>
                <w:bCs/>
                <w:sz w:val="16"/>
                <w:szCs w:val="16"/>
                <w:lang w:eastAsia="hr-HR"/>
              </w:rPr>
              <w:t>SEKTOR ZGRADARSTVO I PODSEKTORI</w:t>
            </w:r>
          </w:p>
        </w:tc>
        <w:tc>
          <w:tcPr>
            <w:tcW w:w="1513" w:type="pct"/>
            <w:tcBorders>
              <w:top w:val="single" w:sz="4" w:space="0" w:color="auto"/>
              <w:left w:val="nil"/>
              <w:bottom w:val="single" w:sz="4" w:space="0" w:color="auto"/>
              <w:right w:val="single" w:sz="4" w:space="0" w:color="auto"/>
            </w:tcBorders>
            <w:shd w:val="clear" w:color="000000" w:fill="D9D9D9"/>
            <w:hideMark/>
          </w:tcPr>
          <w:p w14:paraId="62A5485B" w14:textId="77777777" w:rsidR="0094749F" w:rsidRPr="0094749F" w:rsidRDefault="0094749F" w:rsidP="0094749F">
            <w:pPr>
              <w:spacing w:after="0" w:line="240" w:lineRule="auto"/>
              <w:jc w:val="center"/>
              <w:rPr>
                <w:rFonts w:eastAsia="Times New Roman" w:cstheme="minorHAnsi"/>
                <w:b/>
                <w:bCs/>
                <w:sz w:val="16"/>
                <w:szCs w:val="16"/>
                <w:lang w:eastAsia="hr-HR"/>
              </w:rPr>
            </w:pPr>
            <w:r w:rsidRPr="0094749F">
              <w:rPr>
                <w:rFonts w:eastAsia="Times New Roman" w:cstheme="minorHAnsi"/>
                <w:b/>
                <w:bCs/>
                <w:sz w:val="16"/>
                <w:szCs w:val="16"/>
                <w:lang w:eastAsia="hr-HR"/>
              </w:rPr>
              <w:t>Ostvareno smanjenje emisije t CO</w:t>
            </w:r>
            <w:r w:rsidRPr="0094749F">
              <w:rPr>
                <w:rFonts w:eastAsia="Times New Roman" w:cstheme="minorHAnsi"/>
                <w:b/>
                <w:bCs/>
                <w:sz w:val="16"/>
                <w:szCs w:val="16"/>
                <w:vertAlign w:val="subscript"/>
                <w:lang w:eastAsia="hr-HR"/>
              </w:rPr>
              <w:t>2</w:t>
            </w:r>
          </w:p>
        </w:tc>
      </w:tr>
      <w:tr w:rsidR="0094749F" w:rsidRPr="0094749F" w14:paraId="13A77D5A" w14:textId="77777777" w:rsidTr="0094749F">
        <w:trPr>
          <w:trHeight w:val="60"/>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6C6691" w14:textId="77777777" w:rsidR="0094749F" w:rsidRPr="0094749F" w:rsidRDefault="0094749F" w:rsidP="0094749F">
            <w:pPr>
              <w:spacing w:after="0" w:line="240" w:lineRule="auto"/>
              <w:rPr>
                <w:rFonts w:eastAsia="Times New Roman" w:cstheme="minorHAnsi"/>
                <w:b/>
                <w:bCs/>
                <w:sz w:val="16"/>
                <w:szCs w:val="16"/>
                <w:lang w:eastAsia="hr-HR"/>
              </w:rPr>
            </w:pPr>
            <w:r w:rsidRPr="0094749F">
              <w:rPr>
                <w:rFonts w:eastAsia="Times New Roman" w:cstheme="minorHAnsi"/>
                <w:b/>
                <w:bCs/>
                <w:sz w:val="16"/>
                <w:szCs w:val="16"/>
                <w:lang w:eastAsia="hr-HR"/>
              </w:rPr>
              <w:t>PODSEKTOR ZGRADE U VLASNIŠTVU GRADA ZAGREBA</w:t>
            </w:r>
          </w:p>
        </w:tc>
      </w:tr>
      <w:tr w:rsidR="0094749F" w:rsidRPr="0094749F" w14:paraId="77E2CDDF"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1B80B3C7"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Solarni kolektori</w:t>
            </w:r>
          </w:p>
        </w:tc>
        <w:tc>
          <w:tcPr>
            <w:tcW w:w="1513" w:type="pct"/>
            <w:tcBorders>
              <w:top w:val="nil"/>
              <w:left w:val="nil"/>
              <w:bottom w:val="single" w:sz="4" w:space="0" w:color="auto"/>
              <w:right w:val="single" w:sz="4" w:space="0" w:color="auto"/>
            </w:tcBorders>
            <w:shd w:val="clear" w:color="auto" w:fill="auto"/>
            <w:noWrap/>
            <w:vAlign w:val="bottom"/>
            <w:hideMark/>
          </w:tcPr>
          <w:p w14:paraId="71CD9BE6" w14:textId="77777777" w:rsidR="0094749F" w:rsidRPr="0094749F" w:rsidRDefault="0094749F" w:rsidP="0094749F">
            <w:pPr>
              <w:spacing w:after="0" w:line="240" w:lineRule="auto"/>
              <w:jc w:val="center"/>
              <w:rPr>
                <w:rFonts w:eastAsia="Times New Roman" w:cstheme="minorHAnsi"/>
                <w:sz w:val="16"/>
                <w:szCs w:val="16"/>
                <w:lang w:eastAsia="hr-HR"/>
              </w:rPr>
            </w:pPr>
            <w:r w:rsidRPr="0094749F">
              <w:rPr>
                <w:rFonts w:eastAsia="Times New Roman" w:cstheme="minorHAnsi"/>
                <w:sz w:val="16"/>
                <w:szCs w:val="16"/>
                <w:lang w:eastAsia="hr-HR"/>
              </w:rPr>
              <w:t>94,51</w:t>
            </w:r>
          </w:p>
        </w:tc>
      </w:tr>
      <w:tr w:rsidR="0094749F" w:rsidRPr="0094749F" w14:paraId="123F976F"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5300E603"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Instalacija energetski učinkovite rasvjete u gradskim objektima</w:t>
            </w:r>
          </w:p>
        </w:tc>
        <w:tc>
          <w:tcPr>
            <w:tcW w:w="1513" w:type="pct"/>
            <w:tcBorders>
              <w:top w:val="nil"/>
              <w:left w:val="nil"/>
              <w:bottom w:val="single" w:sz="4" w:space="0" w:color="auto"/>
              <w:right w:val="single" w:sz="4" w:space="0" w:color="auto"/>
            </w:tcBorders>
            <w:shd w:val="clear" w:color="auto" w:fill="auto"/>
            <w:noWrap/>
            <w:vAlign w:val="bottom"/>
            <w:hideMark/>
          </w:tcPr>
          <w:p w14:paraId="58AA244E" w14:textId="77777777" w:rsidR="0094749F" w:rsidRPr="0094749F" w:rsidRDefault="0094749F" w:rsidP="0094749F">
            <w:pPr>
              <w:spacing w:after="0" w:line="240" w:lineRule="auto"/>
              <w:jc w:val="center"/>
              <w:rPr>
                <w:rFonts w:eastAsia="Times New Roman" w:cstheme="minorHAnsi"/>
                <w:sz w:val="16"/>
                <w:szCs w:val="16"/>
                <w:lang w:eastAsia="hr-HR"/>
              </w:rPr>
            </w:pPr>
            <w:r w:rsidRPr="0094749F">
              <w:rPr>
                <w:rFonts w:eastAsia="Times New Roman" w:cstheme="minorHAnsi"/>
                <w:sz w:val="16"/>
                <w:szCs w:val="16"/>
                <w:lang w:eastAsia="hr-HR"/>
              </w:rPr>
              <w:t>190,67</w:t>
            </w:r>
          </w:p>
        </w:tc>
      </w:tr>
      <w:tr w:rsidR="0094749F" w:rsidRPr="0094749F" w14:paraId="5E7CD53A"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2CA141A9"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Modernizacija kotlovnica</w:t>
            </w:r>
          </w:p>
        </w:tc>
        <w:tc>
          <w:tcPr>
            <w:tcW w:w="1513" w:type="pct"/>
            <w:tcBorders>
              <w:top w:val="nil"/>
              <w:left w:val="nil"/>
              <w:bottom w:val="single" w:sz="4" w:space="0" w:color="auto"/>
              <w:right w:val="single" w:sz="4" w:space="0" w:color="auto"/>
            </w:tcBorders>
            <w:shd w:val="clear" w:color="auto" w:fill="auto"/>
            <w:noWrap/>
            <w:vAlign w:val="bottom"/>
            <w:hideMark/>
          </w:tcPr>
          <w:p w14:paraId="3741483B" w14:textId="77777777" w:rsidR="0094749F" w:rsidRPr="0094749F" w:rsidRDefault="0094749F" w:rsidP="0094749F">
            <w:pPr>
              <w:spacing w:after="0" w:line="240" w:lineRule="auto"/>
              <w:jc w:val="center"/>
              <w:rPr>
                <w:rFonts w:eastAsia="Times New Roman" w:cstheme="minorHAnsi"/>
                <w:sz w:val="16"/>
                <w:szCs w:val="16"/>
                <w:lang w:eastAsia="hr-HR"/>
              </w:rPr>
            </w:pPr>
            <w:r w:rsidRPr="0094749F">
              <w:rPr>
                <w:rFonts w:eastAsia="Times New Roman" w:cstheme="minorHAnsi"/>
                <w:sz w:val="16"/>
                <w:szCs w:val="16"/>
                <w:lang w:eastAsia="hr-HR"/>
              </w:rPr>
              <w:t>274,00</w:t>
            </w:r>
          </w:p>
        </w:tc>
      </w:tr>
      <w:tr w:rsidR="0094749F" w:rsidRPr="0094749F" w14:paraId="75824CCA"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760CEB15"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Toplinska izolacija fasade i krovišta te zamjena stolarije</w:t>
            </w:r>
          </w:p>
        </w:tc>
        <w:tc>
          <w:tcPr>
            <w:tcW w:w="1513" w:type="pct"/>
            <w:tcBorders>
              <w:top w:val="nil"/>
              <w:left w:val="nil"/>
              <w:bottom w:val="single" w:sz="4" w:space="0" w:color="auto"/>
              <w:right w:val="single" w:sz="4" w:space="0" w:color="auto"/>
            </w:tcBorders>
            <w:shd w:val="clear" w:color="auto" w:fill="auto"/>
            <w:noWrap/>
            <w:vAlign w:val="bottom"/>
            <w:hideMark/>
          </w:tcPr>
          <w:p w14:paraId="62F53F17" w14:textId="3AA2DF47"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2 </w:t>
            </w:r>
            <w:r w:rsidRPr="0094749F">
              <w:rPr>
                <w:rFonts w:eastAsia="Times New Roman" w:cstheme="minorHAnsi"/>
                <w:sz w:val="16"/>
                <w:szCs w:val="16"/>
                <w:lang w:eastAsia="hr-HR"/>
              </w:rPr>
              <w:t>656,62</w:t>
            </w:r>
          </w:p>
        </w:tc>
      </w:tr>
      <w:tr w:rsidR="0094749F" w:rsidRPr="0094749F" w14:paraId="484CAD29"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22C8CFC1" w14:textId="32B1313A" w:rsidR="0094749F" w:rsidRPr="0094749F" w:rsidRDefault="00DF2C0E" w:rsidP="0094749F">
            <w:pPr>
              <w:spacing w:after="0" w:line="240" w:lineRule="auto"/>
              <w:rPr>
                <w:rFonts w:eastAsia="Times New Roman" w:cstheme="minorHAnsi"/>
                <w:sz w:val="16"/>
                <w:szCs w:val="16"/>
                <w:lang w:eastAsia="hr-HR"/>
              </w:rPr>
            </w:pPr>
            <w:r>
              <w:rPr>
                <w:rFonts w:eastAsia="Times New Roman" w:cstheme="minorHAnsi"/>
                <w:sz w:val="16"/>
                <w:szCs w:val="16"/>
                <w:lang w:eastAsia="hr-HR"/>
              </w:rPr>
              <w:t>Termostatski ventili</w:t>
            </w:r>
          </w:p>
        </w:tc>
        <w:tc>
          <w:tcPr>
            <w:tcW w:w="1513" w:type="pct"/>
            <w:tcBorders>
              <w:top w:val="nil"/>
              <w:left w:val="nil"/>
              <w:bottom w:val="single" w:sz="4" w:space="0" w:color="auto"/>
              <w:right w:val="single" w:sz="4" w:space="0" w:color="auto"/>
            </w:tcBorders>
            <w:shd w:val="clear" w:color="auto" w:fill="auto"/>
            <w:noWrap/>
            <w:vAlign w:val="bottom"/>
            <w:hideMark/>
          </w:tcPr>
          <w:p w14:paraId="2B8FD78B" w14:textId="1105D36F"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4 </w:t>
            </w:r>
            <w:r w:rsidRPr="0094749F">
              <w:rPr>
                <w:rFonts w:eastAsia="Times New Roman" w:cstheme="minorHAnsi"/>
                <w:sz w:val="16"/>
                <w:szCs w:val="16"/>
                <w:lang w:eastAsia="hr-HR"/>
              </w:rPr>
              <w:t>685,15</w:t>
            </w:r>
          </w:p>
        </w:tc>
      </w:tr>
      <w:tr w:rsidR="0094749F" w:rsidRPr="0094749F" w14:paraId="3589F52B"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409BEA8A"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Poticanje kupovine energetski učinkovitih električnih uređaja</w:t>
            </w:r>
          </w:p>
        </w:tc>
        <w:tc>
          <w:tcPr>
            <w:tcW w:w="1513" w:type="pct"/>
            <w:tcBorders>
              <w:top w:val="nil"/>
              <w:left w:val="nil"/>
              <w:bottom w:val="single" w:sz="4" w:space="0" w:color="auto"/>
              <w:right w:val="single" w:sz="4" w:space="0" w:color="auto"/>
            </w:tcBorders>
            <w:shd w:val="clear" w:color="auto" w:fill="auto"/>
            <w:noWrap/>
            <w:vAlign w:val="bottom"/>
            <w:hideMark/>
          </w:tcPr>
          <w:p w14:paraId="5EC48E0A" w14:textId="77777777" w:rsidR="0094749F" w:rsidRPr="0094749F" w:rsidRDefault="0094749F" w:rsidP="0094749F">
            <w:pPr>
              <w:spacing w:after="0" w:line="240" w:lineRule="auto"/>
              <w:jc w:val="center"/>
              <w:rPr>
                <w:rFonts w:eastAsia="Times New Roman" w:cstheme="minorHAnsi"/>
                <w:sz w:val="16"/>
                <w:szCs w:val="16"/>
                <w:lang w:eastAsia="hr-HR"/>
              </w:rPr>
            </w:pPr>
            <w:r w:rsidRPr="0094749F">
              <w:rPr>
                <w:rFonts w:eastAsia="Times New Roman" w:cstheme="minorHAnsi"/>
                <w:sz w:val="16"/>
                <w:szCs w:val="16"/>
                <w:lang w:eastAsia="hr-HR"/>
              </w:rPr>
              <w:t>-</w:t>
            </w:r>
          </w:p>
        </w:tc>
      </w:tr>
      <w:tr w:rsidR="0094749F" w:rsidRPr="0094749F" w14:paraId="50AA6F87"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088F3CCE" w14:textId="0CCCAA40"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Uvođenje štednih žarulja u zgrade</w:t>
            </w:r>
            <w:r w:rsidR="001B0276">
              <w:rPr>
                <w:rStyle w:val="FootnoteReference"/>
                <w:rFonts w:eastAsia="Times New Roman"/>
                <w:sz w:val="16"/>
                <w:szCs w:val="16"/>
                <w:lang w:eastAsia="hr-HR"/>
              </w:rPr>
              <w:footnoteReference w:id="31"/>
            </w:r>
          </w:p>
        </w:tc>
        <w:tc>
          <w:tcPr>
            <w:tcW w:w="1513" w:type="pct"/>
            <w:tcBorders>
              <w:top w:val="nil"/>
              <w:left w:val="nil"/>
              <w:bottom w:val="single" w:sz="4" w:space="0" w:color="auto"/>
              <w:right w:val="single" w:sz="4" w:space="0" w:color="auto"/>
            </w:tcBorders>
            <w:shd w:val="clear" w:color="auto" w:fill="auto"/>
            <w:noWrap/>
            <w:vAlign w:val="bottom"/>
            <w:hideMark/>
          </w:tcPr>
          <w:p w14:paraId="2C584060" w14:textId="7A20A896"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3 </w:t>
            </w:r>
            <w:r w:rsidRPr="0094749F">
              <w:rPr>
                <w:rFonts w:eastAsia="Times New Roman" w:cstheme="minorHAnsi"/>
                <w:sz w:val="16"/>
                <w:szCs w:val="16"/>
                <w:lang w:eastAsia="hr-HR"/>
              </w:rPr>
              <w:t>364,86</w:t>
            </w:r>
          </w:p>
        </w:tc>
      </w:tr>
      <w:tr w:rsidR="0094749F" w:rsidRPr="0094749F" w14:paraId="1F7DB029"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358560EA"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Obrazovanje i promjena ponašanja za korisnike zgrada u vlasništvu Grada Zagreba</w:t>
            </w:r>
          </w:p>
        </w:tc>
        <w:tc>
          <w:tcPr>
            <w:tcW w:w="1513" w:type="pct"/>
            <w:tcBorders>
              <w:top w:val="nil"/>
              <w:left w:val="nil"/>
              <w:bottom w:val="single" w:sz="4" w:space="0" w:color="auto"/>
              <w:right w:val="single" w:sz="4" w:space="0" w:color="auto"/>
            </w:tcBorders>
            <w:shd w:val="clear" w:color="auto" w:fill="auto"/>
            <w:noWrap/>
            <w:vAlign w:val="bottom"/>
            <w:hideMark/>
          </w:tcPr>
          <w:p w14:paraId="354E7F7D" w14:textId="44BD4456"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13 </w:t>
            </w:r>
            <w:r w:rsidRPr="0094749F">
              <w:rPr>
                <w:rFonts w:eastAsia="Times New Roman" w:cstheme="minorHAnsi"/>
                <w:sz w:val="16"/>
                <w:szCs w:val="16"/>
                <w:lang w:eastAsia="hr-HR"/>
              </w:rPr>
              <w:t>373,08</w:t>
            </w:r>
          </w:p>
        </w:tc>
      </w:tr>
      <w:tr w:rsidR="0094749F" w:rsidRPr="0094749F" w14:paraId="473E9F19"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33DBCEE4"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Energetsko certificiranje</w:t>
            </w:r>
          </w:p>
        </w:tc>
        <w:tc>
          <w:tcPr>
            <w:tcW w:w="1513" w:type="pct"/>
            <w:tcBorders>
              <w:top w:val="nil"/>
              <w:left w:val="nil"/>
              <w:bottom w:val="single" w:sz="4" w:space="0" w:color="auto"/>
              <w:right w:val="single" w:sz="4" w:space="0" w:color="auto"/>
            </w:tcBorders>
            <w:shd w:val="clear" w:color="auto" w:fill="auto"/>
            <w:noWrap/>
            <w:vAlign w:val="bottom"/>
            <w:hideMark/>
          </w:tcPr>
          <w:p w14:paraId="2421FEF4" w14:textId="77777777" w:rsidR="0094749F" w:rsidRPr="0094749F" w:rsidRDefault="0094749F" w:rsidP="0094749F">
            <w:pPr>
              <w:spacing w:after="0" w:line="240" w:lineRule="auto"/>
              <w:jc w:val="center"/>
              <w:rPr>
                <w:rFonts w:eastAsia="Times New Roman" w:cstheme="minorHAnsi"/>
                <w:sz w:val="16"/>
                <w:szCs w:val="16"/>
                <w:lang w:eastAsia="hr-HR"/>
              </w:rPr>
            </w:pPr>
            <w:r w:rsidRPr="0094749F">
              <w:rPr>
                <w:rFonts w:eastAsia="Times New Roman" w:cstheme="minorHAnsi"/>
                <w:sz w:val="16"/>
                <w:szCs w:val="16"/>
                <w:lang w:eastAsia="hr-HR"/>
              </w:rPr>
              <w:t>549,49</w:t>
            </w:r>
          </w:p>
        </w:tc>
      </w:tr>
      <w:tr w:rsidR="0094749F" w:rsidRPr="0094749F" w14:paraId="56A0B282"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486A4E5C"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Fotonaponske elektrane</w:t>
            </w:r>
          </w:p>
        </w:tc>
        <w:tc>
          <w:tcPr>
            <w:tcW w:w="1513" w:type="pct"/>
            <w:tcBorders>
              <w:top w:val="nil"/>
              <w:left w:val="nil"/>
              <w:bottom w:val="single" w:sz="4" w:space="0" w:color="auto"/>
              <w:right w:val="single" w:sz="4" w:space="0" w:color="auto"/>
            </w:tcBorders>
            <w:shd w:val="clear" w:color="auto" w:fill="auto"/>
            <w:noWrap/>
            <w:vAlign w:val="bottom"/>
            <w:hideMark/>
          </w:tcPr>
          <w:p w14:paraId="707F16F5" w14:textId="77777777" w:rsidR="0094749F" w:rsidRPr="0094749F" w:rsidRDefault="0094749F" w:rsidP="0094749F">
            <w:pPr>
              <w:spacing w:after="0" w:line="240" w:lineRule="auto"/>
              <w:jc w:val="center"/>
              <w:rPr>
                <w:rFonts w:eastAsia="Times New Roman" w:cstheme="minorHAnsi"/>
                <w:sz w:val="16"/>
                <w:szCs w:val="16"/>
                <w:lang w:eastAsia="hr-HR"/>
              </w:rPr>
            </w:pPr>
            <w:r w:rsidRPr="0094749F">
              <w:rPr>
                <w:rFonts w:eastAsia="Times New Roman" w:cstheme="minorHAnsi"/>
                <w:sz w:val="16"/>
                <w:szCs w:val="16"/>
                <w:lang w:eastAsia="hr-HR"/>
              </w:rPr>
              <w:t>21,96</w:t>
            </w:r>
          </w:p>
        </w:tc>
      </w:tr>
      <w:tr w:rsidR="0094749F" w:rsidRPr="0094749F" w14:paraId="504458A0" w14:textId="77777777" w:rsidTr="0094749F">
        <w:trPr>
          <w:trHeight w:val="60"/>
        </w:trPr>
        <w:tc>
          <w:tcPr>
            <w:tcW w:w="3487" w:type="pct"/>
            <w:tcBorders>
              <w:top w:val="nil"/>
              <w:left w:val="single" w:sz="4" w:space="0" w:color="auto"/>
              <w:bottom w:val="single" w:sz="4" w:space="0" w:color="auto"/>
              <w:right w:val="single" w:sz="4" w:space="0" w:color="auto"/>
            </w:tcBorders>
            <w:shd w:val="clear" w:color="000000" w:fill="D9D9D9"/>
            <w:noWrap/>
            <w:vAlign w:val="bottom"/>
            <w:hideMark/>
          </w:tcPr>
          <w:p w14:paraId="6DED08A7" w14:textId="77777777" w:rsidR="0094749F" w:rsidRPr="0094749F" w:rsidRDefault="0094749F" w:rsidP="0094749F">
            <w:pPr>
              <w:spacing w:after="0" w:line="240" w:lineRule="auto"/>
              <w:rPr>
                <w:rFonts w:eastAsia="Times New Roman" w:cstheme="minorHAnsi"/>
                <w:b/>
                <w:bCs/>
                <w:sz w:val="16"/>
                <w:szCs w:val="16"/>
                <w:lang w:eastAsia="hr-HR"/>
              </w:rPr>
            </w:pPr>
            <w:r w:rsidRPr="0094749F">
              <w:rPr>
                <w:rFonts w:eastAsia="Times New Roman" w:cstheme="minorHAnsi"/>
                <w:b/>
                <w:bCs/>
                <w:sz w:val="16"/>
                <w:szCs w:val="16"/>
                <w:lang w:eastAsia="hr-HR"/>
              </w:rPr>
              <w:t>UKUPNO_Zgrade u vlasništvu Grada Zagreba</w:t>
            </w:r>
          </w:p>
        </w:tc>
        <w:tc>
          <w:tcPr>
            <w:tcW w:w="1513" w:type="pct"/>
            <w:tcBorders>
              <w:top w:val="nil"/>
              <w:left w:val="nil"/>
              <w:bottom w:val="single" w:sz="4" w:space="0" w:color="auto"/>
              <w:right w:val="single" w:sz="4" w:space="0" w:color="auto"/>
            </w:tcBorders>
            <w:shd w:val="clear" w:color="000000" w:fill="D9D9D9"/>
            <w:noWrap/>
            <w:vAlign w:val="bottom"/>
            <w:hideMark/>
          </w:tcPr>
          <w:p w14:paraId="631C5060" w14:textId="505F28D4" w:rsidR="0094749F" w:rsidRPr="0094749F" w:rsidRDefault="0094749F" w:rsidP="0094749F">
            <w:pPr>
              <w:spacing w:after="0" w:line="240" w:lineRule="auto"/>
              <w:jc w:val="center"/>
              <w:rPr>
                <w:rFonts w:eastAsia="Times New Roman" w:cstheme="minorHAnsi"/>
                <w:b/>
                <w:bCs/>
                <w:sz w:val="16"/>
                <w:szCs w:val="16"/>
                <w:lang w:eastAsia="hr-HR"/>
              </w:rPr>
            </w:pPr>
            <w:r>
              <w:rPr>
                <w:rFonts w:eastAsia="Times New Roman" w:cstheme="minorHAnsi"/>
                <w:b/>
                <w:bCs/>
                <w:sz w:val="16"/>
                <w:szCs w:val="16"/>
                <w:lang w:eastAsia="hr-HR"/>
              </w:rPr>
              <w:t xml:space="preserve">25 </w:t>
            </w:r>
            <w:r w:rsidRPr="0094749F">
              <w:rPr>
                <w:rFonts w:eastAsia="Times New Roman" w:cstheme="minorHAnsi"/>
                <w:b/>
                <w:bCs/>
                <w:sz w:val="16"/>
                <w:szCs w:val="16"/>
                <w:lang w:eastAsia="hr-HR"/>
              </w:rPr>
              <w:t>377,95</w:t>
            </w:r>
          </w:p>
        </w:tc>
      </w:tr>
      <w:tr w:rsidR="0094749F" w:rsidRPr="0094749F" w14:paraId="155CA82D" w14:textId="77777777" w:rsidTr="0094749F">
        <w:trPr>
          <w:trHeight w:val="60"/>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08E596" w14:textId="4E490364" w:rsidR="0094749F" w:rsidRPr="0094749F" w:rsidRDefault="0094749F" w:rsidP="0094749F">
            <w:pPr>
              <w:spacing w:after="0" w:line="240" w:lineRule="auto"/>
              <w:rPr>
                <w:rFonts w:eastAsia="Times New Roman" w:cstheme="minorHAnsi"/>
                <w:b/>
                <w:bCs/>
                <w:sz w:val="16"/>
                <w:szCs w:val="16"/>
                <w:lang w:eastAsia="hr-HR"/>
              </w:rPr>
            </w:pPr>
            <w:r w:rsidRPr="0094749F">
              <w:rPr>
                <w:rFonts w:eastAsia="Times New Roman" w:cstheme="minorHAnsi"/>
                <w:b/>
                <w:bCs/>
                <w:sz w:val="16"/>
                <w:szCs w:val="16"/>
                <w:lang w:eastAsia="hr-HR"/>
              </w:rPr>
              <w:t xml:space="preserve">STAMBENE ZGRADE </w:t>
            </w:r>
            <w:r>
              <w:rPr>
                <w:rFonts w:eastAsia="Times New Roman" w:cstheme="minorHAnsi"/>
                <w:b/>
                <w:bCs/>
                <w:sz w:val="16"/>
                <w:szCs w:val="16"/>
                <w:lang w:eastAsia="hr-HR"/>
              </w:rPr>
              <w:t>–</w:t>
            </w:r>
            <w:r w:rsidRPr="0094749F">
              <w:rPr>
                <w:rFonts w:eastAsia="Times New Roman" w:cstheme="minorHAnsi"/>
                <w:b/>
                <w:bCs/>
                <w:sz w:val="16"/>
                <w:szCs w:val="16"/>
                <w:lang w:eastAsia="hr-HR"/>
              </w:rPr>
              <w:t xml:space="preserve"> KUĆANSTVA</w:t>
            </w:r>
          </w:p>
        </w:tc>
      </w:tr>
      <w:tr w:rsidR="0094749F" w:rsidRPr="0094749F" w14:paraId="21C98EAD"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1EAC836B"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Poticanje korištenja OIE  na području Grada Zagreba</w:t>
            </w:r>
          </w:p>
        </w:tc>
        <w:tc>
          <w:tcPr>
            <w:tcW w:w="1513" w:type="pct"/>
            <w:tcBorders>
              <w:top w:val="nil"/>
              <w:left w:val="nil"/>
              <w:bottom w:val="single" w:sz="4" w:space="0" w:color="auto"/>
              <w:right w:val="single" w:sz="4" w:space="0" w:color="auto"/>
            </w:tcBorders>
            <w:shd w:val="clear" w:color="auto" w:fill="auto"/>
            <w:noWrap/>
            <w:vAlign w:val="bottom"/>
            <w:hideMark/>
          </w:tcPr>
          <w:p w14:paraId="67D2EC8B" w14:textId="77777777" w:rsidR="0094749F" w:rsidRPr="0094749F" w:rsidRDefault="0094749F" w:rsidP="0094749F">
            <w:pPr>
              <w:spacing w:after="0" w:line="240" w:lineRule="auto"/>
              <w:jc w:val="center"/>
              <w:rPr>
                <w:rFonts w:eastAsia="Times New Roman" w:cstheme="minorHAnsi"/>
                <w:sz w:val="16"/>
                <w:szCs w:val="16"/>
                <w:lang w:eastAsia="hr-HR"/>
              </w:rPr>
            </w:pPr>
            <w:r w:rsidRPr="0094749F">
              <w:rPr>
                <w:rFonts w:eastAsia="Times New Roman" w:cstheme="minorHAnsi"/>
                <w:sz w:val="16"/>
                <w:szCs w:val="16"/>
                <w:lang w:eastAsia="hr-HR"/>
              </w:rPr>
              <w:t>470,07</w:t>
            </w:r>
          </w:p>
        </w:tc>
      </w:tr>
      <w:tr w:rsidR="0094749F" w:rsidRPr="0094749F" w14:paraId="5404BEDF"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4C735831" w14:textId="52BA5FC7" w:rsidR="0094749F" w:rsidRPr="0094749F" w:rsidRDefault="0094749F" w:rsidP="00DF2C0E">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 xml:space="preserve">Uvođenje mjerenja potrošnje toplinske energije za zgrade na toplani </w:t>
            </w:r>
          </w:p>
        </w:tc>
        <w:tc>
          <w:tcPr>
            <w:tcW w:w="1513" w:type="pct"/>
            <w:tcBorders>
              <w:top w:val="nil"/>
              <w:left w:val="nil"/>
              <w:bottom w:val="single" w:sz="4" w:space="0" w:color="auto"/>
              <w:right w:val="single" w:sz="4" w:space="0" w:color="auto"/>
            </w:tcBorders>
            <w:shd w:val="clear" w:color="auto" w:fill="auto"/>
            <w:noWrap/>
            <w:vAlign w:val="bottom"/>
            <w:hideMark/>
          </w:tcPr>
          <w:p w14:paraId="46A5719F" w14:textId="418492DD"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11 </w:t>
            </w:r>
            <w:r w:rsidRPr="0094749F">
              <w:rPr>
                <w:rFonts w:eastAsia="Times New Roman" w:cstheme="minorHAnsi"/>
                <w:sz w:val="16"/>
                <w:szCs w:val="16"/>
                <w:lang w:eastAsia="hr-HR"/>
              </w:rPr>
              <w:t>228,82</w:t>
            </w:r>
          </w:p>
        </w:tc>
      </w:tr>
      <w:tr w:rsidR="0094749F" w:rsidRPr="0094749F" w14:paraId="0195955D"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551B5DE2"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Program energetske obnove obiteljskih kuća</w:t>
            </w:r>
          </w:p>
        </w:tc>
        <w:tc>
          <w:tcPr>
            <w:tcW w:w="1513" w:type="pct"/>
            <w:tcBorders>
              <w:top w:val="nil"/>
              <w:left w:val="nil"/>
              <w:bottom w:val="single" w:sz="4" w:space="0" w:color="auto"/>
              <w:right w:val="single" w:sz="4" w:space="0" w:color="auto"/>
            </w:tcBorders>
            <w:shd w:val="clear" w:color="auto" w:fill="auto"/>
            <w:noWrap/>
            <w:vAlign w:val="bottom"/>
            <w:hideMark/>
          </w:tcPr>
          <w:p w14:paraId="53085444" w14:textId="3FAA7C0D"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3 </w:t>
            </w:r>
            <w:r w:rsidRPr="0094749F">
              <w:rPr>
                <w:rFonts w:eastAsia="Times New Roman" w:cstheme="minorHAnsi"/>
                <w:sz w:val="16"/>
                <w:szCs w:val="16"/>
                <w:lang w:eastAsia="hr-HR"/>
              </w:rPr>
              <w:t>624,18</w:t>
            </w:r>
          </w:p>
        </w:tc>
      </w:tr>
      <w:tr w:rsidR="0094749F" w:rsidRPr="0094749F" w14:paraId="138BF5F9"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628FD066"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Poticanje kupovine energetski učinkovitih uređaja</w:t>
            </w:r>
          </w:p>
        </w:tc>
        <w:tc>
          <w:tcPr>
            <w:tcW w:w="1513" w:type="pct"/>
            <w:tcBorders>
              <w:top w:val="nil"/>
              <w:left w:val="nil"/>
              <w:bottom w:val="single" w:sz="4" w:space="0" w:color="auto"/>
              <w:right w:val="single" w:sz="4" w:space="0" w:color="auto"/>
            </w:tcBorders>
            <w:shd w:val="clear" w:color="auto" w:fill="auto"/>
            <w:noWrap/>
            <w:vAlign w:val="bottom"/>
            <w:hideMark/>
          </w:tcPr>
          <w:p w14:paraId="62272A3B" w14:textId="41CE351E"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1 </w:t>
            </w:r>
            <w:r w:rsidRPr="0094749F">
              <w:rPr>
                <w:rFonts w:eastAsia="Times New Roman" w:cstheme="minorHAnsi"/>
                <w:sz w:val="16"/>
                <w:szCs w:val="16"/>
                <w:lang w:eastAsia="hr-HR"/>
              </w:rPr>
              <w:t>514,94</w:t>
            </w:r>
          </w:p>
        </w:tc>
      </w:tr>
      <w:tr w:rsidR="0094749F" w:rsidRPr="0094749F" w14:paraId="6ED83E00"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7B681171"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Uvođenje štednih žarulja</w:t>
            </w:r>
          </w:p>
        </w:tc>
        <w:tc>
          <w:tcPr>
            <w:tcW w:w="1513" w:type="pct"/>
            <w:tcBorders>
              <w:top w:val="nil"/>
              <w:left w:val="nil"/>
              <w:bottom w:val="single" w:sz="4" w:space="0" w:color="auto"/>
              <w:right w:val="single" w:sz="4" w:space="0" w:color="auto"/>
            </w:tcBorders>
            <w:shd w:val="clear" w:color="auto" w:fill="auto"/>
            <w:noWrap/>
            <w:vAlign w:val="bottom"/>
            <w:hideMark/>
          </w:tcPr>
          <w:p w14:paraId="4F64F357" w14:textId="0426340C"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31 </w:t>
            </w:r>
            <w:r w:rsidRPr="0094749F">
              <w:rPr>
                <w:rFonts w:eastAsia="Times New Roman" w:cstheme="minorHAnsi"/>
                <w:sz w:val="16"/>
                <w:szCs w:val="16"/>
                <w:lang w:eastAsia="hr-HR"/>
              </w:rPr>
              <w:t>200,60</w:t>
            </w:r>
          </w:p>
        </w:tc>
      </w:tr>
      <w:tr w:rsidR="0094749F" w:rsidRPr="0094749F" w14:paraId="7F67B0D5"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78CF6754"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Donošenje pravilnika za novu izgradnju  - nove zgrade moraju imati solarne kolektore i OIE</w:t>
            </w:r>
          </w:p>
        </w:tc>
        <w:tc>
          <w:tcPr>
            <w:tcW w:w="1513" w:type="pct"/>
            <w:tcBorders>
              <w:top w:val="nil"/>
              <w:left w:val="nil"/>
              <w:bottom w:val="single" w:sz="4" w:space="0" w:color="auto"/>
              <w:right w:val="single" w:sz="4" w:space="0" w:color="auto"/>
            </w:tcBorders>
            <w:shd w:val="clear" w:color="auto" w:fill="auto"/>
            <w:noWrap/>
            <w:vAlign w:val="bottom"/>
            <w:hideMark/>
          </w:tcPr>
          <w:p w14:paraId="1255C4B3" w14:textId="2A9FD6A5"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1 </w:t>
            </w:r>
            <w:r w:rsidRPr="0094749F">
              <w:rPr>
                <w:rFonts w:eastAsia="Times New Roman" w:cstheme="minorHAnsi"/>
                <w:sz w:val="16"/>
                <w:szCs w:val="16"/>
                <w:lang w:eastAsia="hr-HR"/>
              </w:rPr>
              <w:t>509,84</w:t>
            </w:r>
          </w:p>
        </w:tc>
      </w:tr>
      <w:tr w:rsidR="0094749F" w:rsidRPr="0094749F" w14:paraId="1FE75C4F"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47F7E938"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Poticanje izgradnje pasivnih i niskoenergetskih kuća</w:t>
            </w:r>
          </w:p>
        </w:tc>
        <w:tc>
          <w:tcPr>
            <w:tcW w:w="1513" w:type="pct"/>
            <w:tcBorders>
              <w:top w:val="nil"/>
              <w:left w:val="nil"/>
              <w:bottom w:val="single" w:sz="4" w:space="0" w:color="auto"/>
              <w:right w:val="single" w:sz="4" w:space="0" w:color="auto"/>
            </w:tcBorders>
            <w:shd w:val="clear" w:color="auto" w:fill="auto"/>
            <w:noWrap/>
            <w:vAlign w:val="bottom"/>
            <w:hideMark/>
          </w:tcPr>
          <w:p w14:paraId="77CA1DD5" w14:textId="77777777" w:rsidR="0094749F" w:rsidRPr="0094749F" w:rsidRDefault="0094749F" w:rsidP="0094749F">
            <w:pPr>
              <w:spacing w:after="0" w:line="240" w:lineRule="auto"/>
              <w:jc w:val="center"/>
              <w:rPr>
                <w:rFonts w:eastAsia="Times New Roman" w:cstheme="minorHAnsi"/>
                <w:sz w:val="16"/>
                <w:szCs w:val="16"/>
                <w:lang w:eastAsia="hr-HR"/>
              </w:rPr>
            </w:pPr>
            <w:r w:rsidRPr="0094749F">
              <w:rPr>
                <w:rFonts w:eastAsia="Times New Roman" w:cstheme="minorHAnsi"/>
                <w:sz w:val="16"/>
                <w:szCs w:val="16"/>
                <w:lang w:eastAsia="hr-HR"/>
              </w:rPr>
              <w:t>-</w:t>
            </w:r>
          </w:p>
        </w:tc>
      </w:tr>
      <w:tr w:rsidR="0094749F" w:rsidRPr="0094749F" w14:paraId="410E2BFE"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09CCF3C8"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Obrazovne aktivnosti za stambeni sektor</w:t>
            </w:r>
          </w:p>
        </w:tc>
        <w:tc>
          <w:tcPr>
            <w:tcW w:w="1513" w:type="pct"/>
            <w:tcBorders>
              <w:top w:val="nil"/>
              <w:left w:val="nil"/>
              <w:bottom w:val="single" w:sz="4" w:space="0" w:color="auto"/>
              <w:right w:val="single" w:sz="4" w:space="0" w:color="auto"/>
            </w:tcBorders>
            <w:shd w:val="clear" w:color="auto" w:fill="auto"/>
            <w:noWrap/>
            <w:vAlign w:val="bottom"/>
            <w:hideMark/>
          </w:tcPr>
          <w:p w14:paraId="1D46D2B5" w14:textId="1F23A19C"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76 </w:t>
            </w:r>
            <w:r w:rsidRPr="0094749F">
              <w:rPr>
                <w:rFonts w:eastAsia="Times New Roman" w:cstheme="minorHAnsi"/>
                <w:sz w:val="16"/>
                <w:szCs w:val="16"/>
                <w:lang w:eastAsia="hr-HR"/>
              </w:rPr>
              <w:t>135,90</w:t>
            </w:r>
          </w:p>
        </w:tc>
      </w:tr>
      <w:tr w:rsidR="0094749F" w:rsidRPr="0094749F" w14:paraId="5142A48F"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57BA78A1"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Energetski pregledi višestambenih zgrada</w:t>
            </w:r>
          </w:p>
        </w:tc>
        <w:tc>
          <w:tcPr>
            <w:tcW w:w="1513" w:type="pct"/>
            <w:tcBorders>
              <w:top w:val="nil"/>
              <w:left w:val="nil"/>
              <w:bottom w:val="single" w:sz="4" w:space="0" w:color="auto"/>
              <w:right w:val="single" w:sz="4" w:space="0" w:color="auto"/>
            </w:tcBorders>
            <w:shd w:val="clear" w:color="auto" w:fill="auto"/>
            <w:noWrap/>
            <w:vAlign w:val="bottom"/>
            <w:hideMark/>
          </w:tcPr>
          <w:p w14:paraId="07A49DB4" w14:textId="5DEB4E2F"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8 </w:t>
            </w:r>
            <w:r w:rsidRPr="0094749F">
              <w:rPr>
                <w:rFonts w:eastAsia="Times New Roman" w:cstheme="minorHAnsi"/>
                <w:sz w:val="16"/>
                <w:szCs w:val="16"/>
                <w:lang w:eastAsia="hr-HR"/>
              </w:rPr>
              <w:t>752,78</w:t>
            </w:r>
          </w:p>
        </w:tc>
      </w:tr>
      <w:tr w:rsidR="0094749F" w:rsidRPr="0094749F" w14:paraId="4E94C4B4" w14:textId="77777777" w:rsidTr="0094749F">
        <w:trPr>
          <w:trHeight w:val="60"/>
        </w:trPr>
        <w:tc>
          <w:tcPr>
            <w:tcW w:w="3487" w:type="pct"/>
            <w:tcBorders>
              <w:top w:val="nil"/>
              <w:left w:val="single" w:sz="4" w:space="0" w:color="auto"/>
              <w:bottom w:val="single" w:sz="4" w:space="0" w:color="auto"/>
              <w:right w:val="single" w:sz="4" w:space="0" w:color="auto"/>
            </w:tcBorders>
            <w:shd w:val="clear" w:color="000000" w:fill="D9D9D9"/>
            <w:noWrap/>
            <w:vAlign w:val="bottom"/>
            <w:hideMark/>
          </w:tcPr>
          <w:p w14:paraId="04AFD533" w14:textId="77777777" w:rsidR="0094749F" w:rsidRPr="0094749F" w:rsidRDefault="0094749F" w:rsidP="0094749F">
            <w:pPr>
              <w:spacing w:after="0" w:line="240" w:lineRule="auto"/>
              <w:rPr>
                <w:rFonts w:eastAsia="Times New Roman" w:cstheme="minorHAnsi"/>
                <w:b/>
                <w:bCs/>
                <w:sz w:val="16"/>
                <w:szCs w:val="16"/>
                <w:lang w:eastAsia="hr-HR"/>
              </w:rPr>
            </w:pPr>
            <w:r w:rsidRPr="0094749F">
              <w:rPr>
                <w:rFonts w:eastAsia="Times New Roman" w:cstheme="minorHAnsi"/>
                <w:b/>
                <w:bCs/>
                <w:sz w:val="16"/>
                <w:szCs w:val="16"/>
                <w:lang w:eastAsia="hr-HR"/>
              </w:rPr>
              <w:t>UKUPNO_Kućanstva</w:t>
            </w:r>
          </w:p>
        </w:tc>
        <w:tc>
          <w:tcPr>
            <w:tcW w:w="1513" w:type="pct"/>
            <w:tcBorders>
              <w:top w:val="nil"/>
              <w:left w:val="nil"/>
              <w:bottom w:val="single" w:sz="4" w:space="0" w:color="auto"/>
              <w:right w:val="single" w:sz="4" w:space="0" w:color="auto"/>
            </w:tcBorders>
            <w:shd w:val="clear" w:color="000000" w:fill="D9D9D9"/>
            <w:noWrap/>
            <w:vAlign w:val="bottom"/>
            <w:hideMark/>
          </w:tcPr>
          <w:p w14:paraId="5EADDA18" w14:textId="1F6659E7" w:rsidR="0094749F" w:rsidRPr="0094749F" w:rsidRDefault="0094749F" w:rsidP="0094749F">
            <w:pPr>
              <w:spacing w:after="0" w:line="240" w:lineRule="auto"/>
              <w:jc w:val="center"/>
              <w:rPr>
                <w:rFonts w:eastAsia="Times New Roman" w:cstheme="minorHAnsi"/>
                <w:b/>
                <w:bCs/>
                <w:sz w:val="16"/>
                <w:szCs w:val="16"/>
                <w:lang w:eastAsia="hr-HR"/>
              </w:rPr>
            </w:pPr>
            <w:r>
              <w:rPr>
                <w:rFonts w:eastAsia="Times New Roman" w:cstheme="minorHAnsi"/>
                <w:b/>
                <w:bCs/>
                <w:sz w:val="16"/>
                <w:szCs w:val="16"/>
                <w:lang w:eastAsia="hr-HR"/>
              </w:rPr>
              <w:t xml:space="preserve">134 </w:t>
            </w:r>
            <w:r w:rsidRPr="0094749F">
              <w:rPr>
                <w:rFonts w:eastAsia="Times New Roman" w:cstheme="minorHAnsi"/>
                <w:b/>
                <w:bCs/>
                <w:sz w:val="16"/>
                <w:szCs w:val="16"/>
                <w:lang w:eastAsia="hr-HR"/>
              </w:rPr>
              <w:t>437,13</w:t>
            </w:r>
          </w:p>
        </w:tc>
      </w:tr>
      <w:tr w:rsidR="0094749F" w:rsidRPr="0094749F" w14:paraId="23B7C73F" w14:textId="77777777" w:rsidTr="0094749F">
        <w:trPr>
          <w:trHeight w:val="60"/>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C4AFC24" w14:textId="77777777" w:rsidR="0094749F" w:rsidRPr="0094749F" w:rsidRDefault="0094749F" w:rsidP="0094749F">
            <w:pPr>
              <w:spacing w:after="0" w:line="240" w:lineRule="auto"/>
              <w:rPr>
                <w:rFonts w:eastAsia="Times New Roman" w:cstheme="minorHAnsi"/>
                <w:b/>
                <w:bCs/>
                <w:sz w:val="16"/>
                <w:szCs w:val="16"/>
                <w:lang w:eastAsia="hr-HR"/>
              </w:rPr>
            </w:pPr>
            <w:r w:rsidRPr="0094749F">
              <w:rPr>
                <w:rFonts w:eastAsia="Times New Roman" w:cstheme="minorHAnsi"/>
                <w:b/>
                <w:bCs/>
                <w:sz w:val="16"/>
                <w:szCs w:val="16"/>
                <w:lang w:eastAsia="hr-HR"/>
              </w:rPr>
              <w:t>ZGRADE KOMERCIJALNIH I USLUŽNIH DJELATNOSTI</w:t>
            </w:r>
          </w:p>
        </w:tc>
      </w:tr>
      <w:tr w:rsidR="0094749F" w:rsidRPr="0094749F" w14:paraId="521C4C8C"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5C639161"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Uvjetovanje dobivanja poticaja poboljšanjem toplinske izolacije zgrade (zadovoljavanje propisa)</w:t>
            </w:r>
          </w:p>
        </w:tc>
        <w:tc>
          <w:tcPr>
            <w:tcW w:w="1513" w:type="pct"/>
            <w:tcBorders>
              <w:top w:val="nil"/>
              <w:left w:val="nil"/>
              <w:bottom w:val="single" w:sz="4" w:space="0" w:color="auto"/>
              <w:right w:val="single" w:sz="4" w:space="0" w:color="auto"/>
            </w:tcBorders>
            <w:shd w:val="clear" w:color="auto" w:fill="auto"/>
            <w:noWrap/>
            <w:vAlign w:val="bottom"/>
            <w:hideMark/>
          </w:tcPr>
          <w:p w14:paraId="41617041" w14:textId="1676949E"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9 </w:t>
            </w:r>
            <w:r w:rsidRPr="0094749F">
              <w:rPr>
                <w:rFonts w:eastAsia="Times New Roman" w:cstheme="minorHAnsi"/>
                <w:sz w:val="16"/>
                <w:szCs w:val="16"/>
                <w:lang w:eastAsia="hr-HR"/>
              </w:rPr>
              <w:t>119,43</w:t>
            </w:r>
          </w:p>
        </w:tc>
      </w:tr>
      <w:tr w:rsidR="0094749F" w:rsidRPr="0094749F" w14:paraId="5563857E"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22B17605"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Uvjetovanja dobivanja poticaja korištenjem OIE</w:t>
            </w:r>
          </w:p>
        </w:tc>
        <w:tc>
          <w:tcPr>
            <w:tcW w:w="1513" w:type="pct"/>
            <w:tcBorders>
              <w:top w:val="nil"/>
              <w:left w:val="nil"/>
              <w:bottom w:val="single" w:sz="4" w:space="0" w:color="auto"/>
              <w:right w:val="single" w:sz="4" w:space="0" w:color="auto"/>
            </w:tcBorders>
            <w:shd w:val="clear" w:color="auto" w:fill="auto"/>
            <w:noWrap/>
            <w:vAlign w:val="bottom"/>
            <w:hideMark/>
          </w:tcPr>
          <w:p w14:paraId="3D6E8EA8" w14:textId="2DDCDAE5"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4 </w:t>
            </w:r>
            <w:r w:rsidRPr="0094749F">
              <w:rPr>
                <w:rFonts w:eastAsia="Times New Roman" w:cstheme="minorHAnsi"/>
                <w:sz w:val="16"/>
                <w:szCs w:val="16"/>
                <w:lang w:eastAsia="hr-HR"/>
              </w:rPr>
              <w:t>559,70</w:t>
            </w:r>
          </w:p>
        </w:tc>
      </w:tr>
      <w:tr w:rsidR="0094749F" w:rsidRPr="0094749F" w14:paraId="4A1E9EA1"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66051108" w14:textId="6F553434"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Poticanje kupovine energetski učinkovitih uređaja</w:t>
            </w:r>
            <w:r>
              <w:rPr>
                <w:rStyle w:val="FootnoteReference"/>
                <w:rFonts w:eastAsia="Times New Roman"/>
                <w:sz w:val="16"/>
                <w:szCs w:val="16"/>
                <w:lang w:eastAsia="hr-HR"/>
              </w:rPr>
              <w:footnoteReference w:id="32"/>
            </w:r>
          </w:p>
        </w:tc>
        <w:tc>
          <w:tcPr>
            <w:tcW w:w="1513" w:type="pct"/>
            <w:tcBorders>
              <w:top w:val="nil"/>
              <w:left w:val="nil"/>
              <w:bottom w:val="single" w:sz="4" w:space="0" w:color="auto"/>
              <w:right w:val="single" w:sz="4" w:space="0" w:color="auto"/>
            </w:tcBorders>
            <w:shd w:val="clear" w:color="auto" w:fill="auto"/>
            <w:noWrap/>
            <w:vAlign w:val="bottom"/>
            <w:hideMark/>
          </w:tcPr>
          <w:p w14:paraId="0E78C4B2" w14:textId="77777777" w:rsidR="0094749F" w:rsidRPr="0094749F" w:rsidRDefault="0094749F" w:rsidP="0094749F">
            <w:pPr>
              <w:spacing w:after="0" w:line="240" w:lineRule="auto"/>
              <w:jc w:val="center"/>
              <w:rPr>
                <w:rFonts w:eastAsia="Times New Roman" w:cstheme="minorHAnsi"/>
                <w:sz w:val="16"/>
                <w:szCs w:val="16"/>
                <w:lang w:eastAsia="hr-HR"/>
              </w:rPr>
            </w:pPr>
            <w:r w:rsidRPr="0094749F">
              <w:rPr>
                <w:rFonts w:eastAsia="Times New Roman" w:cstheme="minorHAnsi"/>
                <w:sz w:val="16"/>
                <w:szCs w:val="16"/>
                <w:lang w:eastAsia="hr-HR"/>
              </w:rPr>
              <w:t>-</w:t>
            </w:r>
          </w:p>
        </w:tc>
      </w:tr>
      <w:tr w:rsidR="0094749F" w:rsidRPr="0094749F" w14:paraId="075B83C0"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13B868A6"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Štedne žarulje</w:t>
            </w:r>
          </w:p>
        </w:tc>
        <w:tc>
          <w:tcPr>
            <w:tcW w:w="1513" w:type="pct"/>
            <w:tcBorders>
              <w:top w:val="nil"/>
              <w:left w:val="nil"/>
              <w:bottom w:val="single" w:sz="4" w:space="0" w:color="auto"/>
              <w:right w:val="single" w:sz="4" w:space="0" w:color="auto"/>
            </w:tcBorders>
            <w:shd w:val="clear" w:color="auto" w:fill="auto"/>
            <w:noWrap/>
            <w:vAlign w:val="bottom"/>
            <w:hideMark/>
          </w:tcPr>
          <w:p w14:paraId="43EA1CB1" w14:textId="39BB5198"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2 </w:t>
            </w:r>
            <w:r w:rsidRPr="0094749F">
              <w:rPr>
                <w:rFonts w:eastAsia="Times New Roman" w:cstheme="minorHAnsi"/>
                <w:sz w:val="16"/>
                <w:szCs w:val="16"/>
                <w:lang w:eastAsia="hr-HR"/>
              </w:rPr>
              <w:t>922,00</w:t>
            </w:r>
          </w:p>
        </w:tc>
      </w:tr>
      <w:tr w:rsidR="0094749F" w:rsidRPr="0094749F" w14:paraId="0795FAC4"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5CDA213C"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Stimulativne subvencije za zgrade sa toplinskom izolacijom iznad propisa za nove zgrade</w:t>
            </w:r>
          </w:p>
        </w:tc>
        <w:tc>
          <w:tcPr>
            <w:tcW w:w="1513" w:type="pct"/>
            <w:tcBorders>
              <w:top w:val="nil"/>
              <w:left w:val="nil"/>
              <w:bottom w:val="single" w:sz="4" w:space="0" w:color="auto"/>
              <w:right w:val="single" w:sz="4" w:space="0" w:color="auto"/>
            </w:tcBorders>
            <w:shd w:val="clear" w:color="auto" w:fill="auto"/>
            <w:noWrap/>
            <w:vAlign w:val="bottom"/>
            <w:hideMark/>
          </w:tcPr>
          <w:p w14:paraId="40BC0198" w14:textId="77777777" w:rsidR="0094749F" w:rsidRPr="0094749F" w:rsidRDefault="0094749F" w:rsidP="0094749F">
            <w:pPr>
              <w:spacing w:after="0" w:line="240" w:lineRule="auto"/>
              <w:jc w:val="center"/>
              <w:rPr>
                <w:rFonts w:eastAsia="Times New Roman" w:cstheme="minorHAnsi"/>
                <w:sz w:val="16"/>
                <w:szCs w:val="16"/>
                <w:lang w:eastAsia="hr-HR"/>
              </w:rPr>
            </w:pPr>
            <w:r w:rsidRPr="0094749F">
              <w:rPr>
                <w:rFonts w:eastAsia="Times New Roman" w:cstheme="minorHAnsi"/>
                <w:sz w:val="16"/>
                <w:szCs w:val="16"/>
                <w:lang w:eastAsia="hr-HR"/>
              </w:rPr>
              <w:t>310,93</w:t>
            </w:r>
          </w:p>
        </w:tc>
      </w:tr>
      <w:tr w:rsidR="0094749F" w:rsidRPr="0094749F" w14:paraId="38BBBDB5" w14:textId="77777777" w:rsidTr="0094749F">
        <w:trPr>
          <w:trHeight w:val="60"/>
        </w:trPr>
        <w:tc>
          <w:tcPr>
            <w:tcW w:w="3487" w:type="pct"/>
            <w:tcBorders>
              <w:top w:val="nil"/>
              <w:left w:val="single" w:sz="4" w:space="0" w:color="auto"/>
              <w:bottom w:val="single" w:sz="4" w:space="0" w:color="auto"/>
              <w:right w:val="single" w:sz="4" w:space="0" w:color="auto"/>
            </w:tcBorders>
            <w:shd w:val="clear" w:color="auto" w:fill="auto"/>
            <w:noWrap/>
            <w:vAlign w:val="bottom"/>
            <w:hideMark/>
          </w:tcPr>
          <w:p w14:paraId="1FC1DCD0" w14:textId="77777777" w:rsidR="0094749F" w:rsidRPr="0094749F" w:rsidRDefault="0094749F" w:rsidP="0094749F">
            <w:pPr>
              <w:spacing w:after="0" w:line="240" w:lineRule="auto"/>
              <w:rPr>
                <w:rFonts w:eastAsia="Times New Roman" w:cstheme="minorHAnsi"/>
                <w:sz w:val="16"/>
                <w:szCs w:val="16"/>
                <w:lang w:eastAsia="hr-HR"/>
              </w:rPr>
            </w:pPr>
            <w:r w:rsidRPr="0094749F">
              <w:rPr>
                <w:rFonts w:eastAsia="Times New Roman" w:cstheme="minorHAnsi"/>
                <w:sz w:val="16"/>
                <w:szCs w:val="16"/>
                <w:lang w:eastAsia="hr-HR"/>
              </w:rPr>
              <w:t>Obrazovne aktivnosti</w:t>
            </w:r>
          </w:p>
        </w:tc>
        <w:tc>
          <w:tcPr>
            <w:tcW w:w="1513" w:type="pct"/>
            <w:tcBorders>
              <w:top w:val="nil"/>
              <w:left w:val="nil"/>
              <w:bottom w:val="single" w:sz="4" w:space="0" w:color="auto"/>
              <w:right w:val="single" w:sz="4" w:space="0" w:color="auto"/>
            </w:tcBorders>
            <w:shd w:val="clear" w:color="auto" w:fill="auto"/>
            <w:noWrap/>
            <w:vAlign w:val="bottom"/>
            <w:hideMark/>
          </w:tcPr>
          <w:p w14:paraId="33D620F9" w14:textId="18B9A3CD" w:rsidR="0094749F" w:rsidRPr="0094749F" w:rsidRDefault="0094749F" w:rsidP="0094749F">
            <w:pPr>
              <w:spacing w:after="0" w:line="240" w:lineRule="auto"/>
              <w:jc w:val="center"/>
              <w:rPr>
                <w:rFonts w:eastAsia="Times New Roman" w:cstheme="minorHAnsi"/>
                <w:sz w:val="16"/>
                <w:szCs w:val="16"/>
                <w:lang w:eastAsia="hr-HR"/>
              </w:rPr>
            </w:pPr>
            <w:r>
              <w:rPr>
                <w:rFonts w:eastAsia="Times New Roman" w:cstheme="minorHAnsi"/>
                <w:sz w:val="16"/>
                <w:szCs w:val="16"/>
                <w:lang w:eastAsia="hr-HR"/>
              </w:rPr>
              <w:t xml:space="preserve">32 </w:t>
            </w:r>
            <w:r w:rsidRPr="0094749F">
              <w:rPr>
                <w:rFonts w:eastAsia="Times New Roman" w:cstheme="minorHAnsi"/>
                <w:sz w:val="16"/>
                <w:szCs w:val="16"/>
                <w:lang w:eastAsia="hr-HR"/>
              </w:rPr>
              <w:t>388,71</w:t>
            </w:r>
          </w:p>
        </w:tc>
      </w:tr>
      <w:tr w:rsidR="0094749F" w:rsidRPr="0094749F" w14:paraId="35FBB4C1" w14:textId="77777777" w:rsidTr="0094749F">
        <w:trPr>
          <w:trHeight w:val="60"/>
        </w:trPr>
        <w:tc>
          <w:tcPr>
            <w:tcW w:w="3487" w:type="pct"/>
            <w:tcBorders>
              <w:top w:val="nil"/>
              <w:left w:val="single" w:sz="4" w:space="0" w:color="auto"/>
              <w:bottom w:val="single" w:sz="4" w:space="0" w:color="auto"/>
              <w:right w:val="single" w:sz="4" w:space="0" w:color="auto"/>
            </w:tcBorders>
            <w:shd w:val="clear" w:color="000000" w:fill="D9D9D9"/>
            <w:noWrap/>
            <w:vAlign w:val="bottom"/>
            <w:hideMark/>
          </w:tcPr>
          <w:p w14:paraId="1569AD03" w14:textId="77777777" w:rsidR="0094749F" w:rsidRPr="0094749F" w:rsidRDefault="0094749F" w:rsidP="0094749F">
            <w:pPr>
              <w:spacing w:after="0" w:line="240" w:lineRule="auto"/>
              <w:rPr>
                <w:rFonts w:eastAsia="Times New Roman" w:cstheme="minorHAnsi"/>
                <w:b/>
                <w:bCs/>
                <w:sz w:val="16"/>
                <w:szCs w:val="16"/>
                <w:lang w:eastAsia="hr-HR"/>
              </w:rPr>
            </w:pPr>
            <w:r w:rsidRPr="0094749F">
              <w:rPr>
                <w:rFonts w:eastAsia="Times New Roman" w:cstheme="minorHAnsi"/>
                <w:b/>
                <w:bCs/>
                <w:sz w:val="16"/>
                <w:szCs w:val="16"/>
                <w:lang w:eastAsia="hr-HR"/>
              </w:rPr>
              <w:t>UKUPNO_Zgrade komercijalnih i uslužnih djelatnosti</w:t>
            </w:r>
          </w:p>
        </w:tc>
        <w:tc>
          <w:tcPr>
            <w:tcW w:w="1513" w:type="pct"/>
            <w:tcBorders>
              <w:top w:val="nil"/>
              <w:left w:val="nil"/>
              <w:bottom w:val="single" w:sz="4" w:space="0" w:color="auto"/>
              <w:right w:val="single" w:sz="4" w:space="0" w:color="auto"/>
            </w:tcBorders>
            <w:shd w:val="clear" w:color="000000" w:fill="D9D9D9"/>
            <w:noWrap/>
            <w:vAlign w:val="bottom"/>
            <w:hideMark/>
          </w:tcPr>
          <w:p w14:paraId="4A72ED05" w14:textId="5AD7E253" w:rsidR="0094749F" w:rsidRPr="0094749F" w:rsidRDefault="0094749F" w:rsidP="0094749F">
            <w:pPr>
              <w:spacing w:after="0" w:line="240" w:lineRule="auto"/>
              <w:jc w:val="center"/>
              <w:rPr>
                <w:rFonts w:eastAsia="Times New Roman" w:cstheme="minorHAnsi"/>
                <w:b/>
                <w:bCs/>
                <w:sz w:val="16"/>
                <w:szCs w:val="16"/>
                <w:lang w:eastAsia="hr-HR"/>
              </w:rPr>
            </w:pPr>
            <w:r>
              <w:rPr>
                <w:rFonts w:eastAsia="Times New Roman" w:cstheme="minorHAnsi"/>
                <w:b/>
                <w:bCs/>
                <w:sz w:val="16"/>
                <w:szCs w:val="16"/>
                <w:lang w:eastAsia="hr-HR"/>
              </w:rPr>
              <w:t xml:space="preserve">49 </w:t>
            </w:r>
            <w:r w:rsidRPr="0094749F">
              <w:rPr>
                <w:rFonts w:eastAsia="Times New Roman" w:cstheme="minorHAnsi"/>
                <w:b/>
                <w:bCs/>
                <w:sz w:val="16"/>
                <w:szCs w:val="16"/>
                <w:lang w:eastAsia="hr-HR"/>
              </w:rPr>
              <w:t>300,77</w:t>
            </w:r>
          </w:p>
        </w:tc>
      </w:tr>
      <w:tr w:rsidR="0094749F" w:rsidRPr="0094749F" w14:paraId="1A4A5030" w14:textId="77777777" w:rsidTr="0094749F">
        <w:trPr>
          <w:trHeight w:val="60"/>
        </w:trPr>
        <w:tc>
          <w:tcPr>
            <w:tcW w:w="3487" w:type="pct"/>
            <w:tcBorders>
              <w:top w:val="nil"/>
              <w:left w:val="single" w:sz="4" w:space="0" w:color="auto"/>
              <w:bottom w:val="single" w:sz="4" w:space="0" w:color="auto"/>
              <w:right w:val="single" w:sz="4" w:space="0" w:color="auto"/>
            </w:tcBorders>
            <w:shd w:val="clear" w:color="000000" w:fill="D9D9D9"/>
            <w:noWrap/>
            <w:vAlign w:val="bottom"/>
            <w:hideMark/>
          </w:tcPr>
          <w:p w14:paraId="14522516" w14:textId="77777777" w:rsidR="0094749F" w:rsidRPr="0094749F" w:rsidRDefault="0094749F" w:rsidP="0094749F">
            <w:pPr>
              <w:spacing w:after="0" w:line="240" w:lineRule="auto"/>
              <w:rPr>
                <w:rFonts w:eastAsia="Times New Roman" w:cstheme="minorHAnsi"/>
                <w:b/>
                <w:bCs/>
                <w:sz w:val="16"/>
                <w:szCs w:val="16"/>
                <w:lang w:eastAsia="hr-HR"/>
              </w:rPr>
            </w:pPr>
            <w:r w:rsidRPr="0094749F">
              <w:rPr>
                <w:rFonts w:eastAsia="Times New Roman" w:cstheme="minorHAnsi"/>
                <w:b/>
                <w:bCs/>
                <w:sz w:val="16"/>
                <w:szCs w:val="16"/>
                <w:lang w:eastAsia="hr-HR"/>
              </w:rPr>
              <w:t>UKUPNO_SEKTOR ZGRADARSTVO</w:t>
            </w:r>
          </w:p>
        </w:tc>
        <w:tc>
          <w:tcPr>
            <w:tcW w:w="1513" w:type="pct"/>
            <w:tcBorders>
              <w:top w:val="nil"/>
              <w:left w:val="nil"/>
              <w:bottom w:val="single" w:sz="4" w:space="0" w:color="auto"/>
              <w:right w:val="single" w:sz="4" w:space="0" w:color="auto"/>
            </w:tcBorders>
            <w:shd w:val="clear" w:color="000000" w:fill="D9D9D9"/>
            <w:noWrap/>
            <w:vAlign w:val="bottom"/>
            <w:hideMark/>
          </w:tcPr>
          <w:p w14:paraId="047BBE90" w14:textId="507338C1" w:rsidR="0094749F" w:rsidRPr="0094749F" w:rsidRDefault="0094749F" w:rsidP="0094749F">
            <w:pPr>
              <w:spacing w:after="0" w:line="240" w:lineRule="auto"/>
              <w:jc w:val="center"/>
              <w:rPr>
                <w:rFonts w:eastAsia="Times New Roman" w:cstheme="minorHAnsi"/>
                <w:b/>
                <w:bCs/>
                <w:sz w:val="16"/>
                <w:szCs w:val="16"/>
                <w:lang w:eastAsia="hr-HR"/>
              </w:rPr>
            </w:pPr>
            <w:r>
              <w:rPr>
                <w:rFonts w:eastAsia="Times New Roman" w:cstheme="minorHAnsi"/>
                <w:b/>
                <w:bCs/>
                <w:sz w:val="16"/>
                <w:szCs w:val="16"/>
                <w:lang w:eastAsia="hr-HR"/>
              </w:rPr>
              <w:t xml:space="preserve">209 </w:t>
            </w:r>
            <w:r w:rsidRPr="0094749F">
              <w:rPr>
                <w:rFonts w:eastAsia="Times New Roman" w:cstheme="minorHAnsi"/>
                <w:b/>
                <w:bCs/>
                <w:sz w:val="16"/>
                <w:szCs w:val="16"/>
                <w:lang w:eastAsia="hr-HR"/>
              </w:rPr>
              <w:t>115,86</w:t>
            </w:r>
          </w:p>
        </w:tc>
      </w:tr>
    </w:tbl>
    <w:p w14:paraId="515703D5" w14:textId="10A12D49" w:rsidR="00C474D5" w:rsidRPr="00243DBD" w:rsidRDefault="00C474D5" w:rsidP="00E92750">
      <w:pPr>
        <w:spacing w:before="240" w:after="0" w:line="240" w:lineRule="auto"/>
        <w:jc w:val="both"/>
      </w:pPr>
      <w:bookmarkStart w:id="414" w:name="_Toc468277522"/>
      <w:r w:rsidRPr="00243DBD">
        <w:rPr>
          <w:b/>
        </w:rPr>
        <w:lastRenderedPageBreak/>
        <w:t xml:space="preserve">Tablica </w:t>
      </w:r>
      <w:r w:rsidRPr="00243DBD">
        <w:rPr>
          <w:b/>
        </w:rPr>
        <w:fldChar w:fldCharType="begin"/>
      </w:r>
      <w:r w:rsidRPr="00243DBD">
        <w:rPr>
          <w:b/>
        </w:rPr>
        <w:instrText xml:space="preserve"> STYLEREF 1 \s </w:instrText>
      </w:r>
      <w:r w:rsidRPr="00243DBD">
        <w:rPr>
          <w:b/>
        </w:rPr>
        <w:fldChar w:fldCharType="separate"/>
      </w:r>
      <w:r w:rsidR="009C319B">
        <w:rPr>
          <w:b/>
          <w:noProof/>
        </w:rPr>
        <w:t>9</w:t>
      </w:r>
      <w:r w:rsidRPr="00243DBD">
        <w:rPr>
          <w:b/>
          <w:noProof/>
        </w:rPr>
        <w:fldChar w:fldCharType="end"/>
      </w:r>
      <w:r w:rsidRPr="00243DBD">
        <w:rPr>
          <w:b/>
        </w:rPr>
        <w:t>.</w:t>
      </w:r>
      <w:r w:rsidRPr="00243DBD">
        <w:rPr>
          <w:b/>
        </w:rPr>
        <w:fldChar w:fldCharType="begin"/>
      </w:r>
      <w:r w:rsidRPr="00243DBD">
        <w:rPr>
          <w:b/>
        </w:rPr>
        <w:instrText xml:space="preserve"> SEQ Tablica \* ARABIC \s 1 </w:instrText>
      </w:r>
      <w:r w:rsidRPr="00243DBD">
        <w:rPr>
          <w:b/>
        </w:rPr>
        <w:fldChar w:fldCharType="separate"/>
      </w:r>
      <w:r w:rsidR="009C319B">
        <w:rPr>
          <w:b/>
          <w:noProof/>
        </w:rPr>
        <w:t>2</w:t>
      </w:r>
      <w:r w:rsidRPr="00243DBD">
        <w:rPr>
          <w:b/>
          <w:noProof/>
        </w:rPr>
        <w:fldChar w:fldCharType="end"/>
      </w:r>
      <w:bookmarkEnd w:id="407"/>
      <w:bookmarkEnd w:id="408"/>
      <w:bookmarkEnd w:id="409"/>
      <w:r w:rsidRPr="00243DBD">
        <w:t xml:space="preserve"> Pregled ostvarenih mjera i aktivnosti iz Akcijskog plana za sektor promet</w:t>
      </w:r>
      <w:bookmarkEnd w:id="414"/>
    </w:p>
    <w:tbl>
      <w:tblPr>
        <w:tblW w:w="5022" w:type="pct"/>
        <w:tblLook w:val="04A0" w:firstRow="1" w:lastRow="0" w:firstColumn="1" w:lastColumn="0" w:noHBand="0" w:noVBand="1"/>
      </w:tblPr>
      <w:tblGrid>
        <w:gridCol w:w="11483"/>
        <w:gridCol w:w="2998"/>
      </w:tblGrid>
      <w:tr w:rsidR="0078702D" w:rsidRPr="008B6B11" w14:paraId="7FC866B6" w14:textId="77777777" w:rsidTr="0078702D">
        <w:trPr>
          <w:trHeight w:val="240"/>
        </w:trPr>
        <w:tc>
          <w:tcPr>
            <w:tcW w:w="3965" w:type="pct"/>
            <w:vMerge w:val="restart"/>
            <w:tcBorders>
              <w:top w:val="single" w:sz="4" w:space="0" w:color="auto"/>
              <w:left w:val="single" w:sz="4" w:space="0" w:color="auto"/>
              <w:bottom w:val="single" w:sz="4" w:space="0" w:color="auto"/>
              <w:right w:val="single" w:sz="4" w:space="0" w:color="auto"/>
            </w:tcBorders>
            <w:shd w:val="clear" w:color="000000" w:fill="D9D9D9"/>
            <w:noWrap/>
            <w:hideMark/>
          </w:tcPr>
          <w:p w14:paraId="00ACB5ED" w14:textId="77777777" w:rsidR="0078702D" w:rsidRPr="0078702D" w:rsidRDefault="0078702D" w:rsidP="0078702D">
            <w:pPr>
              <w:spacing w:after="0" w:line="240" w:lineRule="auto"/>
              <w:rPr>
                <w:rFonts w:ascii="Calibri" w:eastAsia="Times New Roman" w:hAnsi="Calibri" w:cs="Calibri"/>
                <w:b/>
                <w:bCs/>
                <w:sz w:val="16"/>
                <w:szCs w:val="16"/>
                <w:lang w:eastAsia="hr-HR"/>
              </w:rPr>
            </w:pPr>
            <w:bookmarkStart w:id="415" w:name="_Ref467485490"/>
            <w:bookmarkStart w:id="416" w:name="_Ref468032277"/>
            <w:bookmarkStart w:id="417" w:name="_Ref468108127"/>
            <w:r w:rsidRPr="0078702D">
              <w:rPr>
                <w:rFonts w:ascii="Calibri" w:eastAsia="Times New Roman" w:hAnsi="Calibri" w:cs="Calibri"/>
                <w:b/>
                <w:bCs/>
                <w:sz w:val="16"/>
                <w:szCs w:val="16"/>
                <w:lang w:eastAsia="hr-HR"/>
              </w:rPr>
              <w:t>SEKTOR PROMET</w:t>
            </w:r>
          </w:p>
        </w:tc>
        <w:tc>
          <w:tcPr>
            <w:tcW w:w="1035" w:type="pct"/>
            <w:vMerge w:val="restart"/>
            <w:tcBorders>
              <w:top w:val="single" w:sz="4" w:space="0" w:color="auto"/>
              <w:left w:val="single" w:sz="4" w:space="0" w:color="auto"/>
              <w:bottom w:val="single" w:sz="4" w:space="0" w:color="auto"/>
              <w:right w:val="single" w:sz="4" w:space="0" w:color="auto"/>
            </w:tcBorders>
            <w:shd w:val="clear" w:color="000000" w:fill="D9D9D9"/>
            <w:hideMark/>
          </w:tcPr>
          <w:p w14:paraId="3A1CD948" w14:textId="77777777" w:rsidR="0078702D" w:rsidRPr="0078702D" w:rsidRDefault="0078702D" w:rsidP="0078702D">
            <w:pPr>
              <w:spacing w:after="0" w:line="240" w:lineRule="auto"/>
              <w:jc w:val="center"/>
              <w:rPr>
                <w:rFonts w:ascii="Calibri" w:eastAsia="Times New Roman" w:hAnsi="Calibri" w:cs="Calibri"/>
                <w:b/>
                <w:bCs/>
                <w:sz w:val="16"/>
                <w:szCs w:val="16"/>
                <w:lang w:eastAsia="hr-HR"/>
              </w:rPr>
            </w:pPr>
            <w:r w:rsidRPr="0078702D">
              <w:rPr>
                <w:rFonts w:ascii="Calibri" w:eastAsia="Times New Roman" w:hAnsi="Calibri" w:cs="Calibri"/>
                <w:b/>
                <w:bCs/>
                <w:sz w:val="16"/>
                <w:szCs w:val="16"/>
                <w:lang w:eastAsia="hr-HR"/>
              </w:rPr>
              <w:t>Ostvareno smanjenje emisije t CO</w:t>
            </w:r>
            <w:r w:rsidRPr="0078702D">
              <w:rPr>
                <w:rFonts w:ascii="Calibri" w:eastAsia="Times New Roman" w:hAnsi="Calibri" w:cs="Calibri"/>
                <w:b/>
                <w:bCs/>
                <w:sz w:val="16"/>
                <w:szCs w:val="16"/>
                <w:vertAlign w:val="subscript"/>
                <w:lang w:eastAsia="hr-HR"/>
              </w:rPr>
              <w:t>2</w:t>
            </w:r>
          </w:p>
        </w:tc>
      </w:tr>
      <w:tr w:rsidR="0078702D" w:rsidRPr="008B6B11" w14:paraId="2E4D3DA1" w14:textId="77777777" w:rsidTr="008B6B11">
        <w:trPr>
          <w:trHeight w:val="509"/>
        </w:trPr>
        <w:tc>
          <w:tcPr>
            <w:tcW w:w="3965" w:type="pct"/>
            <w:vMerge/>
            <w:tcBorders>
              <w:top w:val="single" w:sz="4" w:space="0" w:color="auto"/>
              <w:left w:val="single" w:sz="4" w:space="0" w:color="auto"/>
              <w:bottom w:val="single" w:sz="4" w:space="0" w:color="auto"/>
              <w:right w:val="single" w:sz="4" w:space="0" w:color="auto"/>
            </w:tcBorders>
            <w:vAlign w:val="center"/>
            <w:hideMark/>
          </w:tcPr>
          <w:p w14:paraId="46193FDD" w14:textId="77777777" w:rsidR="0078702D" w:rsidRPr="0078702D" w:rsidRDefault="0078702D" w:rsidP="0078702D">
            <w:pPr>
              <w:spacing w:after="0" w:line="240" w:lineRule="auto"/>
              <w:rPr>
                <w:rFonts w:ascii="Calibri" w:eastAsia="Times New Roman" w:hAnsi="Calibri" w:cs="Calibri"/>
                <w:b/>
                <w:bCs/>
                <w:sz w:val="16"/>
                <w:szCs w:val="16"/>
                <w:lang w:eastAsia="hr-HR"/>
              </w:rPr>
            </w:pPr>
          </w:p>
        </w:tc>
        <w:tc>
          <w:tcPr>
            <w:tcW w:w="1035" w:type="pct"/>
            <w:vMerge/>
            <w:tcBorders>
              <w:top w:val="single" w:sz="4" w:space="0" w:color="auto"/>
              <w:left w:val="single" w:sz="4" w:space="0" w:color="auto"/>
              <w:bottom w:val="single" w:sz="4" w:space="0" w:color="auto"/>
              <w:right w:val="single" w:sz="4" w:space="0" w:color="auto"/>
            </w:tcBorders>
            <w:vAlign w:val="center"/>
            <w:hideMark/>
          </w:tcPr>
          <w:p w14:paraId="7D151ED8" w14:textId="77777777" w:rsidR="0078702D" w:rsidRPr="0078702D" w:rsidRDefault="0078702D" w:rsidP="0078702D">
            <w:pPr>
              <w:spacing w:after="0" w:line="240" w:lineRule="auto"/>
              <w:rPr>
                <w:rFonts w:ascii="Calibri" w:eastAsia="Times New Roman" w:hAnsi="Calibri" w:cs="Calibri"/>
                <w:b/>
                <w:bCs/>
                <w:sz w:val="16"/>
                <w:szCs w:val="16"/>
                <w:lang w:eastAsia="hr-HR"/>
              </w:rPr>
            </w:pPr>
          </w:p>
        </w:tc>
      </w:tr>
      <w:tr w:rsidR="0078702D" w:rsidRPr="0078702D" w14:paraId="56AE7211" w14:textId="77777777" w:rsidTr="008B6B11">
        <w:trPr>
          <w:trHeight w:val="6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4421863" w14:textId="77777777" w:rsidR="0078702D" w:rsidRPr="0078702D" w:rsidRDefault="0078702D" w:rsidP="0078702D">
            <w:pPr>
              <w:spacing w:after="0" w:line="240" w:lineRule="auto"/>
              <w:rPr>
                <w:rFonts w:ascii="Calibri" w:eastAsia="Times New Roman" w:hAnsi="Calibri" w:cs="Calibri"/>
                <w:b/>
                <w:bCs/>
                <w:sz w:val="16"/>
                <w:szCs w:val="16"/>
                <w:lang w:eastAsia="hr-HR"/>
              </w:rPr>
            </w:pPr>
            <w:r w:rsidRPr="0078702D">
              <w:rPr>
                <w:rFonts w:ascii="Calibri" w:eastAsia="Times New Roman" w:hAnsi="Calibri" w:cs="Calibri"/>
                <w:b/>
                <w:bCs/>
                <w:sz w:val="16"/>
                <w:szCs w:val="16"/>
                <w:lang w:eastAsia="hr-HR"/>
              </w:rPr>
              <w:t>PODSEKTOR VOZILA U VLASNIŠTVU GRADA</w:t>
            </w:r>
          </w:p>
        </w:tc>
      </w:tr>
      <w:tr w:rsidR="0078702D" w:rsidRPr="008B6B11" w14:paraId="4D53F12C"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7D5AE9C9" w14:textId="110BA551" w:rsidR="0078702D" w:rsidRPr="0078702D" w:rsidRDefault="0078702D" w:rsidP="0082279B">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 xml:space="preserve">Car sharing za djelatnike istog poduzeća Grada Zagreba </w:t>
            </w:r>
          </w:p>
        </w:tc>
        <w:tc>
          <w:tcPr>
            <w:tcW w:w="1035" w:type="pct"/>
            <w:tcBorders>
              <w:top w:val="nil"/>
              <w:left w:val="nil"/>
              <w:bottom w:val="single" w:sz="4" w:space="0" w:color="auto"/>
              <w:right w:val="single" w:sz="4" w:space="0" w:color="auto"/>
            </w:tcBorders>
            <w:shd w:val="clear" w:color="auto" w:fill="auto"/>
            <w:noWrap/>
            <w:vAlign w:val="bottom"/>
            <w:hideMark/>
          </w:tcPr>
          <w:p w14:paraId="434F1E8D" w14:textId="77777777" w:rsidR="0078702D" w:rsidRPr="0078702D" w:rsidRDefault="0078702D" w:rsidP="0078702D">
            <w:pPr>
              <w:spacing w:after="0" w:line="240" w:lineRule="auto"/>
              <w:jc w:val="center"/>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w:t>
            </w:r>
          </w:p>
        </w:tc>
      </w:tr>
      <w:tr w:rsidR="0078702D" w:rsidRPr="008B6B11" w14:paraId="3C715D18"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2857F8AE"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Uvođenje zelene javne nabave za vozila u vlasništvu/korištenju Grada</w:t>
            </w:r>
          </w:p>
        </w:tc>
        <w:tc>
          <w:tcPr>
            <w:tcW w:w="1035" w:type="pct"/>
            <w:tcBorders>
              <w:top w:val="nil"/>
              <w:left w:val="nil"/>
              <w:bottom w:val="single" w:sz="4" w:space="0" w:color="auto"/>
              <w:right w:val="single" w:sz="4" w:space="0" w:color="auto"/>
            </w:tcBorders>
            <w:shd w:val="clear" w:color="auto" w:fill="auto"/>
            <w:noWrap/>
            <w:vAlign w:val="bottom"/>
            <w:hideMark/>
          </w:tcPr>
          <w:p w14:paraId="65EC7C81" w14:textId="77777777" w:rsidR="0078702D" w:rsidRPr="0078702D" w:rsidRDefault="0078702D" w:rsidP="0078702D">
            <w:pPr>
              <w:spacing w:after="0" w:line="240" w:lineRule="auto"/>
              <w:jc w:val="center"/>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w:t>
            </w:r>
          </w:p>
        </w:tc>
      </w:tr>
      <w:tr w:rsidR="0078702D" w:rsidRPr="008B6B11" w14:paraId="7A45CE17"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640D41B3"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Korištenje biogoriva</w:t>
            </w:r>
          </w:p>
        </w:tc>
        <w:tc>
          <w:tcPr>
            <w:tcW w:w="1035" w:type="pct"/>
            <w:tcBorders>
              <w:top w:val="nil"/>
              <w:left w:val="nil"/>
              <w:bottom w:val="single" w:sz="4" w:space="0" w:color="auto"/>
              <w:right w:val="single" w:sz="4" w:space="0" w:color="auto"/>
            </w:tcBorders>
            <w:shd w:val="clear" w:color="auto" w:fill="auto"/>
            <w:noWrap/>
            <w:vAlign w:val="bottom"/>
            <w:hideMark/>
          </w:tcPr>
          <w:p w14:paraId="366FCE30" w14:textId="77777777" w:rsidR="0078702D" w:rsidRPr="0078702D" w:rsidRDefault="0078702D" w:rsidP="0078702D">
            <w:pPr>
              <w:spacing w:after="0" w:line="240" w:lineRule="auto"/>
              <w:jc w:val="center"/>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w:t>
            </w:r>
          </w:p>
        </w:tc>
      </w:tr>
      <w:tr w:rsidR="0078702D" w:rsidRPr="008B6B11" w14:paraId="411A3FFB"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63005392"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Nabava električnih vozila</w:t>
            </w:r>
          </w:p>
        </w:tc>
        <w:tc>
          <w:tcPr>
            <w:tcW w:w="1035" w:type="pct"/>
            <w:tcBorders>
              <w:top w:val="nil"/>
              <w:left w:val="nil"/>
              <w:bottom w:val="single" w:sz="4" w:space="0" w:color="auto"/>
              <w:right w:val="single" w:sz="4" w:space="0" w:color="auto"/>
            </w:tcBorders>
            <w:shd w:val="clear" w:color="auto" w:fill="auto"/>
            <w:noWrap/>
            <w:vAlign w:val="bottom"/>
            <w:hideMark/>
          </w:tcPr>
          <w:p w14:paraId="06C4A5D3" w14:textId="0389B7AE"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 xml:space="preserve">1 </w:t>
            </w:r>
            <w:r w:rsidRPr="0078702D">
              <w:rPr>
                <w:rFonts w:ascii="Calibri" w:eastAsia="Times New Roman" w:hAnsi="Calibri" w:cs="Calibri"/>
                <w:sz w:val="16"/>
                <w:szCs w:val="16"/>
                <w:lang w:eastAsia="hr-HR"/>
              </w:rPr>
              <w:t>401,64</w:t>
            </w:r>
          </w:p>
        </w:tc>
      </w:tr>
      <w:tr w:rsidR="0078702D" w:rsidRPr="008B6B11" w14:paraId="4E040E4A" w14:textId="77777777" w:rsidTr="0078702D">
        <w:trPr>
          <w:trHeight w:val="240"/>
        </w:trPr>
        <w:tc>
          <w:tcPr>
            <w:tcW w:w="3965" w:type="pct"/>
            <w:tcBorders>
              <w:top w:val="nil"/>
              <w:left w:val="single" w:sz="4" w:space="0" w:color="auto"/>
              <w:bottom w:val="single" w:sz="4" w:space="0" w:color="auto"/>
              <w:right w:val="single" w:sz="4" w:space="0" w:color="auto"/>
            </w:tcBorders>
            <w:shd w:val="clear" w:color="000000" w:fill="D9D9D9"/>
            <w:noWrap/>
            <w:vAlign w:val="bottom"/>
            <w:hideMark/>
          </w:tcPr>
          <w:p w14:paraId="27156018" w14:textId="77777777" w:rsidR="0078702D" w:rsidRPr="0078702D" w:rsidRDefault="0078702D" w:rsidP="0078702D">
            <w:pPr>
              <w:spacing w:after="0" w:line="240" w:lineRule="auto"/>
              <w:rPr>
                <w:rFonts w:ascii="Calibri" w:eastAsia="Times New Roman" w:hAnsi="Calibri" w:cs="Calibri"/>
                <w:b/>
                <w:bCs/>
                <w:sz w:val="16"/>
                <w:szCs w:val="16"/>
                <w:lang w:eastAsia="hr-HR"/>
              </w:rPr>
            </w:pPr>
            <w:r w:rsidRPr="0078702D">
              <w:rPr>
                <w:rFonts w:ascii="Calibri" w:eastAsia="Times New Roman" w:hAnsi="Calibri" w:cs="Calibri"/>
                <w:b/>
                <w:bCs/>
                <w:sz w:val="16"/>
                <w:szCs w:val="16"/>
                <w:lang w:eastAsia="hr-HR"/>
              </w:rPr>
              <w:t>UKUPNO_Vozila u vlasništvu Grada</w:t>
            </w:r>
          </w:p>
        </w:tc>
        <w:tc>
          <w:tcPr>
            <w:tcW w:w="1035" w:type="pct"/>
            <w:tcBorders>
              <w:top w:val="nil"/>
              <w:left w:val="nil"/>
              <w:bottom w:val="single" w:sz="4" w:space="0" w:color="auto"/>
              <w:right w:val="single" w:sz="4" w:space="0" w:color="auto"/>
            </w:tcBorders>
            <w:shd w:val="clear" w:color="000000" w:fill="D9D9D9"/>
            <w:noWrap/>
            <w:vAlign w:val="bottom"/>
            <w:hideMark/>
          </w:tcPr>
          <w:p w14:paraId="75D02ABA" w14:textId="1641031F" w:rsidR="0078702D" w:rsidRPr="0078702D" w:rsidRDefault="0078702D" w:rsidP="0078702D">
            <w:pPr>
              <w:spacing w:after="0" w:line="240" w:lineRule="auto"/>
              <w:jc w:val="center"/>
              <w:rPr>
                <w:rFonts w:ascii="Calibri" w:eastAsia="Times New Roman" w:hAnsi="Calibri" w:cs="Calibri"/>
                <w:b/>
                <w:bCs/>
                <w:sz w:val="16"/>
                <w:szCs w:val="16"/>
                <w:lang w:eastAsia="hr-HR"/>
              </w:rPr>
            </w:pPr>
            <w:r w:rsidRPr="008B6B11">
              <w:rPr>
                <w:rFonts w:ascii="Calibri" w:eastAsia="Times New Roman" w:hAnsi="Calibri" w:cs="Calibri"/>
                <w:b/>
                <w:bCs/>
                <w:sz w:val="16"/>
                <w:szCs w:val="16"/>
                <w:lang w:eastAsia="hr-HR"/>
              </w:rPr>
              <w:t xml:space="preserve">1 </w:t>
            </w:r>
            <w:r w:rsidRPr="0078702D">
              <w:rPr>
                <w:rFonts w:ascii="Calibri" w:eastAsia="Times New Roman" w:hAnsi="Calibri" w:cs="Calibri"/>
                <w:b/>
                <w:bCs/>
                <w:sz w:val="16"/>
                <w:szCs w:val="16"/>
                <w:lang w:eastAsia="hr-HR"/>
              </w:rPr>
              <w:t>401,64</w:t>
            </w:r>
          </w:p>
        </w:tc>
      </w:tr>
      <w:tr w:rsidR="0078702D" w:rsidRPr="0078702D" w14:paraId="353B93A2" w14:textId="77777777" w:rsidTr="008B6B11">
        <w:trPr>
          <w:trHeight w:val="60"/>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A51C4E" w14:textId="77777777" w:rsidR="0078702D" w:rsidRPr="0078702D" w:rsidRDefault="0078702D" w:rsidP="0078702D">
            <w:pPr>
              <w:spacing w:after="0" w:line="240" w:lineRule="auto"/>
              <w:rPr>
                <w:rFonts w:ascii="Calibri" w:eastAsia="Times New Roman" w:hAnsi="Calibri" w:cs="Calibri"/>
                <w:b/>
                <w:bCs/>
                <w:sz w:val="16"/>
                <w:szCs w:val="16"/>
                <w:lang w:eastAsia="hr-HR"/>
              </w:rPr>
            </w:pPr>
            <w:r w:rsidRPr="0078702D">
              <w:rPr>
                <w:rFonts w:ascii="Calibri" w:eastAsia="Times New Roman" w:hAnsi="Calibri" w:cs="Calibri"/>
                <w:b/>
                <w:bCs/>
                <w:sz w:val="16"/>
                <w:szCs w:val="16"/>
                <w:lang w:eastAsia="hr-HR"/>
              </w:rPr>
              <w:t>JAVNI PRIJEVOZ</w:t>
            </w:r>
          </w:p>
        </w:tc>
      </w:tr>
      <w:tr w:rsidR="0078702D" w:rsidRPr="008B6B11" w14:paraId="40DC4F68"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499B89A3"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 xml:space="preserve">Uspostava mreže bicikala za iznajmljivanje </w:t>
            </w:r>
          </w:p>
        </w:tc>
        <w:tc>
          <w:tcPr>
            <w:tcW w:w="1035" w:type="pct"/>
            <w:tcBorders>
              <w:top w:val="nil"/>
              <w:left w:val="nil"/>
              <w:bottom w:val="single" w:sz="4" w:space="0" w:color="auto"/>
              <w:right w:val="single" w:sz="4" w:space="0" w:color="auto"/>
            </w:tcBorders>
            <w:shd w:val="clear" w:color="auto" w:fill="auto"/>
            <w:noWrap/>
            <w:vAlign w:val="bottom"/>
            <w:hideMark/>
          </w:tcPr>
          <w:p w14:paraId="59558501" w14:textId="77777777" w:rsidR="0078702D" w:rsidRPr="0078702D" w:rsidRDefault="0078702D" w:rsidP="0078702D">
            <w:pPr>
              <w:spacing w:after="0" w:line="240" w:lineRule="auto"/>
              <w:jc w:val="center"/>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461,97</w:t>
            </w:r>
          </w:p>
        </w:tc>
      </w:tr>
      <w:tr w:rsidR="0078702D" w:rsidRPr="008B6B11" w14:paraId="3A4A554C"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5EDF0CAA"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Uspostava park&amp;ride sustava</w:t>
            </w:r>
          </w:p>
        </w:tc>
        <w:tc>
          <w:tcPr>
            <w:tcW w:w="1035" w:type="pct"/>
            <w:tcBorders>
              <w:top w:val="nil"/>
              <w:left w:val="nil"/>
              <w:bottom w:val="single" w:sz="4" w:space="0" w:color="auto"/>
              <w:right w:val="single" w:sz="4" w:space="0" w:color="auto"/>
            </w:tcBorders>
            <w:shd w:val="clear" w:color="auto" w:fill="auto"/>
            <w:noWrap/>
            <w:vAlign w:val="bottom"/>
            <w:hideMark/>
          </w:tcPr>
          <w:p w14:paraId="489FECC0" w14:textId="77777777" w:rsidR="0078702D" w:rsidRPr="0078702D" w:rsidRDefault="0078702D" w:rsidP="0078702D">
            <w:pPr>
              <w:spacing w:after="0" w:line="240" w:lineRule="auto"/>
              <w:jc w:val="center"/>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207,90</w:t>
            </w:r>
          </w:p>
        </w:tc>
      </w:tr>
      <w:tr w:rsidR="0078702D" w:rsidRPr="008B6B11" w14:paraId="5B7C2AFA"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50B70C64"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 xml:space="preserve">Ugradnja sustava za praćenje i usmjeravanje prometa na području Grada Zagreba </w:t>
            </w:r>
          </w:p>
        </w:tc>
        <w:tc>
          <w:tcPr>
            <w:tcW w:w="1035" w:type="pct"/>
            <w:tcBorders>
              <w:top w:val="nil"/>
              <w:left w:val="nil"/>
              <w:bottom w:val="single" w:sz="4" w:space="0" w:color="auto"/>
              <w:right w:val="single" w:sz="4" w:space="0" w:color="auto"/>
            </w:tcBorders>
            <w:shd w:val="clear" w:color="auto" w:fill="auto"/>
            <w:noWrap/>
            <w:vAlign w:val="bottom"/>
            <w:hideMark/>
          </w:tcPr>
          <w:p w14:paraId="0D99AC85" w14:textId="77777777" w:rsidR="0078702D" w:rsidRPr="0078702D" w:rsidRDefault="0078702D" w:rsidP="0078702D">
            <w:pPr>
              <w:spacing w:after="0" w:line="240" w:lineRule="auto"/>
              <w:jc w:val="center"/>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424,45</w:t>
            </w:r>
          </w:p>
        </w:tc>
      </w:tr>
      <w:tr w:rsidR="0078702D" w:rsidRPr="008B6B11" w14:paraId="76195F5E"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4589AFA8"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 xml:space="preserve">Osiguranje prioriteta javnog gradskog prometa na koridorima kojima prometuje zajedno s ostalim prometom </w:t>
            </w:r>
          </w:p>
        </w:tc>
        <w:tc>
          <w:tcPr>
            <w:tcW w:w="1035" w:type="pct"/>
            <w:tcBorders>
              <w:top w:val="nil"/>
              <w:left w:val="nil"/>
              <w:bottom w:val="single" w:sz="4" w:space="0" w:color="auto"/>
              <w:right w:val="single" w:sz="4" w:space="0" w:color="auto"/>
            </w:tcBorders>
            <w:shd w:val="clear" w:color="auto" w:fill="auto"/>
            <w:noWrap/>
            <w:vAlign w:val="bottom"/>
            <w:hideMark/>
          </w:tcPr>
          <w:p w14:paraId="6DA88C40" w14:textId="35852783"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 xml:space="preserve">1 </w:t>
            </w:r>
            <w:r w:rsidRPr="0078702D">
              <w:rPr>
                <w:rFonts w:ascii="Calibri" w:eastAsia="Times New Roman" w:hAnsi="Calibri" w:cs="Calibri"/>
                <w:sz w:val="16"/>
                <w:szCs w:val="16"/>
                <w:lang w:eastAsia="hr-HR"/>
              </w:rPr>
              <w:t>061,10</w:t>
            </w:r>
          </w:p>
        </w:tc>
      </w:tr>
      <w:tr w:rsidR="0078702D" w:rsidRPr="008B6B11" w14:paraId="52407F9A"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466C9D8C" w14:textId="2B965666"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Korištenje biogoriva</w:t>
            </w:r>
            <w:r w:rsidRPr="008B6B11">
              <w:rPr>
                <w:rStyle w:val="FootnoteReference"/>
                <w:rFonts w:ascii="Calibri" w:eastAsia="Times New Roman" w:hAnsi="Calibri"/>
                <w:sz w:val="16"/>
                <w:szCs w:val="16"/>
                <w:lang w:eastAsia="hr-HR"/>
              </w:rPr>
              <w:footnoteReference w:id="33"/>
            </w:r>
          </w:p>
        </w:tc>
        <w:tc>
          <w:tcPr>
            <w:tcW w:w="1035" w:type="pct"/>
            <w:tcBorders>
              <w:top w:val="nil"/>
              <w:left w:val="nil"/>
              <w:bottom w:val="single" w:sz="4" w:space="0" w:color="auto"/>
              <w:right w:val="single" w:sz="4" w:space="0" w:color="auto"/>
            </w:tcBorders>
            <w:shd w:val="clear" w:color="auto" w:fill="auto"/>
            <w:noWrap/>
            <w:vAlign w:val="bottom"/>
            <w:hideMark/>
          </w:tcPr>
          <w:p w14:paraId="19E0704A" w14:textId="77777777" w:rsidR="0078702D" w:rsidRPr="0078702D" w:rsidRDefault="0078702D" w:rsidP="0078702D">
            <w:pPr>
              <w:spacing w:after="0" w:line="240" w:lineRule="auto"/>
              <w:jc w:val="center"/>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w:t>
            </w:r>
          </w:p>
        </w:tc>
      </w:tr>
      <w:tr w:rsidR="0078702D" w:rsidRPr="008B6B11" w14:paraId="21AE1BA4"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0F6C240B" w14:textId="32E310E2" w:rsidR="0078702D" w:rsidRPr="0078702D" w:rsidRDefault="0078702D" w:rsidP="0078702D">
            <w:pPr>
              <w:spacing w:after="0" w:line="240" w:lineRule="auto"/>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Nabava autobusa na st</w:t>
            </w:r>
            <w:r w:rsidRPr="0078702D">
              <w:rPr>
                <w:rFonts w:ascii="Calibri" w:eastAsia="Times New Roman" w:hAnsi="Calibri" w:cs="Calibri"/>
                <w:sz w:val="16"/>
                <w:szCs w:val="16"/>
                <w:lang w:eastAsia="hr-HR"/>
              </w:rPr>
              <w:t>lačeni prirodni plin</w:t>
            </w:r>
          </w:p>
        </w:tc>
        <w:tc>
          <w:tcPr>
            <w:tcW w:w="1035" w:type="pct"/>
            <w:tcBorders>
              <w:top w:val="nil"/>
              <w:left w:val="nil"/>
              <w:bottom w:val="single" w:sz="4" w:space="0" w:color="auto"/>
              <w:right w:val="single" w:sz="4" w:space="0" w:color="auto"/>
            </w:tcBorders>
            <w:shd w:val="clear" w:color="auto" w:fill="auto"/>
            <w:noWrap/>
            <w:vAlign w:val="bottom"/>
            <w:hideMark/>
          </w:tcPr>
          <w:p w14:paraId="61B96D97" w14:textId="5FCC4120"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 xml:space="preserve">1 </w:t>
            </w:r>
            <w:r w:rsidRPr="0078702D">
              <w:rPr>
                <w:rFonts w:ascii="Calibri" w:eastAsia="Times New Roman" w:hAnsi="Calibri" w:cs="Calibri"/>
                <w:sz w:val="16"/>
                <w:szCs w:val="16"/>
                <w:lang w:eastAsia="hr-HR"/>
              </w:rPr>
              <w:t>937,89</w:t>
            </w:r>
          </w:p>
        </w:tc>
      </w:tr>
      <w:tr w:rsidR="0078702D" w:rsidRPr="008B6B11" w14:paraId="67382E21" w14:textId="77777777" w:rsidTr="0078702D">
        <w:trPr>
          <w:trHeight w:val="240"/>
        </w:trPr>
        <w:tc>
          <w:tcPr>
            <w:tcW w:w="3965" w:type="pct"/>
            <w:tcBorders>
              <w:top w:val="nil"/>
              <w:left w:val="single" w:sz="4" w:space="0" w:color="auto"/>
              <w:bottom w:val="single" w:sz="4" w:space="0" w:color="auto"/>
              <w:right w:val="single" w:sz="4" w:space="0" w:color="auto"/>
            </w:tcBorders>
            <w:shd w:val="clear" w:color="000000" w:fill="D9D9D9"/>
            <w:noWrap/>
            <w:vAlign w:val="bottom"/>
            <w:hideMark/>
          </w:tcPr>
          <w:p w14:paraId="2F6717A1" w14:textId="77777777" w:rsidR="0078702D" w:rsidRPr="0078702D" w:rsidRDefault="0078702D" w:rsidP="0078702D">
            <w:pPr>
              <w:spacing w:after="0" w:line="240" w:lineRule="auto"/>
              <w:rPr>
                <w:rFonts w:ascii="Calibri" w:eastAsia="Times New Roman" w:hAnsi="Calibri" w:cs="Calibri"/>
                <w:b/>
                <w:bCs/>
                <w:sz w:val="16"/>
                <w:szCs w:val="16"/>
                <w:lang w:eastAsia="hr-HR"/>
              </w:rPr>
            </w:pPr>
            <w:r w:rsidRPr="0078702D">
              <w:rPr>
                <w:rFonts w:ascii="Calibri" w:eastAsia="Times New Roman" w:hAnsi="Calibri" w:cs="Calibri"/>
                <w:b/>
                <w:bCs/>
                <w:sz w:val="16"/>
                <w:szCs w:val="16"/>
                <w:lang w:eastAsia="hr-HR"/>
              </w:rPr>
              <w:t>UKUPNO_Javni prijevoz</w:t>
            </w:r>
          </w:p>
        </w:tc>
        <w:tc>
          <w:tcPr>
            <w:tcW w:w="1035" w:type="pct"/>
            <w:tcBorders>
              <w:top w:val="nil"/>
              <w:left w:val="nil"/>
              <w:bottom w:val="single" w:sz="4" w:space="0" w:color="auto"/>
              <w:right w:val="single" w:sz="4" w:space="0" w:color="auto"/>
            </w:tcBorders>
            <w:shd w:val="clear" w:color="000000" w:fill="D9D9D9"/>
            <w:noWrap/>
            <w:vAlign w:val="bottom"/>
            <w:hideMark/>
          </w:tcPr>
          <w:p w14:paraId="6F45E391" w14:textId="0D0EEC7C" w:rsidR="0078702D" w:rsidRPr="0078702D" w:rsidRDefault="0078702D" w:rsidP="0078702D">
            <w:pPr>
              <w:spacing w:after="0" w:line="240" w:lineRule="auto"/>
              <w:jc w:val="center"/>
              <w:rPr>
                <w:rFonts w:ascii="Calibri" w:eastAsia="Times New Roman" w:hAnsi="Calibri" w:cs="Calibri"/>
                <w:b/>
                <w:bCs/>
                <w:sz w:val="16"/>
                <w:szCs w:val="16"/>
                <w:lang w:eastAsia="hr-HR"/>
              </w:rPr>
            </w:pPr>
            <w:r w:rsidRPr="008B6B11">
              <w:rPr>
                <w:rFonts w:ascii="Calibri" w:eastAsia="Times New Roman" w:hAnsi="Calibri" w:cs="Calibri"/>
                <w:b/>
                <w:bCs/>
                <w:sz w:val="16"/>
                <w:szCs w:val="16"/>
                <w:lang w:eastAsia="hr-HR"/>
              </w:rPr>
              <w:t xml:space="preserve">4 </w:t>
            </w:r>
            <w:r w:rsidRPr="0078702D">
              <w:rPr>
                <w:rFonts w:ascii="Calibri" w:eastAsia="Times New Roman" w:hAnsi="Calibri" w:cs="Calibri"/>
                <w:b/>
                <w:bCs/>
                <w:sz w:val="16"/>
                <w:szCs w:val="16"/>
                <w:lang w:eastAsia="hr-HR"/>
              </w:rPr>
              <w:t>093,31</w:t>
            </w:r>
          </w:p>
        </w:tc>
      </w:tr>
      <w:tr w:rsidR="0078702D" w:rsidRPr="0078702D" w14:paraId="6FE804DE" w14:textId="77777777" w:rsidTr="0078702D">
        <w:trPr>
          <w:trHeight w:val="60"/>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14E9CF3" w14:textId="77777777" w:rsidR="0078702D" w:rsidRPr="0078702D" w:rsidRDefault="0078702D" w:rsidP="0078702D">
            <w:pPr>
              <w:spacing w:after="0" w:line="240" w:lineRule="auto"/>
              <w:rPr>
                <w:rFonts w:ascii="Calibri" w:eastAsia="Times New Roman" w:hAnsi="Calibri" w:cs="Calibri"/>
                <w:b/>
                <w:bCs/>
                <w:sz w:val="16"/>
                <w:szCs w:val="16"/>
                <w:lang w:eastAsia="hr-HR"/>
              </w:rPr>
            </w:pPr>
            <w:r w:rsidRPr="0078702D">
              <w:rPr>
                <w:rFonts w:ascii="Calibri" w:eastAsia="Times New Roman" w:hAnsi="Calibri" w:cs="Calibri"/>
                <w:b/>
                <w:bCs/>
                <w:sz w:val="16"/>
                <w:szCs w:val="16"/>
                <w:lang w:eastAsia="hr-HR"/>
              </w:rPr>
              <w:t>OSOBNA I KOMERCIJALNA VOZILA</w:t>
            </w:r>
          </w:p>
        </w:tc>
      </w:tr>
      <w:tr w:rsidR="0078702D" w:rsidRPr="008B6B11" w14:paraId="4B5ADC71" w14:textId="77777777" w:rsidTr="0078702D">
        <w:trPr>
          <w:trHeight w:val="24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330FBCC0"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 xml:space="preserve">Uvođenje naknada za prometno onečišćenje u centru Grada </w:t>
            </w:r>
          </w:p>
        </w:tc>
        <w:tc>
          <w:tcPr>
            <w:tcW w:w="1035" w:type="pct"/>
            <w:tcBorders>
              <w:top w:val="nil"/>
              <w:left w:val="nil"/>
              <w:bottom w:val="single" w:sz="4" w:space="0" w:color="auto"/>
              <w:right w:val="single" w:sz="4" w:space="0" w:color="auto"/>
            </w:tcBorders>
            <w:shd w:val="clear" w:color="auto" w:fill="auto"/>
            <w:noWrap/>
            <w:vAlign w:val="bottom"/>
            <w:hideMark/>
          </w:tcPr>
          <w:p w14:paraId="1B9C043A" w14:textId="77777777" w:rsidR="0078702D" w:rsidRPr="0078702D" w:rsidRDefault="0078702D" w:rsidP="0078702D">
            <w:pPr>
              <w:spacing w:after="0" w:line="240" w:lineRule="auto"/>
              <w:jc w:val="center"/>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w:t>
            </w:r>
          </w:p>
        </w:tc>
      </w:tr>
      <w:tr w:rsidR="0078702D" w:rsidRPr="008B6B11" w14:paraId="02CE0C0F" w14:textId="77777777" w:rsidTr="0078702D">
        <w:trPr>
          <w:trHeight w:val="24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77C7BDCE"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Informiranje i treniranje ekološki prihvatljivog načina vožnje</w:t>
            </w:r>
          </w:p>
        </w:tc>
        <w:tc>
          <w:tcPr>
            <w:tcW w:w="1035" w:type="pct"/>
            <w:tcBorders>
              <w:top w:val="nil"/>
              <w:left w:val="nil"/>
              <w:bottom w:val="single" w:sz="4" w:space="0" w:color="auto"/>
              <w:right w:val="single" w:sz="4" w:space="0" w:color="auto"/>
            </w:tcBorders>
            <w:shd w:val="clear" w:color="auto" w:fill="auto"/>
            <w:noWrap/>
            <w:vAlign w:val="bottom"/>
            <w:hideMark/>
          </w:tcPr>
          <w:p w14:paraId="7F0520F3" w14:textId="4F35151D"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 xml:space="preserve">6 </w:t>
            </w:r>
            <w:r w:rsidRPr="0078702D">
              <w:rPr>
                <w:rFonts w:ascii="Calibri" w:eastAsia="Times New Roman" w:hAnsi="Calibri" w:cs="Calibri"/>
                <w:sz w:val="16"/>
                <w:szCs w:val="16"/>
                <w:lang w:eastAsia="hr-HR"/>
              </w:rPr>
              <w:t>536,14</w:t>
            </w:r>
          </w:p>
        </w:tc>
      </w:tr>
      <w:tr w:rsidR="0078702D" w:rsidRPr="008B6B11" w14:paraId="74467D29" w14:textId="77777777" w:rsidTr="0078702D">
        <w:trPr>
          <w:trHeight w:val="24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35B13FA4" w14:textId="38650675"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Kampanja „Jedan dan tjedno bez automobila“</w:t>
            </w:r>
            <w:r w:rsidRPr="008B6B11">
              <w:rPr>
                <w:rStyle w:val="FootnoteReference"/>
                <w:rFonts w:ascii="Calibri" w:eastAsia="Times New Roman" w:hAnsi="Calibri"/>
                <w:sz w:val="16"/>
                <w:szCs w:val="16"/>
                <w:lang w:eastAsia="hr-HR"/>
              </w:rPr>
              <w:footnoteReference w:id="34"/>
            </w:r>
          </w:p>
        </w:tc>
        <w:tc>
          <w:tcPr>
            <w:tcW w:w="1035" w:type="pct"/>
            <w:tcBorders>
              <w:top w:val="nil"/>
              <w:left w:val="nil"/>
              <w:bottom w:val="single" w:sz="4" w:space="0" w:color="auto"/>
              <w:right w:val="single" w:sz="4" w:space="0" w:color="auto"/>
            </w:tcBorders>
            <w:shd w:val="clear" w:color="auto" w:fill="auto"/>
            <w:noWrap/>
            <w:vAlign w:val="bottom"/>
            <w:hideMark/>
          </w:tcPr>
          <w:p w14:paraId="09073344" w14:textId="26D35883"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 xml:space="preserve">1 </w:t>
            </w:r>
            <w:r w:rsidRPr="0078702D">
              <w:rPr>
                <w:rFonts w:ascii="Calibri" w:eastAsia="Times New Roman" w:hAnsi="Calibri" w:cs="Calibri"/>
                <w:sz w:val="16"/>
                <w:szCs w:val="16"/>
                <w:lang w:eastAsia="hr-HR"/>
              </w:rPr>
              <w:t>430,82</w:t>
            </w:r>
          </w:p>
        </w:tc>
      </w:tr>
      <w:tr w:rsidR="0078702D" w:rsidRPr="008B6B11" w14:paraId="43080D98" w14:textId="77777777" w:rsidTr="0078702D">
        <w:trPr>
          <w:trHeight w:val="24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4F3C7658" w14:textId="4C0B7309"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Uvođenje car-sharing modela</w:t>
            </w:r>
            <w:r w:rsidRPr="008B6B11">
              <w:rPr>
                <w:rStyle w:val="FootnoteReference"/>
                <w:rFonts w:ascii="Calibri" w:eastAsia="Times New Roman" w:hAnsi="Calibri"/>
                <w:sz w:val="16"/>
                <w:szCs w:val="16"/>
                <w:lang w:eastAsia="hr-HR"/>
              </w:rPr>
              <w:footnoteReference w:id="35"/>
            </w:r>
            <w:r w:rsidRPr="0078702D">
              <w:rPr>
                <w:rFonts w:ascii="Calibri" w:eastAsia="Times New Roman" w:hAnsi="Calibri" w:cs="Calibri"/>
                <w:sz w:val="16"/>
                <w:szCs w:val="16"/>
                <w:lang w:eastAsia="hr-HR"/>
              </w:rPr>
              <w:t xml:space="preserve"> </w:t>
            </w:r>
          </w:p>
        </w:tc>
        <w:tc>
          <w:tcPr>
            <w:tcW w:w="1035" w:type="pct"/>
            <w:tcBorders>
              <w:top w:val="nil"/>
              <w:left w:val="nil"/>
              <w:bottom w:val="single" w:sz="4" w:space="0" w:color="auto"/>
              <w:right w:val="single" w:sz="4" w:space="0" w:color="auto"/>
            </w:tcBorders>
            <w:shd w:val="clear" w:color="auto" w:fill="auto"/>
            <w:noWrap/>
            <w:vAlign w:val="bottom"/>
            <w:hideMark/>
          </w:tcPr>
          <w:p w14:paraId="35C433E8" w14:textId="77777777" w:rsidR="0078702D" w:rsidRPr="0078702D" w:rsidRDefault="0078702D" w:rsidP="0078702D">
            <w:pPr>
              <w:spacing w:after="0" w:line="240" w:lineRule="auto"/>
              <w:jc w:val="center"/>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w:t>
            </w:r>
          </w:p>
        </w:tc>
      </w:tr>
      <w:tr w:rsidR="0078702D" w:rsidRPr="008B6B11" w14:paraId="1B01EC25" w14:textId="77777777" w:rsidTr="0078702D">
        <w:trPr>
          <w:trHeight w:val="24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26FE508B"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 xml:space="preserve">Ugradnja sustava za praćenje i usmjeravanje prometa na području Grada Zagreba </w:t>
            </w:r>
          </w:p>
        </w:tc>
        <w:tc>
          <w:tcPr>
            <w:tcW w:w="1035" w:type="pct"/>
            <w:tcBorders>
              <w:top w:val="nil"/>
              <w:left w:val="nil"/>
              <w:bottom w:val="single" w:sz="4" w:space="0" w:color="auto"/>
              <w:right w:val="single" w:sz="4" w:space="0" w:color="auto"/>
            </w:tcBorders>
            <w:shd w:val="clear" w:color="auto" w:fill="auto"/>
            <w:noWrap/>
            <w:vAlign w:val="bottom"/>
            <w:hideMark/>
          </w:tcPr>
          <w:p w14:paraId="0348CD8A" w14:textId="61BFA9C4"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 xml:space="preserve">10 </w:t>
            </w:r>
            <w:r w:rsidRPr="0078702D">
              <w:rPr>
                <w:rFonts w:ascii="Calibri" w:eastAsia="Times New Roman" w:hAnsi="Calibri" w:cs="Calibri"/>
                <w:sz w:val="16"/>
                <w:szCs w:val="16"/>
                <w:lang w:eastAsia="hr-HR"/>
              </w:rPr>
              <w:t>649,50</w:t>
            </w:r>
          </w:p>
        </w:tc>
      </w:tr>
      <w:tr w:rsidR="0078702D" w:rsidRPr="008B6B11" w14:paraId="7AC264D5" w14:textId="77777777" w:rsidTr="0078702D">
        <w:trPr>
          <w:trHeight w:val="24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33CD0616" w14:textId="3A366BD9"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Uvođenje novog, brzog gradskog, podzem</w:t>
            </w:r>
            <w:r w:rsidR="0082279B" w:rsidRPr="008B6B11">
              <w:rPr>
                <w:rFonts w:ascii="Calibri" w:eastAsia="Times New Roman" w:hAnsi="Calibri" w:cs="Calibri"/>
                <w:sz w:val="16"/>
                <w:szCs w:val="16"/>
                <w:lang w:eastAsia="hr-HR"/>
              </w:rPr>
              <w:t>no nadzemnog tračničkog sustava</w:t>
            </w:r>
            <w:r w:rsidRPr="0078702D">
              <w:rPr>
                <w:rFonts w:ascii="Calibri" w:eastAsia="Times New Roman" w:hAnsi="Calibri" w:cs="Calibri"/>
                <w:sz w:val="16"/>
                <w:szCs w:val="16"/>
                <w:lang w:eastAsia="hr-HR"/>
              </w:rPr>
              <w:t xml:space="preserve"> </w:t>
            </w:r>
          </w:p>
        </w:tc>
        <w:tc>
          <w:tcPr>
            <w:tcW w:w="1035" w:type="pct"/>
            <w:tcBorders>
              <w:top w:val="nil"/>
              <w:left w:val="nil"/>
              <w:bottom w:val="single" w:sz="4" w:space="0" w:color="auto"/>
              <w:right w:val="single" w:sz="4" w:space="0" w:color="auto"/>
            </w:tcBorders>
            <w:shd w:val="clear" w:color="auto" w:fill="auto"/>
            <w:noWrap/>
            <w:vAlign w:val="bottom"/>
            <w:hideMark/>
          </w:tcPr>
          <w:p w14:paraId="55C82864" w14:textId="5F7EEA22"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w:t>
            </w:r>
          </w:p>
        </w:tc>
      </w:tr>
      <w:tr w:rsidR="0078702D" w:rsidRPr="008B6B11" w14:paraId="2BF7C689"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0EA33DC9" w14:textId="6BD3523A"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Razvoj i unapređenj</w:t>
            </w:r>
            <w:r w:rsidR="0082279B" w:rsidRPr="008B6B11">
              <w:rPr>
                <w:rFonts w:ascii="Calibri" w:eastAsia="Times New Roman" w:hAnsi="Calibri" w:cs="Calibri"/>
                <w:sz w:val="16"/>
                <w:szCs w:val="16"/>
                <w:lang w:eastAsia="hr-HR"/>
              </w:rPr>
              <w:t>e gradsko prigradske željeznice</w:t>
            </w:r>
          </w:p>
        </w:tc>
        <w:tc>
          <w:tcPr>
            <w:tcW w:w="1035" w:type="pct"/>
            <w:tcBorders>
              <w:top w:val="nil"/>
              <w:left w:val="nil"/>
              <w:bottom w:val="single" w:sz="4" w:space="0" w:color="auto"/>
              <w:right w:val="single" w:sz="4" w:space="0" w:color="auto"/>
            </w:tcBorders>
            <w:shd w:val="clear" w:color="auto" w:fill="auto"/>
            <w:noWrap/>
            <w:vAlign w:val="bottom"/>
            <w:hideMark/>
          </w:tcPr>
          <w:p w14:paraId="5C866C5B" w14:textId="09359391"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 xml:space="preserve">15 </w:t>
            </w:r>
            <w:r w:rsidRPr="0078702D">
              <w:rPr>
                <w:rFonts w:ascii="Calibri" w:eastAsia="Times New Roman" w:hAnsi="Calibri" w:cs="Calibri"/>
                <w:sz w:val="16"/>
                <w:szCs w:val="16"/>
                <w:lang w:eastAsia="hr-HR"/>
              </w:rPr>
              <w:t>974,28</w:t>
            </w:r>
          </w:p>
        </w:tc>
      </w:tr>
      <w:tr w:rsidR="0078702D" w:rsidRPr="008B6B11" w14:paraId="070FE9A2"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5B8849B0" w14:textId="7397477A"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Razvoj i unapr</w:t>
            </w:r>
            <w:r w:rsidR="0082279B" w:rsidRPr="008B6B11">
              <w:rPr>
                <w:rFonts w:ascii="Calibri" w:eastAsia="Times New Roman" w:hAnsi="Calibri" w:cs="Calibri"/>
                <w:sz w:val="16"/>
                <w:szCs w:val="16"/>
                <w:lang w:eastAsia="hr-HR"/>
              </w:rPr>
              <w:t>jeđenje mreže javnog prijevoza</w:t>
            </w:r>
          </w:p>
        </w:tc>
        <w:tc>
          <w:tcPr>
            <w:tcW w:w="1035" w:type="pct"/>
            <w:tcBorders>
              <w:top w:val="nil"/>
              <w:left w:val="nil"/>
              <w:bottom w:val="single" w:sz="4" w:space="0" w:color="auto"/>
              <w:right w:val="single" w:sz="4" w:space="0" w:color="auto"/>
            </w:tcBorders>
            <w:shd w:val="clear" w:color="auto" w:fill="auto"/>
            <w:noWrap/>
            <w:vAlign w:val="bottom"/>
            <w:hideMark/>
          </w:tcPr>
          <w:p w14:paraId="404A8CFF" w14:textId="1E9E9E56"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 xml:space="preserve">9 </w:t>
            </w:r>
            <w:r w:rsidRPr="0078702D">
              <w:rPr>
                <w:rFonts w:ascii="Calibri" w:eastAsia="Times New Roman" w:hAnsi="Calibri" w:cs="Calibri"/>
                <w:sz w:val="16"/>
                <w:szCs w:val="16"/>
                <w:lang w:eastAsia="hr-HR"/>
              </w:rPr>
              <w:t>584,55</w:t>
            </w:r>
          </w:p>
        </w:tc>
      </w:tr>
      <w:tr w:rsidR="0078702D" w:rsidRPr="008B6B11" w14:paraId="0CD97C48"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08829AE9" w14:textId="77777777"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Sufinanciranje kupnje energetski učinkovitih vozila - FZOEU</w:t>
            </w:r>
          </w:p>
        </w:tc>
        <w:tc>
          <w:tcPr>
            <w:tcW w:w="1035" w:type="pct"/>
            <w:tcBorders>
              <w:top w:val="nil"/>
              <w:left w:val="nil"/>
              <w:bottom w:val="single" w:sz="4" w:space="0" w:color="auto"/>
              <w:right w:val="single" w:sz="4" w:space="0" w:color="auto"/>
            </w:tcBorders>
            <w:shd w:val="clear" w:color="auto" w:fill="auto"/>
            <w:noWrap/>
            <w:vAlign w:val="bottom"/>
            <w:hideMark/>
          </w:tcPr>
          <w:p w14:paraId="0D764248" w14:textId="0A3C847C"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 xml:space="preserve">41 </w:t>
            </w:r>
            <w:r w:rsidRPr="0078702D">
              <w:rPr>
                <w:rFonts w:ascii="Calibri" w:eastAsia="Times New Roman" w:hAnsi="Calibri" w:cs="Calibri"/>
                <w:sz w:val="16"/>
                <w:szCs w:val="16"/>
                <w:lang w:eastAsia="hr-HR"/>
              </w:rPr>
              <w:t>348,27</w:t>
            </w:r>
          </w:p>
        </w:tc>
      </w:tr>
      <w:tr w:rsidR="0078702D" w:rsidRPr="008B6B11" w14:paraId="2D3550D6" w14:textId="77777777" w:rsidTr="008B6B11">
        <w:trPr>
          <w:trHeight w:val="60"/>
        </w:trPr>
        <w:tc>
          <w:tcPr>
            <w:tcW w:w="3965" w:type="pct"/>
            <w:tcBorders>
              <w:top w:val="nil"/>
              <w:left w:val="single" w:sz="4" w:space="0" w:color="auto"/>
              <w:bottom w:val="single" w:sz="4" w:space="0" w:color="auto"/>
              <w:right w:val="single" w:sz="4" w:space="0" w:color="auto"/>
            </w:tcBorders>
            <w:shd w:val="clear" w:color="auto" w:fill="auto"/>
            <w:noWrap/>
            <w:vAlign w:val="bottom"/>
            <w:hideMark/>
          </w:tcPr>
          <w:p w14:paraId="0E818B82" w14:textId="22345878" w:rsidR="0078702D" w:rsidRPr="0078702D" w:rsidRDefault="0078702D" w:rsidP="0078702D">
            <w:pPr>
              <w:spacing w:after="0" w:line="240" w:lineRule="auto"/>
              <w:rPr>
                <w:rFonts w:ascii="Calibri" w:eastAsia="Times New Roman" w:hAnsi="Calibri" w:cs="Calibri"/>
                <w:sz w:val="16"/>
                <w:szCs w:val="16"/>
                <w:lang w:eastAsia="hr-HR"/>
              </w:rPr>
            </w:pPr>
            <w:r w:rsidRPr="0078702D">
              <w:rPr>
                <w:rFonts w:ascii="Calibri" w:eastAsia="Times New Roman" w:hAnsi="Calibri" w:cs="Calibri"/>
                <w:sz w:val="16"/>
                <w:szCs w:val="16"/>
                <w:lang w:eastAsia="hr-HR"/>
              </w:rPr>
              <w:t>Punionice za električna vozila</w:t>
            </w:r>
            <w:r w:rsidRPr="008B6B11">
              <w:rPr>
                <w:rStyle w:val="FootnoteReference"/>
                <w:rFonts w:ascii="Calibri" w:eastAsia="Times New Roman" w:hAnsi="Calibri"/>
                <w:sz w:val="16"/>
                <w:szCs w:val="16"/>
                <w:lang w:eastAsia="hr-HR"/>
              </w:rPr>
              <w:footnoteReference w:id="36"/>
            </w:r>
          </w:p>
        </w:tc>
        <w:tc>
          <w:tcPr>
            <w:tcW w:w="1035" w:type="pct"/>
            <w:tcBorders>
              <w:top w:val="nil"/>
              <w:left w:val="nil"/>
              <w:bottom w:val="single" w:sz="4" w:space="0" w:color="auto"/>
              <w:right w:val="single" w:sz="4" w:space="0" w:color="auto"/>
            </w:tcBorders>
            <w:shd w:val="clear" w:color="auto" w:fill="auto"/>
            <w:noWrap/>
            <w:vAlign w:val="bottom"/>
            <w:hideMark/>
          </w:tcPr>
          <w:p w14:paraId="7AE48E55" w14:textId="77C2E3A7" w:rsidR="0078702D" w:rsidRPr="0078702D" w:rsidRDefault="0078702D" w:rsidP="0078702D">
            <w:pPr>
              <w:spacing w:after="0" w:line="240" w:lineRule="auto"/>
              <w:jc w:val="center"/>
              <w:rPr>
                <w:rFonts w:ascii="Calibri" w:eastAsia="Times New Roman" w:hAnsi="Calibri" w:cs="Calibri"/>
                <w:sz w:val="16"/>
                <w:szCs w:val="16"/>
                <w:lang w:eastAsia="hr-HR"/>
              </w:rPr>
            </w:pPr>
            <w:r w:rsidRPr="008B6B11">
              <w:rPr>
                <w:rFonts w:ascii="Calibri" w:eastAsia="Times New Roman" w:hAnsi="Calibri" w:cs="Calibri"/>
                <w:sz w:val="16"/>
                <w:szCs w:val="16"/>
                <w:lang w:eastAsia="hr-HR"/>
              </w:rPr>
              <w:t>-</w:t>
            </w:r>
          </w:p>
        </w:tc>
      </w:tr>
      <w:tr w:rsidR="0078702D" w:rsidRPr="008B6B11" w14:paraId="1EDDA8FA" w14:textId="77777777" w:rsidTr="008B6B11">
        <w:trPr>
          <w:trHeight w:val="60"/>
        </w:trPr>
        <w:tc>
          <w:tcPr>
            <w:tcW w:w="3965" w:type="pct"/>
            <w:tcBorders>
              <w:top w:val="nil"/>
              <w:left w:val="single" w:sz="4" w:space="0" w:color="auto"/>
              <w:bottom w:val="single" w:sz="4" w:space="0" w:color="auto"/>
              <w:right w:val="single" w:sz="4" w:space="0" w:color="auto"/>
            </w:tcBorders>
            <w:shd w:val="clear" w:color="000000" w:fill="D9D9D9"/>
            <w:noWrap/>
            <w:vAlign w:val="bottom"/>
            <w:hideMark/>
          </w:tcPr>
          <w:p w14:paraId="716AE241" w14:textId="77777777" w:rsidR="0078702D" w:rsidRPr="0078702D" w:rsidRDefault="0078702D" w:rsidP="0078702D">
            <w:pPr>
              <w:spacing w:after="0" w:line="240" w:lineRule="auto"/>
              <w:rPr>
                <w:rFonts w:ascii="Calibri" w:eastAsia="Times New Roman" w:hAnsi="Calibri" w:cs="Calibri"/>
                <w:b/>
                <w:bCs/>
                <w:sz w:val="16"/>
                <w:szCs w:val="16"/>
                <w:lang w:eastAsia="hr-HR"/>
              </w:rPr>
            </w:pPr>
            <w:r w:rsidRPr="0078702D">
              <w:rPr>
                <w:rFonts w:ascii="Calibri" w:eastAsia="Times New Roman" w:hAnsi="Calibri" w:cs="Calibri"/>
                <w:b/>
                <w:bCs/>
                <w:sz w:val="16"/>
                <w:szCs w:val="16"/>
                <w:lang w:eastAsia="hr-HR"/>
              </w:rPr>
              <w:t>UKUPNO_Osobna i komercijalna vozila</w:t>
            </w:r>
          </w:p>
        </w:tc>
        <w:tc>
          <w:tcPr>
            <w:tcW w:w="1035" w:type="pct"/>
            <w:tcBorders>
              <w:top w:val="nil"/>
              <w:left w:val="nil"/>
              <w:bottom w:val="single" w:sz="4" w:space="0" w:color="auto"/>
              <w:right w:val="single" w:sz="4" w:space="0" w:color="auto"/>
            </w:tcBorders>
            <w:shd w:val="clear" w:color="000000" w:fill="D9D9D9"/>
            <w:noWrap/>
            <w:vAlign w:val="bottom"/>
            <w:hideMark/>
          </w:tcPr>
          <w:p w14:paraId="62C446D1" w14:textId="4D2FC55D" w:rsidR="0078702D" w:rsidRPr="0078702D" w:rsidRDefault="0078702D" w:rsidP="0078702D">
            <w:pPr>
              <w:spacing w:after="0" w:line="240" w:lineRule="auto"/>
              <w:jc w:val="center"/>
              <w:rPr>
                <w:rFonts w:ascii="Calibri" w:eastAsia="Times New Roman" w:hAnsi="Calibri" w:cs="Calibri"/>
                <w:b/>
                <w:bCs/>
                <w:sz w:val="16"/>
                <w:szCs w:val="16"/>
                <w:lang w:eastAsia="hr-HR"/>
              </w:rPr>
            </w:pPr>
            <w:r w:rsidRPr="008B6B11">
              <w:rPr>
                <w:rFonts w:ascii="Calibri" w:eastAsia="Times New Roman" w:hAnsi="Calibri" w:cs="Calibri"/>
                <w:b/>
                <w:bCs/>
                <w:sz w:val="16"/>
                <w:szCs w:val="16"/>
                <w:lang w:eastAsia="hr-HR"/>
              </w:rPr>
              <w:t xml:space="preserve">85 </w:t>
            </w:r>
            <w:r w:rsidRPr="0078702D">
              <w:rPr>
                <w:rFonts w:ascii="Calibri" w:eastAsia="Times New Roman" w:hAnsi="Calibri" w:cs="Calibri"/>
                <w:b/>
                <w:bCs/>
                <w:sz w:val="16"/>
                <w:szCs w:val="16"/>
                <w:lang w:eastAsia="hr-HR"/>
              </w:rPr>
              <w:t>523,56</w:t>
            </w:r>
          </w:p>
        </w:tc>
      </w:tr>
      <w:tr w:rsidR="0078702D" w:rsidRPr="008B6B11" w14:paraId="38277B9F" w14:textId="77777777" w:rsidTr="008B6B11">
        <w:trPr>
          <w:trHeight w:val="60"/>
        </w:trPr>
        <w:tc>
          <w:tcPr>
            <w:tcW w:w="3965" w:type="pct"/>
            <w:tcBorders>
              <w:top w:val="nil"/>
              <w:left w:val="single" w:sz="4" w:space="0" w:color="auto"/>
              <w:bottom w:val="single" w:sz="4" w:space="0" w:color="auto"/>
              <w:right w:val="single" w:sz="4" w:space="0" w:color="auto"/>
            </w:tcBorders>
            <w:shd w:val="clear" w:color="000000" w:fill="D9D9D9"/>
            <w:noWrap/>
            <w:vAlign w:val="bottom"/>
            <w:hideMark/>
          </w:tcPr>
          <w:p w14:paraId="38A84B9F" w14:textId="77777777" w:rsidR="0078702D" w:rsidRPr="0078702D" w:rsidRDefault="0078702D" w:rsidP="0078702D">
            <w:pPr>
              <w:spacing w:after="0" w:line="240" w:lineRule="auto"/>
              <w:rPr>
                <w:rFonts w:ascii="Calibri" w:eastAsia="Times New Roman" w:hAnsi="Calibri" w:cs="Calibri"/>
                <w:b/>
                <w:bCs/>
                <w:sz w:val="16"/>
                <w:szCs w:val="16"/>
                <w:lang w:eastAsia="hr-HR"/>
              </w:rPr>
            </w:pPr>
            <w:r w:rsidRPr="0078702D">
              <w:rPr>
                <w:rFonts w:ascii="Calibri" w:eastAsia="Times New Roman" w:hAnsi="Calibri" w:cs="Calibri"/>
                <w:b/>
                <w:bCs/>
                <w:sz w:val="16"/>
                <w:szCs w:val="16"/>
                <w:lang w:eastAsia="hr-HR"/>
              </w:rPr>
              <w:t>UKUPNO_SEKTOR PROMET</w:t>
            </w:r>
          </w:p>
        </w:tc>
        <w:tc>
          <w:tcPr>
            <w:tcW w:w="1035" w:type="pct"/>
            <w:tcBorders>
              <w:top w:val="nil"/>
              <w:left w:val="nil"/>
              <w:bottom w:val="single" w:sz="4" w:space="0" w:color="auto"/>
              <w:right w:val="single" w:sz="4" w:space="0" w:color="auto"/>
            </w:tcBorders>
            <w:shd w:val="clear" w:color="000000" w:fill="D9D9D9"/>
            <w:noWrap/>
            <w:vAlign w:val="bottom"/>
            <w:hideMark/>
          </w:tcPr>
          <w:p w14:paraId="1AB1F598" w14:textId="6B6E7D94" w:rsidR="0078702D" w:rsidRPr="0078702D" w:rsidRDefault="0078702D" w:rsidP="0078702D">
            <w:pPr>
              <w:spacing w:after="0" w:line="240" w:lineRule="auto"/>
              <w:jc w:val="center"/>
              <w:rPr>
                <w:rFonts w:ascii="Calibri" w:eastAsia="Times New Roman" w:hAnsi="Calibri" w:cs="Calibri"/>
                <w:b/>
                <w:bCs/>
                <w:sz w:val="16"/>
                <w:szCs w:val="16"/>
                <w:lang w:eastAsia="hr-HR"/>
              </w:rPr>
            </w:pPr>
            <w:r w:rsidRPr="008B6B11">
              <w:rPr>
                <w:rFonts w:ascii="Calibri" w:eastAsia="Times New Roman" w:hAnsi="Calibri" w:cs="Calibri"/>
                <w:b/>
                <w:bCs/>
                <w:sz w:val="16"/>
                <w:szCs w:val="16"/>
                <w:lang w:eastAsia="hr-HR"/>
              </w:rPr>
              <w:t xml:space="preserve">91 </w:t>
            </w:r>
            <w:r w:rsidRPr="0078702D">
              <w:rPr>
                <w:rFonts w:ascii="Calibri" w:eastAsia="Times New Roman" w:hAnsi="Calibri" w:cs="Calibri"/>
                <w:b/>
                <w:bCs/>
                <w:sz w:val="16"/>
                <w:szCs w:val="16"/>
                <w:lang w:eastAsia="hr-HR"/>
              </w:rPr>
              <w:t>018,51</w:t>
            </w:r>
          </w:p>
        </w:tc>
      </w:tr>
    </w:tbl>
    <w:p w14:paraId="1F4FC844" w14:textId="24B1B3AA" w:rsidR="00C474D5" w:rsidRPr="00E00AB5" w:rsidRDefault="00C474D5" w:rsidP="00E92750">
      <w:pPr>
        <w:spacing w:before="240" w:after="0" w:line="240" w:lineRule="auto"/>
        <w:jc w:val="both"/>
      </w:pPr>
      <w:bookmarkStart w:id="418" w:name="_Toc468277523"/>
      <w:r w:rsidRPr="00E00AB5">
        <w:rPr>
          <w:b/>
        </w:rPr>
        <w:lastRenderedPageBreak/>
        <w:t xml:space="preserve">Tablica </w:t>
      </w:r>
      <w:r w:rsidRPr="00E00AB5">
        <w:rPr>
          <w:b/>
        </w:rPr>
        <w:fldChar w:fldCharType="begin"/>
      </w:r>
      <w:r w:rsidRPr="00E00AB5">
        <w:rPr>
          <w:b/>
        </w:rPr>
        <w:instrText xml:space="preserve"> STYLEREF 1 \s </w:instrText>
      </w:r>
      <w:r w:rsidRPr="00E00AB5">
        <w:rPr>
          <w:b/>
        </w:rPr>
        <w:fldChar w:fldCharType="separate"/>
      </w:r>
      <w:r w:rsidR="009C319B">
        <w:rPr>
          <w:b/>
          <w:noProof/>
        </w:rPr>
        <w:t>9</w:t>
      </w:r>
      <w:r w:rsidRPr="00E00AB5">
        <w:rPr>
          <w:b/>
          <w:noProof/>
        </w:rPr>
        <w:fldChar w:fldCharType="end"/>
      </w:r>
      <w:r w:rsidRPr="00E00AB5">
        <w:rPr>
          <w:b/>
        </w:rPr>
        <w:t>.</w:t>
      </w:r>
      <w:r w:rsidRPr="00E00AB5">
        <w:rPr>
          <w:b/>
        </w:rPr>
        <w:fldChar w:fldCharType="begin"/>
      </w:r>
      <w:r w:rsidRPr="00E00AB5">
        <w:rPr>
          <w:b/>
        </w:rPr>
        <w:instrText xml:space="preserve"> SEQ Tablica \* ARABIC \s 1 </w:instrText>
      </w:r>
      <w:r w:rsidRPr="00E00AB5">
        <w:rPr>
          <w:b/>
        </w:rPr>
        <w:fldChar w:fldCharType="separate"/>
      </w:r>
      <w:r w:rsidR="009C319B">
        <w:rPr>
          <w:b/>
          <w:noProof/>
        </w:rPr>
        <w:t>3</w:t>
      </w:r>
      <w:r w:rsidRPr="00E00AB5">
        <w:rPr>
          <w:b/>
          <w:noProof/>
        </w:rPr>
        <w:fldChar w:fldCharType="end"/>
      </w:r>
      <w:bookmarkEnd w:id="415"/>
      <w:bookmarkEnd w:id="416"/>
      <w:bookmarkEnd w:id="417"/>
      <w:r w:rsidRPr="00E00AB5">
        <w:t xml:space="preserve"> </w:t>
      </w:r>
      <w:r w:rsidR="00A558C3" w:rsidRPr="00E00AB5">
        <w:t>Pregled realiziranih</w:t>
      </w:r>
      <w:r w:rsidRPr="00E00AB5">
        <w:t xml:space="preserve"> mjera i aktivnosti iz Akcijskog plana za sektor javna rasvjeta</w:t>
      </w:r>
      <w:bookmarkEnd w:id="418"/>
    </w:p>
    <w:tbl>
      <w:tblPr>
        <w:tblW w:w="4840" w:type="pct"/>
        <w:tblInd w:w="108" w:type="dxa"/>
        <w:tblLook w:val="04A0" w:firstRow="1" w:lastRow="0" w:firstColumn="1" w:lastColumn="0" w:noHBand="0" w:noVBand="1"/>
      </w:tblPr>
      <w:tblGrid>
        <w:gridCol w:w="11166"/>
        <w:gridCol w:w="2791"/>
      </w:tblGrid>
      <w:tr w:rsidR="00022E79" w:rsidRPr="00B61702" w14:paraId="3E788DDA" w14:textId="77777777" w:rsidTr="005054C1">
        <w:trPr>
          <w:trHeight w:val="244"/>
        </w:trPr>
        <w:tc>
          <w:tcPr>
            <w:tcW w:w="400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bottom"/>
            <w:hideMark/>
          </w:tcPr>
          <w:p w14:paraId="7A12051C" w14:textId="77777777" w:rsidR="00022E79" w:rsidRPr="00B61702" w:rsidRDefault="00022E79" w:rsidP="00E92750">
            <w:pPr>
              <w:spacing w:after="0" w:line="240" w:lineRule="auto"/>
              <w:rPr>
                <w:rFonts w:ascii="Calibri" w:eastAsia="Times New Roman" w:hAnsi="Calibri" w:cs="Calibri"/>
                <w:b/>
                <w:bCs/>
                <w:color w:val="000000"/>
                <w:sz w:val="18"/>
                <w:szCs w:val="18"/>
                <w:lang w:eastAsia="hr-HR"/>
              </w:rPr>
            </w:pPr>
            <w:r w:rsidRPr="00B61702">
              <w:rPr>
                <w:rFonts w:ascii="Calibri" w:eastAsia="Times New Roman" w:hAnsi="Calibri" w:cs="Calibri"/>
                <w:b/>
                <w:bCs/>
                <w:color w:val="000000"/>
                <w:sz w:val="18"/>
                <w:szCs w:val="18"/>
                <w:lang w:eastAsia="hr-HR"/>
              </w:rPr>
              <w:t>SEKTOR JAVNA RASVJETA</w:t>
            </w:r>
          </w:p>
        </w:tc>
        <w:tc>
          <w:tcPr>
            <w:tcW w:w="1000"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5E24910D" w14:textId="77777777" w:rsidR="00022E79" w:rsidRPr="00B61702" w:rsidRDefault="00022E79" w:rsidP="00E92750">
            <w:pPr>
              <w:spacing w:after="0" w:line="240" w:lineRule="auto"/>
              <w:jc w:val="center"/>
              <w:rPr>
                <w:rFonts w:ascii="Calibri" w:eastAsia="Times New Roman" w:hAnsi="Calibri" w:cs="Calibri"/>
                <w:b/>
                <w:bCs/>
                <w:color w:val="000000"/>
                <w:sz w:val="18"/>
                <w:szCs w:val="18"/>
                <w:lang w:eastAsia="hr-HR"/>
              </w:rPr>
            </w:pPr>
            <w:r w:rsidRPr="00B61702">
              <w:rPr>
                <w:rFonts w:ascii="Calibri" w:eastAsia="Times New Roman" w:hAnsi="Calibri" w:cs="Calibri"/>
                <w:b/>
                <w:bCs/>
                <w:color w:val="000000"/>
                <w:sz w:val="18"/>
                <w:szCs w:val="18"/>
                <w:lang w:eastAsia="hr-HR"/>
              </w:rPr>
              <w:t>Ostvareno smanjenje emisije t CO</w:t>
            </w:r>
            <w:r w:rsidRPr="00B61702">
              <w:rPr>
                <w:rFonts w:ascii="Calibri" w:eastAsia="Times New Roman" w:hAnsi="Calibri" w:cs="Calibri"/>
                <w:b/>
                <w:bCs/>
                <w:color w:val="000000"/>
                <w:sz w:val="18"/>
                <w:szCs w:val="18"/>
                <w:vertAlign w:val="subscript"/>
                <w:lang w:eastAsia="hr-HR"/>
              </w:rPr>
              <w:t>2</w:t>
            </w:r>
          </w:p>
        </w:tc>
      </w:tr>
      <w:tr w:rsidR="00022E79" w:rsidRPr="00B61702" w14:paraId="2A52DD37" w14:textId="77777777" w:rsidTr="005054C1">
        <w:trPr>
          <w:trHeight w:val="244"/>
        </w:trPr>
        <w:tc>
          <w:tcPr>
            <w:tcW w:w="4000" w:type="pct"/>
            <w:vMerge/>
            <w:tcBorders>
              <w:top w:val="single" w:sz="4" w:space="0" w:color="auto"/>
              <w:left w:val="single" w:sz="4" w:space="0" w:color="auto"/>
              <w:bottom w:val="single" w:sz="4" w:space="0" w:color="000000"/>
              <w:right w:val="single" w:sz="4" w:space="0" w:color="auto"/>
            </w:tcBorders>
            <w:vAlign w:val="center"/>
            <w:hideMark/>
          </w:tcPr>
          <w:p w14:paraId="31E6AAC7" w14:textId="77777777" w:rsidR="00022E79" w:rsidRPr="00B61702" w:rsidRDefault="00022E79" w:rsidP="00E92750">
            <w:pPr>
              <w:spacing w:after="0" w:line="240" w:lineRule="auto"/>
              <w:rPr>
                <w:rFonts w:ascii="Calibri" w:eastAsia="Times New Roman" w:hAnsi="Calibri" w:cs="Calibri"/>
                <w:b/>
                <w:bCs/>
                <w:color w:val="000000"/>
                <w:sz w:val="18"/>
                <w:szCs w:val="18"/>
                <w:lang w:eastAsia="hr-HR"/>
              </w:rPr>
            </w:pPr>
          </w:p>
        </w:tc>
        <w:tc>
          <w:tcPr>
            <w:tcW w:w="1000" w:type="pct"/>
            <w:vMerge/>
            <w:tcBorders>
              <w:top w:val="single" w:sz="4" w:space="0" w:color="auto"/>
              <w:left w:val="single" w:sz="4" w:space="0" w:color="auto"/>
              <w:bottom w:val="single" w:sz="4" w:space="0" w:color="000000"/>
              <w:right w:val="single" w:sz="4" w:space="0" w:color="auto"/>
            </w:tcBorders>
            <w:vAlign w:val="center"/>
            <w:hideMark/>
          </w:tcPr>
          <w:p w14:paraId="1F53190B" w14:textId="77777777" w:rsidR="00022E79" w:rsidRPr="00B61702" w:rsidRDefault="00022E79" w:rsidP="00E92750">
            <w:pPr>
              <w:spacing w:after="0" w:line="240" w:lineRule="auto"/>
              <w:rPr>
                <w:rFonts w:ascii="Calibri" w:eastAsia="Times New Roman" w:hAnsi="Calibri" w:cs="Calibri"/>
                <w:b/>
                <w:bCs/>
                <w:color w:val="000000"/>
                <w:sz w:val="18"/>
                <w:szCs w:val="18"/>
                <w:lang w:eastAsia="hr-HR"/>
              </w:rPr>
            </w:pPr>
          </w:p>
        </w:tc>
      </w:tr>
      <w:tr w:rsidR="00022E79" w:rsidRPr="00B61702" w14:paraId="3F1930E4" w14:textId="77777777" w:rsidTr="005054C1">
        <w:trPr>
          <w:trHeight w:val="240"/>
        </w:trPr>
        <w:tc>
          <w:tcPr>
            <w:tcW w:w="4000" w:type="pct"/>
            <w:tcBorders>
              <w:top w:val="nil"/>
              <w:left w:val="single" w:sz="4" w:space="0" w:color="auto"/>
              <w:bottom w:val="single" w:sz="4" w:space="0" w:color="auto"/>
              <w:right w:val="single" w:sz="4" w:space="0" w:color="auto"/>
            </w:tcBorders>
            <w:shd w:val="clear" w:color="auto" w:fill="auto"/>
            <w:noWrap/>
            <w:vAlign w:val="bottom"/>
            <w:hideMark/>
          </w:tcPr>
          <w:p w14:paraId="47FD5462" w14:textId="77777777" w:rsidR="00022E79" w:rsidRPr="00B61702" w:rsidRDefault="00022E79" w:rsidP="00E92750">
            <w:pPr>
              <w:spacing w:after="0" w:line="240" w:lineRule="auto"/>
              <w:rPr>
                <w:rFonts w:ascii="Calibri" w:eastAsia="Times New Roman" w:hAnsi="Calibri" w:cs="Calibri"/>
                <w:color w:val="000000"/>
                <w:sz w:val="18"/>
                <w:szCs w:val="18"/>
                <w:lang w:eastAsia="hr-HR"/>
              </w:rPr>
            </w:pPr>
            <w:r w:rsidRPr="00B61702">
              <w:rPr>
                <w:rFonts w:ascii="Calibri" w:eastAsia="Times New Roman" w:hAnsi="Calibri" w:cs="Calibri"/>
                <w:color w:val="000000"/>
                <w:sz w:val="18"/>
                <w:szCs w:val="18"/>
                <w:lang w:eastAsia="hr-HR"/>
              </w:rPr>
              <w:t>Modernizacija te upravljanje intenzitetom javne rasvjete</w:t>
            </w:r>
          </w:p>
        </w:tc>
        <w:tc>
          <w:tcPr>
            <w:tcW w:w="1000" w:type="pct"/>
            <w:tcBorders>
              <w:top w:val="nil"/>
              <w:left w:val="nil"/>
              <w:bottom w:val="single" w:sz="4" w:space="0" w:color="auto"/>
              <w:right w:val="single" w:sz="4" w:space="0" w:color="auto"/>
            </w:tcBorders>
            <w:shd w:val="clear" w:color="auto" w:fill="auto"/>
            <w:noWrap/>
            <w:vAlign w:val="bottom"/>
            <w:hideMark/>
          </w:tcPr>
          <w:p w14:paraId="4145F1E8" w14:textId="42D8540D" w:rsidR="00022E79" w:rsidRPr="00B61702" w:rsidRDefault="00022E79" w:rsidP="00E92750">
            <w:pPr>
              <w:spacing w:after="0" w:line="240" w:lineRule="auto"/>
              <w:jc w:val="center"/>
              <w:rPr>
                <w:rFonts w:ascii="Calibri" w:eastAsia="Times New Roman" w:hAnsi="Calibri" w:cs="Calibri"/>
                <w:color w:val="000000"/>
                <w:sz w:val="18"/>
                <w:szCs w:val="18"/>
                <w:lang w:eastAsia="hr-HR"/>
              </w:rPr>
            </w:pPr>
            <w:r w:rsidRPr="00B61702">
              <w:rPr>
                <w:rFonts w:ascii="Calibri" w:eastAsia="Times New Roman" w:hAnsi="Calibri" w:cs="Calibri"/>
                <w:color w:val="000000"/>
                <w:sz w:val="18"/>
                <w:szCs w:val="18"/>
                <w:lang w:eastAsia="hr-HR"/>
              </w:rPr>
              <w:t>2 830,33</w:t>
            </w:r>
          </w:p>
        </w:tc>
      </w:tr>
    </w:tbl>
    <w:p w14:paraId="13B7E5AE" w14:textId="37F51753" w:rsidR="000E213E" w:rsidRDefault="005D29F5" w:rsidP="00E92750">
      <w:pPr>
        <w:spacing w:before="240" w:line="240" w:lineRule="auto"/>
        <w:jc w:val="both"/>
      </w:pPr>
      <w:r w:rsidRPr="00022E79">
        <w:rPr>
          <w:rFonts w:eastAsia="Times New Roman"/>
        </w:rPr>
        <w:t>Zaključno, r</w:t>
      </w:r>
      <w:r w:rsidR="006F48DA" w:rsidRPr="00022E79">
        <w:rPr>
          <w:rFonts w:eastAsia="Times New Roman"/>
        </w:rPr>
        <w:t>ealizacija opisanih mjera</w:t>
      </w:r>
      <w:r w:rsidRPr="00022E79">
        <w:rPr>
          <w:rFonts w:eastAsia="Times New Roman"/>
        </w:rPr>
        <w:t xml:space="preserve"> iz sva tri sektora</w:t>
      </w:r>
      <w:r w:rsidR="006F48DA" w:rsidRPr="00022E79">
        <w:rPr>
          <w:rFonts w:eastAsia="Times New Roman"/>
        </w:rPr>
        <w:t xml:space="preserve"> rezultirala je ukupnim smanjenjem emisije CO</w:t>
      </w:r>
      <w:r w:rsidR="006F48DA" w:rsidRPr="00022E79">
        <w:rPr>
          <w:rFonts w:eastAsia="Times New Roman"/>
          <w:vertAlign w:val="subscript"/>
        </w:rPr>
        <w:t>2</w:t>
      </w:r>
      <w:r w:rsidR="006F48DA" w:rsidRPr="00022E79">
        <w:rPr>
          <w:rFonts w:eastAsia="Times New Roman"/>
        </w:rPr>
        <w:t xml:space="preserve"> od </w:t>
      </w:r>
      <w:r w:rsidR="00037741">
        <w:rPr>
          <w:rFonts w:eastAsia="Times New Roman"/>
        </w:rPr>
        <w:t>303</w:t>
      </w:r>
      <w:r w:rsidR="002F25A7" w:rsidRPr="00022E79">
        <w:rPr>
          <w:rFonts w:eastAsia="Times New Roman"/>
        </w:rPr>
        <w:t xml:space="preserve"> k</w:t>
      </w:r>
      <w:r w:rsidR="006F48DA" w:rsidRPr="00022E79">
        <w:rPr>
          <w:rFonts w:eastAsia="Times New Roman"/>
        </w:rPr>
        <w:t>tCO</w:t>
      </w:r>
      <w:r w:rsidR="004E26BB" w:rsidRPr="00022E79">
        <w:rPr>
          <w:rFonts w:eastAsia="Times New Roman"/>
          <w:vertAlign w:val="subscript"/>
        </w:rPr>
        <w:t xml:space="preserve">2 </w:t>
      </w:r>
      <w:r w:rsidR="004E26BB" w:rsidRPr="00022E79">
        <w:t>odnosno (</w:t>
      </w:r>
      <w:r w:rsidR="00037741">
        <w:t>51,60</w:t>
      </w:r>
      <w:r w:rsidR="004E26BB" w:rsidRPr="00022E79">
        <w:t>%) od postavljenog indikativnog cilja smanjenja emisije CO</w:t>
      </w:r>
      <w:r w:rsidR="004E26BB" w:rsidRPr="00022E79">
        <w:rPr>
          <w:vertAlign w:val="subscript"/>
        </w:rPr>
        <w:t>2</w:t>
      </w:r>
      <w:r w:rsidR="004E26BB" w:rsidRPr="00022E79">
        <w:t xml:space="preserve"> do 2020. godine.</w:t>
      </w:r>
      <w:bookmarkEnd w:id="410"/>
      <w:bookmarkEnd w:id="411"/>
      <w:bookmarkEnd w:id="412"/>
      <w:bookmarkEnd w:id="413"/>
      <w:r w:rsidR="00E00AB5" w:rsidRPr="00022E79">
        <w:t xml:space="preserve"> </w:t>
      </w:r>
    </w:p>
    <w:p w14:paraId="745B4CFC" w14:textId="10F30D0B" w:rsidR="00E96086" w:rsidRPr="007C7920" w:rsidRDefault="00E00AB5" w:rsidP="00E92750">
      <w:pPr>
        <w:spacing w:before="240" w:line="240" w:lineRule="auto"/>
        <w:jc w:val="both"/>
        <w:rPr>
          <w:rFonts w:ascii="Calibri" w:eastAsia="Calibri" w:hAnsi="Calibri" w:cs="Calibri"/>
          <w:highlight w:val="yellow"/>
        </w:rPr>
      </w:pPr>
      <w:r w:rsidRPr="00C67DD3">
        <w:t>Pregled svih odobrenih subvencija Fonda za zaštitu okoliša i energetsku učinkovitost</w:t>
      </w:r>
      <w:r w:rsidR="00C67DD3">
        <w:t xml:space="preserve"> za Grad Zagreb</w:t>
      </w:r>
      <w:r w:rsidRPr="00C67DD3">
        <w:t xml:space="preserve"> dan je u poglavlju </w:t>
      </w:r>
      <w:r w:rsidR="00C67DD3">
        <w:t xml:space="preserve">14. ovog dokumenta - </w:t>
      </w:r>
      <w:r w:rsidRPr="00C67DD3">
        <w:t>Prilozi.</w:t>
      </w:r>
    </w:p>
    <w:p w14:paraId="41D424F4" w14:textId="77777777" w:rsidR="00C474D5" w:rsidRPr="007C7920" w:rsidRDefault="00C474D5" w:rsidP="00E92750">
      <w:pPr>
        <w:spacing w:before="240" w:line="240" w:lineRule="auto"/>
        <w:jc w:val="both"/>
        <w:rPr>
          <w:rFonts w:ascii="Calibri" w:eastAsia="Calibri" w:hAnsi="Calibri" w:cs="Calibri"/>
          <w:highlight w:val="yellow"/>
        </w:rPr>
        <w:sectPr w:rsidR="00C474D5" w:rsidRPr="007C7920" w:rsidSect="00C474D5">
          <w:pgSz w:w="16838" w:h="11906" w:orient="landscape"/>
          <w:pgMar w:top="1418" w:right="992" w:bottom="1418" w:left="1418" w:header="709" w:footer="709" w:gutter="0"/>
          <w:cols w:space="708"/>
          <w:docGrid w:linePitch="360"/>
        </w:sectPr>
      </w:pPr>
    </w:p>
    <w:p w14:paraId="2DB81638" w14:textId="79681576" w:rsidR="00F54001" w:rsidRPr="002B1735" w:rsidRDefault="00F54001" w:rsidP="00E92750">
      <w:pPr>
        <w:pStyle w:val="Heading2"/>
        <w:spacing w:after="240"/>
        <w:rPr>
          <w:rFonts w:eastAsia="Calibri"/>
        </w:rPr>
      </w:pPr>
      <w:bookmarkStart w:id="419" w:name="_Toc468345396"/>
      <w:r w:rsidRPr="002B1735">
        <w:rPr>
          <w:rFonts w:eastAsia="Calibri"/>
        </w:rPr>
        <w:lastRenderedPageBreak/>
        <w:t>Z</w:t>
      </w:r>
      <w:r w:rsidR="00385C5D" w:rsidRPr="002B1735">
        <w:rPr>
          <w:rFonts w:eastAsia="Calibri"/>
        </w:rPr>
        <w:t>aključak provedene A</w:t>
      </w:r>
      <w:r w:rsidRPr="002B1735">
        <w:rPr>
          <w:rFonts w:eastAsia="Calibri"/>
        </w:rPr>
        <w:t>nalize uspješnosti provedbe Akcijskog plana</w:t>
      </w:r>
      <w:bookmarkEnd w:id="419"/>
    </w:p>
    <w:p w14:paraId="39EE357D" w14:textId="6FA84FE2" w:rsidR="009C16A1" w:rsidRPr="002B1735" w:rsidRDefault="00385C5D" w:rsidP="00E92750">
      <w:pPr>
        <w:spacing w:line="240" w:lineRule="auto"/>
        <w:jc w:val="both"/>
        <w:rPr>
          <w:rFonts w:cstheme="minorHAnsi"/>
        </w:rPr>
      </w:pPr>
      <w:r w:rsidRPr="002B1735">
        <w:t xml:space="preserve">Provedena Analiza uspješnosti obuhvatila je sve mjere i aktivnosti realizirane zaključno do 31. </w:t>
      </w:r>
      <w:r w:rsidR="005B4BCE" w:rsidRPr="002B1735">
        <w:t>prosinca 2015. godine. Analizom je utvrđeno da je na osnovu provedenih mjera i aktivnosti ostvareno smanjenje emisije CO</w:t>
      </w:r>
      <w:r w:rsidR="005B4BCE" w:rsidRPr="002B1735">
        <w:rPr>
          <w:vertAlign w:val="subscript"/>
        </w:rPr>
        <w:t>2</w:t>
      </w:r>
      <w:r w:rsidR="005B4BCE" w:rsidRPr="002B1735">
        <w:t xml:space="preserve"> od (</w:t>
      </w:r>
      <w:r w:rsidR="008B6B11">
        <w:t>303</w:t>
      </w:r>
      <w:r w:rsidR="002B1735" w:rsidRPr="002B1735">
        <w:t xml:space="preserve"> </w:t>
      </w:r>
      <w:r w:rsidR="008B6B11">
        <w:t>k</w:t>
      </w:r>
      <w:r w:rsidR="00B0752B" w:rsidRPr="002B1735">
        <w:t>t CO</w:t>
      </w:r>
      <w:r w:rsidR="00B0752B" w:rsidRPr="002B1735">
        <w:rPr>
          <w:vertAlign w:val="subscript"/>
        </w:rPr>
        <w:t>2</w:t>
      </w:r>
      <w:r w:rsidR="005B4BCE" w:rsidRPr="002B1735">
        <w:t xml:space="preserve">), </w:t>
      </w:r>
      <w:r w:rsidR="00B0752B" w:rsidRPr="002B1735">
        <w:t>odnosno</w:t>
      </w:r>
      <w:r w:rsidR="005B4BCE" w:rsidRPr="002B1735">
        <w:t xml:space="preserve"> (</w:t>
      </w:r>
      <w:r w:rsidR="008B6B11">
        <w:t>51,60</w:t>
      </w:r>
      <w:r w:rsidR="005B4BCE" w:rsidRPr="002B1735">
        <w:t>%) u</w:t>
      </w:r>
      <w:r w:rsidR="00B0752B" w:rsidRPr="002B1735">
        <w:t xml:space="preserve"> odnosu na postavljen cilj</w:t>
      </w:r>
      <w:r w:rsidR="005B4BCE" w:rsidRPr="002B1735">
        <w:t xml:space="preserve"> smanjenja emisije </w:t>
      </w:r>
      <w:r w:rsidR="00774D0B" w:rsidRPr="002B1735">
        <w:t xml:space="preserve">od </w:t>
      </w:r>
      <w:r w:rsidR="00D173AE" w:rsidRPr="002B1735">
        <w:rPr>
          <w:rFonts w:cstheme="minorHAnsi"/>
          <w:b/>
        </w:rPr>
        <w:t>587 170,69 t CO</w:t>
      </w:r>
      <w:r w:rsidR="00D173AE" w:rsidRPr="002B1735">
        <w:rPr>
          <w:rFonts w:cstheme="minorHAnsi"/>
          <w:b/>
          <w:vertAlign w:val="subscript"/>
        </w:rPr>
        <w:t>2</w:t>
      </w:r>
      <w:r w:rsidR="009C16A1" w:rsidRPr="002B1735">
        <w:rPr>
          <w:rFonts w:cstheme="minorHAnsi"/>
        </w:rPr>
        <w:t xml:space="preserve"> do 2020. godine, </w:t>
      </w:r>
      <w:r w:rsidR="009C16A1" w:rsidRPr="002B1735">
        <w:rPr>
          <w:rFonts w:cstheme="minorHAnsi"/>
        </w:rPr>
        <w:fldChar w:fldCharType="begin"/>
      </w:r>
      <w:r w:rsidR="009C16A1" w:rsidRPr="002B1735">
        <w:rPr>
          <w:rFonts w:cstheme="minorHAnsi"/>
        </w:rPr>
        <w:instrText xml:space="preserve"> REF _Ref467321608 \h  \* MERGEFORMAT </w:instrText>
      </w:r>
      <w:r w:rsidR="009C16A1" w:rsidRPr="002B1735">
        <w:rPr>
          <w:rFonts w:cstheme="minorHAnsi"/>
        </w:rPr>
      </w:r>
      <w:r w:rsidR="009C16A1" w:rsidRPr="002B1735">
        <w:rPr>
          <w:rFonts w:cstheme="minorHAnsi"/>
        </w:rPr>
        <w:fldChar w:fldCharType="separate"/>
      </w:r>
      <w:r w:rsidR="009C319B" w:rsidRPr="009C319B">
        <w:rPr>
          <w:rFonts w:eastAsia="Calibri" w:cs="Times New Roman"/>
          <w:b/>
          <w:bCs/>
        </w:rPr>
        <w:t xml:space="preserve">Tablica </w:t>
      </w:r>
      <w:r w:rsidR="009C319B" w:rsidRPr="009C319B">
        <w:rPr>
          <w:rFonts w:eastAsia="Calibri" w:cs="Times New Roman"/>
          <w:b/>
          <w:bCs/>
          <w:noProof/>
        </w:rPr>
        <w:t>9.4</w:t>
      </w:r>
      <w:r w:rsidR="009C16A1" w:rsidRPr="002B1735">
        <w:rPr>
          <w:rFonts w:cstheme="minorHAnsi"/>
        </w:rPr>
        <w:fldChar w:fldCharType="end"/>
      </w:r>
      <w:r w:rsidR="009C16A1" w:rsidRPr="002B1735">
        <w:rPr>
          <w:rFonts w:cstheme="minorHAnsi"/>
        </w:rPr>
        <w:t>.</w:t>
      </w:r>
    </w:p>
    <w:p w14:paraId="08943569" w14:textId="4E369050" w:rsidR="009C16A1" w:rsidRPr="00882DAD" w:rsidRDefault="009C16A1" w:rsidP="00E92750">
      <w:pPr>
        <w:spacing w:after="0" w:line="240" w:lineRule="auto"/>
        <w:jc w:val="both"/>
        <w:rPr>
          <w:rFonts w:eastAsia="Calibri" w:cs="Times New Roman"/>
          <w:b/>
          <w:bCs/>
        </w:rPr>
      </w:pPr>
      <w:bookmarkStart w:id="420" w:name="_Ref467321608"/>
      <w:bookmarkStart w:id="421" w:name="_Toc451240979"/>
      <w:bookmarkStart w:id="422" w:name="_Toc468277524"/>
      <w:r w:rsidRPr="00882DAD">
        <w:rPr>
          <w:rFonts w:eastAsia="Calibri" w:cs="Times New Roman"/>
          <w:b/>
          <w:bCs/>
        </w:rPr>
        <w:t xml:space="preserve">Tablica </w:t>
      </w:r>
      <w:r w:rsidRPr="00882DAD">
        <w:rPr>
          <w:rFonts w:eastAsia="Calibri" w:cs="Times New Roman"/>
          <w:b/>
          <w:bCs/>
        </w:rPr>
        <w:fldChar w:fldCharType="begin"/>
      </w:r>
      <w:r w:rsidRPr="00882DAD">
        <w:rPr>
          <w:rFonts w:eastAsia="Calibri" w:cs="Times New Roman"/>
          <w:b/>
          <w:bCs/>
        </w:rPr>
        <w:instrText xml:space="preserve"> STYLEREF 1 \s </w:instrText>
      </w:r>
      <w:r w:rsidRPr="00882DAD">
        <w:rPr>
          <w:rFonts w:eastAsia="Calibri" w:cs="Times New Roman"/>
          <w:b/>
          <w:bCs/>
        </w:rPr>
        <w:fldChar w:fldCharType="separate"/>
      </w:r>
      <w:r w:rsidR="009C319B" w:rsidRPr="00882DAD">
        <w:rPr>
          <w:rFonts w:eastAsia="Calibri" w:cs="Times New Roman"/>
          <w:b/>
          <w:bCs/>
          <w:noProof/>
        </w:rPr>
        <w:t>9</w:t>
      </w:r>
      <w:r w:rsidRPr="00882DAD">
        <w:rPr>
          <w:rFonts w:eastAsia="Calibri" w:cs="Times New Roman"/>
          <w:b/>
          <w:bCs/>
          <w:noProof/>
        </w:rPr>
        <w:fldChar w:fldCharType="end"/>
      </w:r>
      <w:r w:rsidRPr="00882DAD">
        <w:rPr>
          <w:rFonts w:eastAsia="Calibri" w:cs="Times New Roman"/>
          <w:b/>
          <w:bCs/>
        </w:rPr>
        <w:t>.</w:t>
      </w:r>
      <w:r w:rsidRPr="00882DAD">
        <w:rPr>
          <w:rFonts w:eastAsia="Calibri" w:cs="Times New Roman"/>
          <w:b/>
          <w:bCs/>
        </w:rPr>
        <w:fldChar w:fldCharType="begin"/>
      </w:r>
      <w:r w:rsidRPr="00882DAD">
        <w:rPr>
          <w:rFonts w:eastAsia="Calibri" w:cs="Times New Roman"/>
          <w:b/>
          <w:bCs/>
        </w:rPr>
        <w:instrText xml:space="preserve"> SEQ Tablica \* ARABIC \s 1 </w:instrText>
      </w:r>
      <w:r w:rsidRPr="00882DAD">
        <w:rPr>
          <w:rFonts w:eastAsia="Calibri" w:cs="Times New Roman"/>
          <w:b/>
          <w:bCs/>
        </w:rPr>
        <w:fldChar w:fldCharType="separate"/>
      </w:r>
      <w:r w:rsidR="009C319B" w:rsidRPr="00882DAD">
        <w:rPr>
          <w:rFonts w:eastAsia="Calibri" w:cs="Times New Roman"/>
          <w:b/>
          <w:bCs/>
          <w:noProof/>
        </w:rPr>
        <w:t>4</w:t>
      </w:r>
      <w:r w:rsidRPr="00882DAD">
        <w:rPr>
          <w:rFonts w:eastAsia="Calibri" w:cs="Times New Roman"/>
          <w:b/>
          <w:bCs/>
          <w:noProof/>
        </w:rPr>
        <w:fldChar w:fldCharType="end"/>
      </w:r>
      <w:bookmarkEnd w:id="420"/>
      <w:r w:rsidRPr="00882DAD">
        <w:rPr>
          <w:rFonts w:eastAsia="Calibri" w:cs="Times New Roman"/>
          <w:b/>
          <w:bCs/>
        </w:rPr>
        <w:t xml:space="preserve"> </w:t>
      </w:r>
      <w:r w:rsidRPr="00882DAD">
        <w:rPr>
          <w:rFonts w:eastAsia="Calibri" w:cs="Times New Roman"/>
          <w:bCs/>
        </w:rPr>
        <w:t>Prikaz</w:t>
      </w:r>
      <w:bookmarkEnd w:id="421"/>
      <w:r w:rsidRPr="00882DAD">
        <w:rPr>
          <w:rFonts w:eastAsia="Calibri" w:cs="Times New Roman"/>
          <w:bCs/>
        </w:rPr>
        <w:t xml:space="preserve"> rezultata Analize uspješnosti provede Akcijskog plana</w:t>
      </w:r>
      <w:bookmarkEnd w:id="422"/>
      <w:r w:rsidRPr="00882DAD">
        <w:rPr>
          <w:rFonts w:eastAsia="Calibri" w:cs="Times New Roman"/>
          <w:bCs/>
        </w:rPr>
        <w:t xml:space="preserve"> </w:t>
      </w:r>
    </w:p>
    <w:tbl>
      <w:tblPr>
        <w:tblW w:w="4942" w:type="pct"/>
        <w:tblInd w:w="108" w:type="dxa"/>
        <w:tblLook w:val="04A0" w:firstRow="1" w:lastRow="0" w:firstColumn="1" w:lastColumn="0" w:noHBand="0" w:noVBand="1"/>
      </w:tblPr>
      <w:tblGrid>
        <w:gridCol w:w="6501"/>
        <w:gridCol w:w="2454"/>
      </w:tblGrid>
      <w:tr w:rsidR="008B6B11" w:rsidRPr="008B6B11" w14:paraId="1B55BD6B" w14:textId="77777777" w:rsidTr="008B6B11">
        <w:trPr>
          <w:trHeight w:val="430"/>
        </w:trPr>
        <w:tc>
          <w:tcPr>
            <w:tcW w:w="3630" w:type="pct"/>
            <w:tcBorders>
              <w:top w:val="single" w:sz="4" w:space="0" w:color="auto"/>
              <w:left w:val="single" w:sz="4" w:space="0" w:color="auto"/>
              <w:bottom w:val="single" w:sz="4" w:space="0" w:color="auto"/>
              <w:right w:val="single" w:sz="4" w:space="0" w:color="auto"/>
            </w:tcBorders>
            <w:shd w:val="clear" w:color="000000" w:fill="D9D9D9"/>
            <w:noWrap/>
            <w:hideMark/>
          </w:tcPr>
          <w:p w14:paraId="1BB6500B" w14:textId="77777777" w:rsidR="008B6B11" w:rsidRPr="008B6B11" w:rsidRDefault="008B6B11" w:rsidP="008B6B11">
            <w:pPr>
              <w:spacing w:after="0" w:line="240" w:lineRule="auto"/>
              <w:rPr>
                <w:rFonts w:ascii="Calibri" w:eastAsia="Times New Roman" w:hAnsi="Calibri" w:cs="Calibri"/>
                <w:b/>
                <w:bCs/>
                <w:sz w:val="18"/>
                <w:szCs w:val="18"/>
                <w:lang w:eastAsia="hr-HR"/>
              </w:rPr>
            </w:pPr>
            <w:r w:rsidRPr="008B6B11">
              <w:rPr>
                <w:rFonts w:ascii="Calibri" w:eastAsia="Times New Roman" w:hAnsi="Calibri" w:cs="Calibri"/>
                <w:b/>
                <w:bCs/>
                <w:sz w:val="18"/>
                <w:szCs w:val="18"/>
                <w:lang w:eastAsia="hr-HR"/>
              </w:rPr>
              <w:t>SEKTOR</w:t>
            </w:r>
          </w:p>
        </w:tc>
        <w:tc>
          <w:tcPr>
            <w:tcW w:w="1370" w:type="pct"/>
            <w:tcBorders>
              <w:top w:val="single" w:sz="4" w:space="0" w:color="auto"/>
              <w:left w:val="nil"/>
              <w:bottom w:val="single" w:sz="4" w:space="0" w:color="auto"/>
              <w:right w:val="single" w:sz="4" w:space="0" w:color="auto"/>
            </w:tcBorders>
            <w:shd w:val="clear" w:color="000000" w:fill="D9D9D9"/>
            <w:hideMark/>
          </w:tcPr>
          <w:p w14:paraId="3C2966B3" w14:textId="77777777" w:rsidR="008B6B11" w:rsidRPr="008B6B11" w:rsidRDefault="008B6B11" w:rsidP="008B6B11">
            <w:pPr>
              <w:spacing w:after="0" w:line="240" w:lineRule="auto"/>
              <w:jc w:val="center"/>
              <w:rPr>
                <w:rFonts w:ascii="Calibri" w:eastAsia="Times New Roman" w:hAnsi="Calibri" w:cs="Calibri"/>
                <w:b/>
                <w:bCs/>
                <w:sz w:val="18"/>
                <w:szCs w:val="18"/>
                <w:lang w:eastAsia="hr-HR"/>
              </w:rPr>
            </w:pPr>
            <w:r w:rsidRPr="008B6B11">
              <w:rPr>
                <w:rFonts w:ascii="Calibri" w:eastAsia="Times New Roman" w:hAnsi="Calibri" w:cs="Calibri"/>
                <w:b/>
                <w:bCs/>
                <w:sz w:val="18"/>
                <w:szCs w:val="18"/>
                <w:lang w:eastAsia="hr-HR"/>
              </w:rPr>
              <w:t>Ostvareno smanjenje emisije, t CO</w:t>
            </w:r>
            <w:r w:rsidRPr="008B6B11">
              <w:rPr>
                <w:rFonts w:ascii="Calibri" w:eastAsia="Times New Roman" w:hAnsi="Calibri" w:cs="Calibri"/>
                <w:b/>
                <w:bCs/>
                <w:sz w:val="18"/>
                <w:szCs w:val="18"/>
                <w:vertAlign w:val="subscript"/>
                <w:lang w:eastAsia="hr-HR"/>
              </w:rPr>
              <w:t>2</w:t>
            </w:r>
          </w:p>
        </w:tc>
      </w:tr>
      <w:tr w:rsidR="008B6B11" w:rsidRPr="008B6B11" w14:paraId="35F3F8D5" w14:textId="77777777" w:rsidTr="008B6B11">
        <w:trPr>
          <w:trHeight w:val="240"/>
        </w:trPr>
        <w:tc>
          <w:tcPr>
            <w:tcW w:w="3630" w:type="pct"/>
            <w:tcBorders>
              <w:top w:val="nil"/>
              <w:left w:val="single" w:sz="4" w:space="0" w:color="auto"/>
              <w:bottom w:val="single" w:sz="4" w:space="0" w:color="auto"/>
              <w:right w:val="single" w:sz="4" w:space="0" w:color="auto"/>
            </w:tcBorders>
            <w:shd w:val="clear" w:color="000000" w:fill="D9D9D9"/>
            <w:noWrap/>
            <w:vAlign w:val="bottom"/>
            <w:hideMark/>
          </w:tcPr>
          <w:p w14:paraId="435063EC" w14:textId="77777777" w:rsidR="008B6B11" w:rsidRPr="008B6B11" w:rsidRDefault="008B6B11" w:rsidP="008B6B11">
            <w:pPr>
              <w:spacing w:after="0" w:line="240" w:lineRule="auto"/>
              <w:rPr>
                <w:rFonts w:ascii="Calibri" w:eastAsia="Times New Roman" w:hAnsi="Calibri" w:cs="Calibri"/>
                <w:sz w:val="18"/>
                <w:szCs w:val="18"/>
                <w:lang w:eastAsia="hr-HR"/>
              </w:rPr>
            </w:pPr>
            <w:r w:rsidRPr="008B6B11">
              <w:rPr>
                <w:rFonts w:ascii="Calibri" w:eastAsia="Times New Roman" w:hAnsi="Calibri" w:cs="Calibri"/>
                <w:sz w:val="18"/>
                <w:szCs w:val="18"/>
                <w:lang w:eastAsia="hr-HR"/>
              </w:rPr>
              <w:t>ZGRADARSTVO</w:t>
            </w:r>
          </w:p>
        </w:tc>
        <w:tc>
          <w:tcPr>
            <w:tcW w:w="1370" w:type="pct"/>
            <w:tcBorders>
              <w:top w:val="nil"/>
              <w:left w:val="nil"/>
              <w:bottom w:val="single" w:sz="4" w:space="0" w:color="auto"/>
              <w:right w:val="single" w:sz="4" w:space="0" w:color="auto"/>
            </w:tcBorders>
            <w:shd w:val="clear" w:color="auto" w:fill="auto"/>
            <w:noWrap/>
            <w:vAlign w:val="bottom"/>
            <w:hideMark/>
          </w:tcPr>
          <w:p w14:paraId="7E163B75" w14:textId="68D2608E" w:rsidR="008B6B11" w:rsidRPr="008B6B11" w:rsidRDefault="008C22AA" w:rsidP="008B6B11">
            <w:pPr>
              <w:spacing w:after="0" w:line="240" w:lineRule="auto"/>
              <w:jc w:val="center"/>
              <w:rPr>
                <w:rFonts w:ascii="Calibri" w:eastAsia="Times New Roman" w:hAnsi="Calibri" w:cs="Calibri"/>
                <w:sz w:val="18"/>
                <w:szCs w:val="18"/>
                <w:lang w:eastAsia="hr-HR"/>
              </w:rPr>
            </w:pPr>
            <w:r>
              <w:rPr>
                <w:rFonts w:ascii="Calibri" w:eastAsia="Times New Roman" w:hAnsi="Calibri" w:cs="Calibri"/>
                <w:sz w:val="18"/>
                <w:szCs w:val="18"/>
                <w:lang w:eastAsia="hr-HR"/>
              </w:rPr>
              <w:t xml:space="preserve">209 </w:t>
            </w:r>
            <w:r w:rsidR="008B6B11" w:rsidRPr="008B6B11">
              <w:rPr>
                <w:rFonts w:ascii="Calibri" w:eastAsia="Times New Roman" w:hAnsi="Calibri" w:cs="Calibri"/>
                <w:sz w:val="18"/>
                <w:szCs w:val="18"/>
                <w:lang w:eastAsia="hr-HR"/>
              </w:rPr>
              <w:t>115,86</w:t>
            </w:r>
          </w:p>
        </w:tc>
      </w:tr>
      <w:tr w:rsidR="008B6B11" w:rsidRPr="008B6B11" w14:paraId="31AB011C" w14:textId="77777777" w:rsidTr="008B6B11">
        <w:trPr>
          <w:trHeight w:val="240"/>
        </w:trPr>
        <w:tc>
          <w:tcPr>
            <w:tcW w:w="3630" w:type="pct"/>
            <w:tcBorders>
              <w:top w:val="nil"/>
              <w:left w:val="single" w:sz="4" w:space="0" w:color="auto"/>
              <w:bottom w:val="single" w:sz="4" w:space="0" w:color="auto"/>
              <w:right w:val="single" w:sz="4" w:space="0" w:color="auto"/>
            </w:tcBorders>
            <w:shd w:val="clear" w:color="000000" w:fill="D9D9D9"/>
            <w:noWrap/>
            <w:vAlign w:val="bottom"/>
            <w:hideMark/>
          </w:tcPr>
          <w:p w14:paraId="6B9DCAA2" w14:textId="77777777" w:rsidR="008B6B11" w:rsidRPr="008B6B11" w:rsidRDefault="008B6B11" w:rsidP="008B6B11">
            <w:pPr>
              <w:spacing w:after="0" w:line="240" w:lineRule="auto"/>
              <w:rPr>
                <w:rFonts w:ascii="Calibri" w:eastAsia="Times New Roman" w:hAnsi="Calibri" w:cs="Calibri"/>
                <w:sz w:val="18"/>
                <w:szCs w:val="18"/>
                <w:lang w:eastAsia="hr-HR"/>
              </w:rPr>
            </w:pPr>
            <w:r w:rsidRPr="008B6B11">
              <w:rPr>
                <w:rFonts w:ascii="Calibri" w:eastAsia="Times New Roman" w:hAnsi="Calibri" w:cs="Calibri"/>
                <w:sz w:val="18"/>
                <w:szCs w:val="18"/>
                <w:lang w:eastAsia="hr-HR"/>
              </w:rPr>
              <w:t>PROMET</w:t>
            </w:r>
          </w:p>
        </w:tc>
        <w:tc>
          <w:tcPr>
            <w:tcW w:w="1370" w:type="pct"/>
            <w:tcBorders>
              <w:top w:val="nil"/>
              <w:left w:val="nil"/>
              <w:bottom w:val="single" w:sz="4" w:space="0" w:color="auto"/>
              <w:right w:val="single" w:sz="4" w:space="0" w:color="auto"/>
            </w:tcBorders>
            <w:shd w:val="clear" w:color="auto" w:fill="auto"/>
            <w:noWrap/>
            <w:vAlign w:val="bottom"/>
            <w:hideMark/>
          </w:tcPr>
          <w:p w14:paraId="1F739F17" w14:textId="102A4F82" w:rsidR="008B6B11" w:rsidRPr="008B6B11" w:rsidRDefault="008C22AA" w:rsidP="008B6B11">
            <w:pPr>
              <w:spacing w:after="0" w:line="240" w:lineRule="auto"/>
              <w:jc w:val="center"/>
              <w:rPr>
                <w:rFonts w:ascii="Calibri" w:eastAsia="Times New Roman" w:hAnsi="Calibri" w:cs="Calibri"/>
                <w:sz w:val="18"/>
                <w:szCs w:val="18"/>
                <w:lang w:eastAsia="hr-HR"/>
              </w:rPr>
            </w:pPr>
            <w:r>
              <w:rPr>
                <w:rFonts w:ascii="Calibri" w:eastAsia="Times New Roman" w:hAnsi="Calibri" w:cs="Calibri"/>
                <w:sz w:val="18"/>
                <w:szCs w:val="18"/>
                <w:lang w:eastAsia="hr-HR"/>
              </w:rPr>
              <w:t xml:space="preserve">91 </w:t>
            </w:r>
            <w:r w:rsidR="008B6B11" w:rsidRPr="008B6B11">
              <w:rPr>
                <w:rFonts w:ascii="Calibri" w:eastAsia="Times New Roman" w:hAnsi="Calibri" w:cs="Calibri"/>
                <w:sz w:val="18"/>
                <w:szCs w:val="18"/>
                <w:lang w:eastAsia="hr-HR"/>
              </w:rPr>
              <w:t>018,51</w:t>
            </w:r>
          </w:p>
        </w:tc>
      </w:tr>
      <w:tr w:rsidR="008B6B11" w:rsidRPr="008B6B11" w14:paraId="648EB174" w14:textId="77777777" w:rsidTr="008B6B11">
        <w:trPr>
          <w:trHeight w:val="240"/>
        </w:trPr>
        <w:tc>
          <w:tcPr>
            <w:tcW w:w="3630" w:type="pct"/>
            <w:tcBorders>
              <w:top w:val="nil"/>
              <w:left w:val="single" w:sz="4" w:space="0" w:color="auto"/>
              <w:bottom w:val="single" w:sz="4" w:space="0" w:color="auto"/>
              <w:right w:val="single" w:sz="4" w:space="0" w:color="auto"/>
            </w:tcBorders>
            <w:shd w:val="clear" w:color="000000" w:fill="D9D9D9"/>
            <w:noWrap/>
            <w:vAlign w:val="bottom"/>
            <w:hideMark/>
          </w:tcPr>
          <w:p w14:paraId="08565B27" w14:textId="77777777" w:rsidR="008B6B11" w:rsidRPr="008B6B11" w:rsidRDefault="008B6B11" w:rsidP="008B6B11">
            <w:pPr>
              <w:spacing w:after="0" w:line="240" w:lineRule="auto"/>
              <w:rPr>
                <w:rFonts w:ascii="Calibri" w:eastAsia="Times New Roman" w:hAnsi="Calibri" w:cs="Calibri"/>
                <w:sz w:val="18"/>
                <w:szCs w:val="18"/>
                <w:lang w:eastAsia="hr-HR"/>
              </w:rPr>
            </w:pPr>
            <w:r w:rsidRPr="008B6B11">
              <w:rPr>
                <w:rFonts w:ascii="Calibri" w:eastAsia="Times New Roman" w:hAnsi="Calibri" w:cs="Calibri"/>
                <w:sz w:val="18"/>
                <w:szCs w:val="18"/>
                <w:lang w:eastAsia="hr-HR"/>
              </w:rPr>
              <w:t>JAVNA RASVJETA</w:t>
            </w:r>
          </w:p>
        </w:tc>
        <w:tc>
          <w:tcPr>
            <w:tcW w:w="1370" w:type="pct"/>
            <w:tcBorders>
              <w:top w:val="nil"/>
              <w:left w:val="nil"/>
              <w:bottom w:val="single" w:sz="4" w:space="0" w:color="auto"/>
              <w:right w:val="single" w:sz="4" w:space="0" w:color="auto"/>
            </w:tcBorders>
            <w:shd w:val="clear" w:color="auto" w:fill="auto"/>
            <w:noWrap/>
            <w:vAlign w:val="bottom"/>
            <w:hideMark/>
          </w:tcPr>
          <w:p w14:paraId="73F3A1AF" w14:textId="1EEB6164" w:rsidR="008B6B11" w:rsidRPr="008B6B11" w:rsidRDefault="008C22AA" w:rsidP="008B6B11">
            <w:pPr>
              <w:spacing w:after="0" w:line="240" w:lineRule="auto"/>
              <w:jc w:val="center"/>
              <w:rPr>
                <w:rFonts w:ascii="Calibri" w:eastAsia="Times New Roman" w:hAnsi="Calibri" w:cs="Calibri"/>
                <w:sz w:val="18"/>
                <w:szCs w:val="18"/>
                <w:lang w:eastAsia="hr-HR"/>
              </w:rPr>
            </w:pPr>
            <w:r>
              <w:rPr>
                <w:rFonts w:ascii="Calibri" w:eastAsia="Times New Roman" w:hAnsi="Calibri" w:cs="Calibri"/>
                <w:sz w:val="18"/>
                <w:szCs w:val="18"/>
                <w:lang w:eastAsia="hr-HR"/>
              </w:rPr>
              <w:t xml:space="preserve">2 </w:t>
            </w:r>
            <w:r w:rsidR="008B6B11" w:rsidRPr="008B6B11">
              <w:rPr>
                <w:rFonts w:ascii="Calibri" w:eastAsia="Times New Roman" w:hAnsi="Calibri" w:cs="Calibri"/>
                <w:sz w:val="18"/>
                <w:szCs w:val="18"/>
                <w:lang w:eastAsia="hr-HR"/>
              </w:rPr>
              <w:t>830,33</w:t>
            </w:r>
          </w:p>
        </w:tc>
      </w:tr>
      <w:tr w:rsidR="008B6B11" w:rsidRPr="008B6B11" w14:paraId="5B9D0717" w14:textId="77777777" w:rsidTr="008B6B11">
        <w:trPr>
          <w:trHeight w:val="60"/>
        </w:trPr>
        <w:tc>
          <w:tcPr>
            <w:tcW w:w="3630" w:type="pct"/>
            <w:tcBorders>
              <w:top w:val="nil"/>
              <w:left w:val="single" w:sz="4" w:space="0" w:color="auto"/>
              <w:bottom w:val="single" w:sz="4" w:space="0" w:color="auto"/>
              <w:right w:val="single" w:sz="4" w:space="0" w:color="auto"/>
            </w:tcBorders>
            <w:shd w:val="clear" w:color="000000" w:fill="D9D9D9"/>
            <w:noWrap/>
            <w:vAlign w:val="bottom"/>
            <w:hideMark/>
          </w:tcPr>
          <w:p w14:paraId="513AAB25" w14:textId="77777777" w:rsidR="008B6B11" w:rsidRPr="008B6B11" w:rsidRDefault="008B6B11" w:rsidP="008B6B11">
            <w:pPr>
              <w:spacing w:after="0" w:line="240" w:lineRule="auto"/>
              <w:rPr>
                <w:rFonts w:ascii="Calibri" w:eastAsia="Times New Roman" w:hAnsi="Calibri" w:cs="Calibri"/>
                <w:b/>
                <w:bCs/>
                <w:sz w:val="18"/>
                <w:szCs w:val="18"/>
                <w:lang w:eastAsia="hr-HR"/>
              </w:rPr>
            </w:pPr>
            <w:r w:rsidRPr="008B6B11">
              <w:rPr>
                <w:rFonts w:ascii="Calibri" w:eastAsia="Times New Roman" w:hAnsi="Calibri" w:cs="Calibri"/>
                <w:b/>
                <w:bCs/>
                <w:sz w:val="18"/>
                <w:szCs w:val="18"/>
                <w:lang w:eastAsia="hr-HR"/>
              </w:rPr>
              <w:t>UKUPNO</w:t>
            </w:r>
          </w:p>
        </w:tc>
        <w:tc>
          <w:tcPr>
            <w:tcW w:w="1370" w:type="pct"/>
            <w:tcBorders>
              <w:top w:val="nil"/>
              <w:left w:val="nil"/>
              <w:bottom w:val="single" w:sz="4" w:space="0" w:color="auto"/>
              <w:right w:val="single" w:sz="4" w:space="0" w:color="auto"/>
            </w:tcBorders>
            <w:shd w:val="clear" w:color="000000" w:fill="D9D9D9"/>
            <w:noWrap/>
            <w:vAlign w:val="bottom"/>
            <w:hideMark/>
          </w:tcPr>
          <w:p w14:paraId="52C49BE2" w14:textId="661FDE84" w:rsidR="008B6B11" w:rsidRPr="008B6B11" w:rsidRDefault="008C22AA" w:rsidP="008B6B11">
            <w:pPr>
              <w:spacing w:after="0" w:line="240" w:lineRule="auto"/>
              <w:jc w:val="center"/>
              <w:rPr>
                <w:rFonts w:ascii="Calibri" w:eastAsia="Times New Roman" w:hAnsi="Calibri" w:cs="Calibri"/>
                <w:b/>
                <w:bCs/>
                <w:sz w:val="18"/>
                <w:szCs w:val="18"/>
                <w:lang w:eastAsia="hr-HR"/>
              </w:rPr>
            </w:pPr>
            <w:r>
              <w:rPr>
                <w:rFonts w:ascii="Calibri" w:eastAsia="Times New Roman" w:hAnsi="Calibri" w:cs="Calibri"/>
                <w:b/>
                <w:bCs/>
                <w:sz w:val="18"/>
                <w:szCs w:val="18"/>
                <w:lang w:eastAsia="hr-HR"/>
              </w:rPr>
              <w:t xml:space="preserve">302 </w:t>
            </w:r>
            <w:r w:rsidR="008B6B11" w:rsidRPr="008B6B11">
              <w:rPr>
                <w:rFonts w:ascii="Calibri" w:eastAsia="Times New Roman" w:hAnsi="Calibri" w:cs="Calibri"/>
                <w:b/>
                <w:bCs/>
                <w:sz w:val="18"/>
                <w:szCs w:val="18"/>
                <w:lang w:eastAsia="hr-HR"/>
              </w:rPr>
              <w:t>964,70</w:t>
            </w:r>
          </w:p>
        </w:tc>
      </w:tr>
    </w:tbl>
    <w:p w14:paraId="1F2EF7C9" w14:textId="18761B36" w:rsidR="00C56B7E" w:rsidRDefault="00C56B7E" w:rsidP="002B1735">
      <w:pPr>
        <w:spacing w:before="240" w:line="240" w:lineRule="auto"/>
        <w:jc w:val="both"/>
      </w:pPr>
      <w:r w:rsidRPr="002B1735">
        <w:t>Prikaz udjela pojedinog sektora u ukupno ostvarenom smanjenju emisije CO</w:t>
      </w:r>
      <w:r w:rsidRPr="002B1735">
        <w:rPr>
          <w:vertAlign w:val="subscript"/>
        </w:rPr>
        <w:t>2</w:t>
      </w:r>
      <w:r w:rsidRPr="002B1735">
        <w:t xml:space="preserve"> dan je na </w:t>
      </w:r>
      <w:r w:rsidRPr="002B1735">
        <w:fldChar w:fldCharType="begin"/>
      </w:r>
      <w:r w:rsidRPr="002B1735">
        <w:instrText xml:space="preserve"> REF _Ref467273165 \h  \* MERGEFORMAT </w:instrText>
      </w:r>
      <w:r w:rsidRPr="002B1735">
        <w:fldChar w:fldCharType="separate"/>
      </w:r>
      <w:r w:rsidR="000437E2">
        <w:rPr>
          <w:b/>
          <w:bCs/>
        </w:rPr>
        <w:t>Slici</w:t>
      </w:r>
      <w:r w:rsidR="009C319B" w:rsidRPr="002B1735">
        <w:rPr>
          <w:b/>
          <w:bCs/>
        </w:rPr>
        <w:t xml:space="preserve"> </w:t>
      </w:r>
      <w:r w:rsidR="009C319B">
        <w:rPr>
          <w:b/>
          <w:bCs/>
          <w:noProof/>
        </w:rPr>
        <w:t>9</w:t>
      </w:r>
      <w:r w:rsidR="009C319B" w:rsidRPr="002B1735">
        <w:rPr>
          <w:b/>
          <w:bCs/>
          <w:noProof/>
        </w:rPr>
        <w:t>.</w:t>
      </w:r>
      <w:r w:rsidR="009C319B">
        <w:rPr>
          <w:b/>
          <w:bCs/>
          <w:noProof/>
        </w:rPr>
        <w:t>2</w:t>
      </w:r>
      <w:r w:rsidRPr="002B1735">
        <w:fldChar w:fldCharType="end"/>
      </w:r>
      <w:r w:rsidRPr="002B1735">
        <w:t xml:space="preserve"> i </w:t>
      </w:r>
      <w:r w:rsidRPr="002B1735">
        <w:fldChar w:fldCharType="begin"/>
      </w:r>
      <w:r w:rsidRPr="002B1735">
        <w:instrText xml:space="preserve"> REF _Ref467330605 \h </w:instrText>
      </w:r>
      <w:r w:rsidR="007C7920" w:rsidRPr="002B1735">
        <w:instrText xml:space="preserve"> \* MERGEFORMAT </w:instrText>
      </w:r>
      <w:r w:rsidRPr="002B1735">
        <w:fldChar w:fldCharType="separate"/>
      </w:r>
      <w:r w:rsidR="000437E2">
        <w:rPr>
          <w:b/>
          <w:bCs/>
        </w:rPr>
        <w:t>Slici</w:t>
      </w:r>
      <w:r w:rsidR="009C319B" w:rsidRPr="00485ECD">
        <w:rPr>
          <w:b/>
          <w:bCs/>
        </w:rPr>
        <w:t xml:space="preserve"> </w:t>
      </w:r>
      <w:r w:rsidR="009C319B">
        <w:rPr>
          <w:b/>
          <w:bCs/>
          <w:noProof/>
        </w:rPr>
        <w:t>9</w:t>
      </w:r>
      <w:r w:rsidR="009C319B" w:rsidRPr="00485ECD">
        <w:rPr>
          <w:b/>
          <w:bCs/>
          <w:noProof/>
        </w:rPr>
        <w:t>.</w:t>
      </w:r>
      <w:r w:rsidR="009C319B">
        <w:rPr>
          <w:b/>
          <w:bCs/>
          <w:noProof/>
        </w:rPr>
        <w:t>3</w:t>
      </w:r>
      <w:r w:rsidRPr="002B1735">
        <w:fldChar w:fldCharType="end"/>
      </w:r>
      <w:r w:rsidRPr="002B1735">
        <w:t>.</w:t>
      </w:r>
    </w:p>
    <w:p w14:paraId="32B92121" w14:textId="5563575E" w:rsidR="008B6B11" w:rsidRDefault="008B6B11" w:rsidP="008B6B11">
      <w:pPr>
        <w:spacing w:before="240" w:after="0" w:line="240" w:lineRule="auto"/>
        <w:jc w:val="center"/>
      </w:pPr>
      <w:r>
        <w:rPr>
          <w:noProof/>
          <w:lang w:eastAsia="hr-HR"/>
        </w:rPr>
        <w:drawing>
          <wp:inline distT="0" distB="0" distL="0" distR="0" wp14:anchorId="5F1B9600" wp14:editId="40566A92">
            <wp:extent cx="5038725" cy="28956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DBB57D2" w14:textId="746F6C8C" w:rsidR="00C56B7E" w:rsidRPr="002B1735" w:rsidRDefault="00C56B7E" w:rsidP="008B6B11">
      <w:pPr>
        <w:spacing w:line="240" w:lineRule="auto"/>
        <w:jc w:val="center"/>
        <w:rPr>
          <w:bCs/>
          <w:vertAlign w:val="subscript"/>
        </w:rPr>
      </w:pPr>
      <w:bookmarkStart w:id="423" w:name="_Ref467273165"/>
      <w:bookmarkStart w:id="424" w:name="_Toc468277487"/>
      <w:r w:rsidRPr="002B1735">
        <w:rPr>
          <w:b/>
          <w:bCs/>
        </w:rPr>
        <w:t xml:space="preserve">Slika </w:t>
      </w:r>
      <w:r w:rsidRPr="002B1735">
        <w:rPr>
          <w:b/>
          <w:bCs/>
        </w:rPr>
        <w:fldChar w:fldCharType="begin"/>
      </w:r>
      <w:r w:rsidRPr="002B1735">
        <w:rPr>
          <w:b/>
          <w:bCs/>
        </w:rPr>
        <w:instrText xml:space="preserve"> STYLEREF 1 \s </w:instrText>
      </w:r>
      <w:r w:rsidRPr="002B1735">
        <w:rPr>
          <w:b/>
          <w:bCs/>
        </w:rPr>
        <w:fldChar w:fldCharType="separate"/>
      </w:r>
      <w:r w:rsidR="009C319B">
        <w:rPr>
          <w:b/>
          <w:bCs/>
          <w:noProof/>
        </w:rPr>
        <w:t>9</w:t>
      </w:r>
      <w:r w:rsidRPr="002B1735">
        <w:rPr>
          <w:b/>
          <w:bCs/>
        </w:rPr>
        <w:fldChar w:fldCharType="end"/>
      </w:r>
      <w:r w:rsidRPr="002B1735">
        <w:rPr>
          <w:b/>
          <w:bCs/>
        </w:rPr>
        <w:t>.</w:t>
      </w:r>
      <w:r w:rsidRPr="002B1735">
        <w:rPr>
          <w:b/>
          <w:bCs/>
        </w:rPr>
        <w:fldChar w:fldCharType="begin"/>
      </w:r>
      <w:r w:rsidRPr="002B1735">
        <w:rPr>
          <w:b/>
          <w:bCs/>
        </w:rPr>
        <w:instrText xml:space="preserve"> SEQ Slika \* ARABIC \s 1 </w:instrText>
      </w:r>
      <w:r w:rsidRPr="002B1735">
        <w:rPr>
          <w:b/>
          <w:bCs/>
        </w:rPr>
        <w:fldChar w:fldCharType="separate"/>
      </w:r>
      <w:r w:rsidR="009C319B">
        <w:rPr>
          <w:b/>
          <w:bCs/>
          <w:noProof/>
        </w:rPr>
        <w:t>2</w:t>
      </w:r>
      <w:r w:rsidRPr="002B1735">
        <w:rPr>
          <w:b/>
          <w:bCs/>
        </w:rPr>
        <w:fldChar w:fldCharType="end"/>
      </w:r>
      <w:bookmarkEnd w:id="423"/>
      <w:r w:rsidRPr="002B1735">
        <w:rPr>
          <w:b/>
          <w:bCs/>
        </w:rPr>
        <w:t xml:space="preserve"> </w:t>
      </w:r>
      <w:r w:rsidRPr="002B1735">
        <w:rPr>
          <w:bCs/>
        </w:rPr>
        <w:t>Udio pojedinog sektora u ukupno ostvarenom smanjenju emisije CO</w:t>
      </w:r>
      <w:r w:rsidRPr="002B1735">
        <w:rPr>
          <w:bCs/>
          <w:vertAlign w:val="subscript"/>
        </w:rPr>
        <w:t>2</w:t>
      </w:r>
      <w:bookmarkEnd w:id="424"/>
    </w:p>
    <w:p w14:paraId="38C968D9" w14:textId="3AC59A76" w:rsidR="00C56B7E" w:rsidRPr="002B1735" w:rsidRDefault="00C56B7E" w:rsidP="00E92750">
      <w:pPr>
        <w:spacing w:line="240" w:lineRule="auto"/>
        <w:jc w:val="both"/>
      </w:pPr>
      <w:r w:rsidRPr="002B1735">
        <w:t>U ukupno ostvarenom smanjenju emisije CO</w:t>
      </w:r>
      <w:r w:rsidRPr="004F2EC8">
        <w:rPr>
          <w:vertAlign w:val="subscript"/>
        </w:rPr>
        <w:t>2</w:t>
      </w:r>
      <w:r w:rsidRPr="002B1735">
        <w:t xml:space="preserve"> udio pojedinog se</w:t>
      </w:r>
      <w:r w:rsidR="004967B1">
        <w:t xml:space="preserve">ktora je sljedeći: zgradarstvo </w:t>
      </w:r>
      <w:r w:rsidR="008B6B11">
        <w:t>69,02</w:t>
      </w:r>
      <w:r w:rsidR="004967B1">
        <w:t>%</w:t>
      </w:r>
      <w:r w:rsidRPr="002B1735">
        <w:t>, promet</w:t>
      </w:r>
      <w:r w:rsidR="004967B1">
        <w:t xml:space="preserve"> </w:t>
      </w:r>
      <w:r w:rsidR="008B6B11">
        <w:t>30,04</w:t>
      </w:r>
      <w:r w:rsidR="004967B1">
        <w:t xml:space="preserve">% i javna rasvjeta </w:t>
      </w:r>
      <w:r w:rsidR="008B6B11">
        <w:t>0,93</w:t>
      </w:r>
      <w:r w:rsidR="002B1735" w:rsidRPr="002B1735">
        <w:t>%</w:t>
      </w:r>
      <w:r w:rsidRPr="002B1735">
        <w:t>.</w:t>
      </w:r>
    </w:p>
    <w:p w14:paraId="69BCF44A" w14:textId="34324986" w:rsidR="00C56B7E" w:rsidRDefault="00C56B7E" w:rsidP="00E92750">
      <w:pPr>
        <w:spacing w:line="240" w:lineRule="auto"/>
        <w:jc w:val="center"/>
        <w:rPr>
          <w:noProof/>
          <w:lang w:eastAsia="hr-HR"/>
        </w:rPr>
      </w:pPr>
    </w:p>
    <w:p w14:paraId="083B7206" w14:textId="77777777" w:rsidR="004F2EC8" w:rsidRDefault="004F2EC8" w:rsidP="00E92750">
      <w:pPr>
        <w:spacing w:line="240" w:lineRule="auto"/>
        <w:jc w:val="center"/>
        <w:rPr>
          <w:noProof/>
          <w:lang w:eastAsia="hr-HR"/>
        </w:rPr>
      </w:pPr>
    </w:p>
    <w:p w14:paraId="6B921513" w14:textId="77777777" w:rsidR="004F2EC8" w:rsidRDefault="004F2EC8" w:rsidP="00E92750">
      <w:pPr>
        <w:spacing w:line="240" w:lineRule="auto"/>
        <w:jc w:val="center"/>
        <w:rPr>
          <w:noProof/>
          <w:lang w:eastAsia="hr-HR"/>
        </w:rPr>
      </w:pPr>
    </w:p>
    <w:p w14:paraId="5E3F67A2" w14:textId="77777777" w:rsidR="004F2EC8" w:rsidRDefault="004F2EC8" w:rsidP="00E92750">
      <w:pPr>
        <w:spacing w:line="240" w:lineRule="auto"/>
        <w:jc w:val="center"/>
        <w:rPr>
          <w:noProof/>
          <w:lang w:eastAsia="hr-HR"/>
        </w:rPr>
      </w:pPr>
    </w:p>
    <w:p w14:paraId="41779F79" w14:textId="77777777" w:rsidR="004F2EC8" w:rsidRDefault="004F2EC8" w:rsidP="00E92750">
      <w:pPr>
        <w:spacing w:line="240" w:lineRule="auto"/>
        <w:jc w:val="center"/>
        <w:rPr>
          <w:noProof/>
          <w:lang w:eastAsia="hr-HR"/>
        </w:rPr>
      </w:pPr>
    </w:p>
    <w:p w14:paraId="252DB4D5" w14:textId="77777777" w:rsidR="004F2EC8" w:rsidRDefault="004F2EC8" w:rsidP="00E92750">
      <w:pPr>
        <w:spacing w:line="240" w:lineRule="auto"/>
        <w:jc w:val="center"/>
        <w:rPr>
          <w:noProof/>
          <w:lang w:eastAsia="hr-HR"/>
        </w:rPr>
      </w:pPr>
    </w:p>
    <w:p w14:paraId="657F1AFB" w14:textId="3C00A8BD" w:rsidR="004F2EC8" w:rsidRDefault="00D51314" w:rsidP="000437E2">
      <w:pPr>
        <w:spacing w:after="0" w:line="240" w:lineRule="auto"/>
        <w:jc w:val="center"/>
        <w:rPr>
          <w:noProof/>
          <w:lang w:eastAsia="hr-HR"/>
        </w:rPr>
      </w:pPr>
      <w:r>
        <w:rPr>
          <w:noProof/>
          <w:lang w:eastAsia="hr-HR"/>
        </w:rPr>
        <w:lastRenderedPageBreak/>
        <w:drawing>
          <wp:inline distT="0" distB="0" distL="0" distR="0" wp14:anchorId="0056237F" wp14:editId="039C6188">
            <wp:extent cx="4953000" cy="3057525"/>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E5789B9" w14:textId="5E2F34C3" w:rsidR="00C56B7E" w:rsidRPr="00485ECD" w:rsidRDefault="00C56B7E" w:rsidP="000437E2">
      <w:pPr>
        <w:spacing w:line="240" w:lineRule="auto"/>
        <w:jc w:val="center"/>
      </w:pPr>
      <w:bookmarkStart w:id="425" w:name="_Ref467330605"/>
      <w:bookmarkStart w:id="426" w:name="_Toc468277488"/>
      <w:r w:rsidRPr="00485ECD">
        <w:rPr>
          <w:b/>
          <w:bCs/>
        </w:rPr>
        <w:t xml:space="preserve">Slika </w:t>
      </w:r>
      <w:r w:rsidRPr="00485ECD">
        <w:rPr>
          <w:b/>
          <w:bCs/>
        </w:rPr>
        <w:fldChar w:fldCharType="begin"/>
      </w:r>
      <w:r w:rsidRPr="00485ECD">
        <w:rPr>
          <w:b/>
          <w:bCs/>
        </w:rPr>
        <w:instrText xml:space="preserve"> STYLEREF 1 \s </w:instrText>
      </w:r>
      <w:r w:rsidRPr="00485ECD">
        <w:rPr>
          <w:b/>
          <w:bCs/>
        </w:rPr>
        <w:fldChar w:fldCharType="separate"/>
      </w:r>
      <w:r w:rsidR="00783432">
        <w:rPr>
          <w:b/>
          <w:bCs/>
          <w:noProof/>
        </w:rPr>
        <w:t>9</w:t>
      </w:r>
      <w:r w:rsidRPr="00485ECD">
        <w:rPr>
          <w:b/>
          <w:bCs/>
        </w:rPr>
        <w:fldChar w:fldCharType="end"/>
      </w:r>
      <w:r w:rsidRPr="00485ECD">
        <w:rPr>
          <w:b/>
          <w:bCs/>
        </w:rPr>
        <w:t>.</w:t>
      </w:r>
      <w:r w:rsidRPr="00485ECD">
        <w:rPr>
          <w:b/>
          <w:bCs/>
        </w:rPr>
        <w:fldChar w:fldCharType="begin"/>
      </w:r>
      <w:r w:rsidRPr="00485ECD">
        <w:rPr>
          <w:b/>
          <w:bCs/>
        </w:rPr>
        <w:instrText xml:space="preserve"> SEQ Slika \* ARABIC \s 1 </w:instrText>
      </w:r>
      <w:r w:rsidRPr="00485ECD">
        <w:rPr>
          <w:b/>
          <w:bCs/>
        </w:rPr>
        <w:fldChar w:fldCharType="separate"/>
      </w:r>
      <w:r w:rsidR="00783432">
        <w:rPr>
          <w:b/>
          <w:bCs/>
          <w:noProof/>
        </w:rPr>
        <w:t>3</w:t>
      </w:r>
      <w:r w:rsidRPr="00485ECD">
        <w:rPr>
          <w:b/>
          <w:bCs/>
        </w:rPr>
        <w:fldChar w:fldCharType="end"/>
      </w:r>
      <w:bookmarkEnd w:id="425"/>
      <w:r w:rsidRPr="00485ECD">
        <w:rPr>
          <w:b/>
          <w:bCs/>
        </w:rPr>
        <w:t xml:space="preserve"> </w:t>
      </w:r>
      <w:r w:rsidRPr="00485ECD">
        <w:rPr>
          <w:bCs/>
        </w:rPr>
        <w:t>Udio pojedinog podsektora u ukupno ostvarenom smanjenju emisije CO</w:t>
      </w:r>
      <w:r w:rsidRPr="00485ECD">
        <w:rPr>
          <w:bCs/>
          <w:vertAlign w:val="subscript"/>
        </w:rPr>
        <w:t>2</w:t>
      </w:r>
      <w:bookmarkEnd w:id="426"/>
    </w:p>
    <w:p w14:paraId="1BC580C8" w14:textId="60F17CB3" w:rsidR="00C56B7E" w:rsidRPr="00CA4A99" w:rsidRDefault="00C56B7E" w:rsidP="00E92750">
      <w:pPr>
        <w:spacing w:line="240" w:lineRule="auto"/>
        <w:jc w:val="both"/>
      </w:pPr>
      <w:r w:rsidRPr="00485ECD">
        <w:t>Promatrajući podsektore u ukupno ostvarenom smanjenju emisije CO</w:t>
      </w:r>
      <w:r w:rsidRPr="00485ECD">
        <w:rPr>
          <w:vertAlign w:val="subscript"/>
        </w:rPr>
        <w:t>2</w:t>
      </w:r>
      <w:r w:rsidRPr="00485ECD">
        <w:t xml:space="preserve"> najveći udio ima podsektor </w:t>
      </w:r>
      <w:r w:rsidR="00783432">
        <w:t xml:space="preserve">stambene zgrade – kućanstva </w:t>
      </w:r>
      <w:r w:rsidR="00D51314">
        <w:t>44,37</w:t>
      </w:r>
      <w:r w:rsidR="00C36107" w:rsidRPr="00CA4A99">
        <w:t>%</w:t>
      </w:r>
      <w:r w:rsidRPr="00CA4A99">
        <w:t>.</w:t>
      </w:r>
    </w:p>
    <w:p w14:paraId="0203EF1B" w14:textId="6DD02E18" w:rsidR="00C36107" w:rsidRDefault="00C36107" w:rsidP="00E92750">
      <w:pPr>
        <w:spacing w:line="240" w:lineRule="auto"/>
        <w:jc w:val="both"/>
      </w:pPr>
      <w:r w:rsidRPr="00CA4A99">
        <w:t xml:space="preserve">Zaključno, u nastavku je dan pregled provedene Analize uspješnosti provedbe Akcijskog plana </w:t>
      </w:r>
      <w:r w:rsidRPr="00CA4A99">
        <w:fldChar w:fldCharType="begin"/>
      </w:r>
      <w:r w:rsidRPr="00CA4A99">
        <w:instrText xml:space="preserve"> REF _Ref467499150 \h  \* MERGEFORMAT </w:instrText>
      </w:r>
      <w:r w:rsidRPr="00CA4A99">
        <w:fldChar w:fldCharType="separate"/>
      </w:r>
      <w:r w:rsidR="009C319B" w:rsidRPr="00CA4A99">
        <w:rPr>
          <w:b/>
          <w:bCs/>
        </w:rPr>
        <w:t xml:space="preserve">Slika </w:t>
      </w:r>
      <w:r w:rsidR="009C319B">
        <w:rPr>
          <w:b/>
          <w:bCs/>
          <w:noProof/>
        </w:rPr>
        <w:t>9</w:t>
      </w:r>
      <w:r w:rsidR="009C319B" w:rsidRPr="00CA4A99">
        <w:rPr>
          <w:b/>
          <w:bCs/>
          <w:noProof/>
        </w:rPr>
        <w:t>.</w:t>
      </w:r>
      <w:r w:rsidR="009C319B">
        <w:rPr>
          <w:b/>
          <w:bCs/>
          <w:noProof/>
        </w:rPr>
        <w:t>4</w:t>
      </w:r>
      <w:r w:rsidRPr="00CA4A99">
        <w:fldChar w:fldCharType="end"/>
      </w:r>
      <w:r w:rsidRPr="00CA4A99">
        <w:t xml:space="preserve"> i </w:t>
      </w:r>
      <w:r w:rsidRPr="00CA4A99">
        <w:fldChar w:fldCharType="begin"/>
      </w:r>
      <w:r w:rsidRPr="00CA4A99">
        <w:instrText xml:space="preserve"> REF _Ref467499162 \h  \* MERGEFORMAT </w:instrText>
      </w:r>
      <w:r w:rsidRPr="00CA4A99">
        <w:fldChar w:fldCharType="separate"/>
      </w:r>
      <w:r w:rsidR="009C319B" w:rsidRPr="006D1B89">
        <w:rPr>
          <w:b/>
          <w:bCs/>
        </w:rPr>
        <w:t xml:space="preserve">Slika </w:t>
      </w:r>
      <w:r w:rsidR="009C319B">
        <w:rPr>
          <w:b/>
          <w:bCs/>
          <w:noProof/>
        </w:rPr>
        <w:t>9</w:t>
      </w:r>
      <w:r w:rsidR="009C319B" w:rsidRPr="006D1B89">
        <w:rPr>
          <w:b/>
          <w:bCs/>
          <w:noProof/>
        </w:rPr>
        <w:t>.</w:t>
      </w:r>
      <w:r w:rsidR="009C319B">
        <w:rPr>
          <w:b/>
          <w:bCs/>
          <w:noProof/>
        </w:rPr>
        <w:t>5</w:t>
      </w:r>
      <w:r w:rsidRPr="00CA4A99">
        <w:fldChar w:fldCharType="end"/>
      </w:r>
      <w:r w:rsidRPr="00CA4A99">
        <w:t>.</w:t>
      </w:r>
    </w:p>
    <w:p w14:paraId="69EFEDC0" w14:textId="31FEFF48" w:rsidR="004F2EC8" w:rsidRDefault="00D51314" w:rsidP="00987A8C">
      <w:pPr>
        <w:spacing w:after="0" w:line="240" w:lineRule="auto"/>
        <w:jc w:val="center"/>
      </w:pPr>
      <w:r>
        <w:rPr>
          <w:noProof/>
          <w:lang w:eastAsia="hr-HR"/>
        </w:rPr>
        <w:drawing>
          <wp:inline distT="0" distB="0" distL="0" distR="0" wp14:anchorId="1E942967" wp14:editId="35050965">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D4DB434" w14:textId="270D7A74" w:rsidR="00CC72C3" w:rsidRPr="00CA4A99" w:rsidRDefault="00CC72C3" w:rsidP="00987A8C">
      <w:pPr>
        <w:spacing w:after="0" w:line="240" w:lineRule="auto"/>
        <w:jc w:val="center"/>
      </w:pPr>
      <w:bookmarkStart w:id="427" w:name="_Ref467499150"/>
      <w:bookmarkStart w:id="428" w:name="_Toc468277489"/>
      <w:r w:rsidRPr="00CA4A99">
        <w:rPr>
          <w:b/>
          <w:bCs/>
        </w:rPr>
        <w:t xml:space="preserve">Slika </w:t>
      </w:r>
      <w:r w:rsidRPr="00CA4A99">
        <w:rPr>
          <w:b/>
          <w:bCs/>
        </w:rPr>
        <w:fldChar w:fldCharType="begin"/>
      </w:r>
      <w:r w:rsidRPr="00CA4A99">
        <w:rPr>
          <w:b/>
          <w:bCs/>
        </w:rPr>
        <w:instrText xml:space="preserve"> STYLEREF 1 \s </w:instrText>
      </w:r>
      <w:r w:rsidRPr="00CA4A99">
        <w:rPr>
          <w:b/>
          <w:bCs/>
        </w:rPr>
        <w:fldChar w:fldCharType="separate"/>
      </w:r>
      <w:r w:rsidR="009C319B">
        <w:rPr>
          <w:b/>
          <w:bCs/>
          <w:noProof/>
        </w:rPr>
        <w:t>9</w:t>
      </w:r>
      <w:r w:rsidRPr="00CA4A99">
        <w:rPr>
          <w:b/>
          <w:bCs/>
        </w:rPr>
        <w:fldChar w:fldCharType="end"/>
      </w:r>
      <w:r w:rsidRPr="00CA4A99">
        <w:rPr>
          <w:b/>
          <w:bCs/>
        </w:rPr>
        <w:t>.</w:t>
      </w:r>
      <w:r w:rsidRPr="00CA4A99">
        <w:rPr>
          <w:b/>
          <w:bCs/>
        </w:rPr>
        <w:fldChar w:fldCharType="begin"/>
      </w:r>
      <w:r w:rsidRPr="00CA4A99">
        <w:rPr>
          <w:b/>
          <w:bCs/>
        </w:rPr>
        <w:instrText xml:space="preserve"> SEQ Slika \* ARABIC \s 1 </w:instrText>
      </w:r>
      <w:r w:rsidRPr="00CA4A99">
        <w:rPr>
          <w:b/>
          <w:bCs/>
        </w:rPr>
        <w:fldChar w:fldCharType="separate"/>
      </w:r>
      <w:r w:rsidR="009C319B">
        <w:rPr>
          <w:b/>
          <w:bCs/>
          <w:noProof/>
        </w:rPr>
        <w:t>4</w:t>
      </w:r>
      <w:r w:rsidRPr="00CA4A99">
        <w:rPr>
          <w:b/>
          <w:bCs/>
        </w:rPr>
        <w:fldChar w:fldCharType="end"/>
      </w:r>
      <w:bookmarkEnd w:id="427"/>
      <w:r w:rsidRPr="00CA4A99">
        <w:rPr>
          <w:b/>
          <w:bCs/>
        </w:rPr>
        <w:t xml:space="preserve"> </w:t>
      </w:r>
      <w:r w:rsidRPr="00CA4A99">
        <w:rPr>
          <w:bCs/>
        </w:rPr>
        <w:t>Udio ostvarenog smanjenja emisije CO</w:t>
      </w:r>
      <w:r w:rsidRPr="00CA4A99">
        <w:rPr>
          <w:bCs/>
          <w:vertAlign w:val="subscript"/>
        </w:rPr>
        <w:t>2</w:t>
      </w:r>
      <w:r w:rsidRPr="00CA4A99">
        <w:rPr>
          <w:bCs/>
        </w:rPr>
        <w:t xml:space="preserve"> u ukupno postavljenom</w:t>
      </w:r>
      <w:r w:rsidR="0009615B" w:rsidRPr="00CA4A99">
        <w:rPr>
          <w:bCs/>
        </w:rPr>
        <w:t xml:space="preserve"> cilju smanjenja emisije CO</w:t>
      </w:r>
      <w:r w:rsidR="0009615B" w:rsidRPr="00CA4A99">
        <w:rPr>
          <w:bCs/>
          <w:vertAlign w:val="subscript"/>
        </w:rPr>
        <w:t>2</w:t>
      </w:r>
      <w:r w:rsidR="0009615B" w:rsidRPr="00CA4A99">
        <w:rPr>
          <w:bCs/>
        </w:rPr>
        <w:t xml:space="preserve"> do 2020. godine</w:t>
      </w:r>
      <w:bookmarkEnd w:id="428"/>
    </w:p>
    <w:p w14:paraId="7E54950F" w14:textId="77777777" w:rsidR="00CC72C3" w:rsidRPr="007C7920" w:rsidRDefault="00CC72C3" w:rsidP="00E92750">
      <w:pPr>
        <w:spacing w:line="240" w:lineRule="auto"/>
        <w:jc w:val="both"/>
        <w:rPr>
          <w:highlight w:val="yellow"/>
        </w:rPr>
      </w:pPr>
    </w:p>
    <w:p w14:paraId="7AC7995B" w14:textId="77777777" w:rsidR="00C36107" w:rsidRPr="007C7920" w:rsidRDefault="00C36107" w:rsidP="00E92750">
      <w:pPr>
        <w:spacing w:line="240" w:lineRule="auto"/>
        <w:jc w:val="both"/>
        <w:rPr>
          <w:highlight w:val="yellow"/>
        </w:rPr>
      </w:pPr>
    </w:p>
    <w:p w14:paraId="56533018" w14:textId="1D462B47" w:rsidR="00C36107" w:rsidRDefault="00C36107" w:rsidP="004F2EC8">
      <w:pPr>
        <w:spacing w:after="0" w:line="240" w:lineRule="auto"/>
        <w:rPr>
          <w:noProof/>
          <w:lang w:eastAsia="hr-HR"/>
        </w:rPr>
      </w:pPr>
    </w:p>
    <w:p w14:paraId="27F7167D" w14:textId="77777777" w:rsidR="00D51314" w:rsidRDefault="00D51314" w:rsidP="004F2EC8">
      <w:pPr>
        <w:spacing w:after="0" w:line="240" w:lineRule="auto"/>
        <w:rPr>
          <w:noProof/>
          <w:lang w:eastAsia="hr-HR"/>
        </w:rPr>
      </w:pPr>
    </w:p>
    <w:p w14:paraId="4D268F21" w14:textId="6172445A" w:rsidR="00D51314" w:rsidRDefault="00D51314" w:rsidP="004F2EC8">
      <w:pPr>
        <w:spacing w:after="0" w:line="240" w:lineRule="auto"/>
        <w:rPr>
          <w:noProof/>
          <w:lang w:eastAsia="hr-HR"/>
        </w:rPr>
      </w:pPr>
      <w:r>
        <w:rPr>
          <w:noProof/>
          <w:lang w:eastAsia="hr-HR"/>
        </w:rPr>
        <w:lastRenderedPageBreak/>
        <w:drawing>
          <wp:inline distT="0" distB="0" distL="0" distR="0" wp14:anchorId="77B50C8E" wp14:editId="413F0845">
            <wp:extent cx="5759450" cy="3260933"/>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7FF891E" w14:textId="7B998F3A" w:rsidR="00C36107" w:rsidRPr="006D1B89" w:rsidRDefault="00C36107" w:rsidP="004F2EC8">
      <w:pPr>
        <w:spacing w:line="240" w:lineRule="auto"/>
        <w:jc w:val="center"/>
      </w:pPr>
      <w:bookmarkStart w:id="429" w:name="_Ref467499162"/>
      <w:bookmarkStart w:id="430" w:name="_Toc468277490"/>
      <w:r w:rsidRPr="006D1B89">
        <w:rPr>
          <w:b/>
          <w:bCs/>
        </w:rPr>
        <w:t xml:space="preserve">Slika </w:t>
      </w:r>
      <w:r w:rsidRPr="006D1B89">
        <w:rPr>
          <w:b/>
          <w:bCs/>
        </w:rPr>
        <w:fldChar w:fldCharType="begin"/>
      </w:r>
      <w:r w:rsidRPr="006D1B89">
        <w:rPr>
          <w:b/>
          <w:bCs/>
        </w:rPr>
        <w:instrText xml:space="preserve"> STYLEREF 1 \s </w:instrText>
      </w:r>
      <w:r w:rsidRPr="006D1B89">
        <w:rPr>
          <w:b/>
          <w:bCs/>
        </w:rPr>
        <w:fldChar w:fldCharType="separate"/>
      </w:r>
      <w:r w:rsidR="009C319B">
        <w:rPr>
          <w:b/>
          <w:bCs/>
          <w:noProof/>
        </w:rPr>
        <w:t>9</w:t>
      </w:r>
      <w:r w:rsidRPr="006D1B89">
        <w:rPr>
          <w:b/>
          <w:bCs/>
        </w:rPr>
        <w:fldChar w:fldCharType="end"/>
      </w:r>
      <w:r w:rsidRPr="006D1B89">
        <w:rPr>
          <w:b/>
          <w:bCs/>
        </w:rPr>
        <w:t>.</w:t>
      </w:r>
      <w:r w:rsidRPr="006D1B89">
        <w:rPr>
          <w:b/>
          <w:bCs/>
        </w:rPr>
        <w:fldChar w:fldCharType="begin"/>
      </w:r>
      <w:r w:rsidRPr="006D1B89">
        <w:rPr>
          <w:b/>
          <w:bCs/>
        </w:rPr>
        <w:instrText xml:space="preserve"> SEQ Slika \* ARABIC \s 1 </w:instrText>
      </w:r>
      <w:r w:rsidRPr="006D1B89">
        <w:rPr>
          <w:b/>
          <w:bCs/>
        </w:rPr>
        <w:fldChar w:fldCharType="separate"/>
      </w:r>
      <w:r w:rsidR="009C319B">
        <w:rPr>
          <w:b/>
          <w:bCs/>
          <w:noProof/>
        </w:rPr>
        <w:t>5</w:t>
      </w:r>
      <w:r w:rsidRPr="006D1B89">
        <w:rPr>
          <w:b/>
          <w:bCs/>
        </w:rPr>
        <w:fldChar w:fldCharType="end"/>
      </w:r>
      <w:bookmarkEnd w:id="429"/>
      <w:r w:rsidRPr="006D1B89">
        <w:rPr>
          <w:b/>
          <w:bCs/>
        </w:rPr>
        <w:t xml:space="preserve"> </w:t>
      </w:r>
      <w:r w:rsidR="00515A02" w:rsidRPr="006D1B89">
        <w:rPr>
          <w:bCs/>
        </w:rPr>
        <w:t>Usporedba ostvarenog i ciljanog smanjenja emisije CO</w:t>
      </w:r>
      <w:r w:rsidR="00515A02" w:rsidRPr="006D1B89">
        <w:rPr>
          <w:bCs/>
          <w:vertAlign w:val="subscript"/>
        </w:rPr>
        <w:t xml:space="preserve">2 </w:t>
      </w:r>
      <w:r w:rsidR="00515A02" w:rsidRPr="006D1B89">
        <w:rPr>
          <w:bCs/>
        </w:rPr>
        <w:t>do 2020. godine</w:t>
      </w:r>
      <w:bookmarkEnd w:id="430"/>
    </w:p>
    <w:p w14:paraId="46B98A15" w14:textId="15C2B51B" w:rsidR="00515A02" w:rsidRPr="0038085A" w:rsidRDefault="00515A02" w:rsidP="00E92750">
      <w:pPr>
        <w:spacing w:line="240" w:lineRule="auto"/>
        <w:jc w:val="both"/>
      </w:pPr>
      <w:r w:rsidRPr="006D1B89">
        <w:t>Iz prethodne slike je vidljivo da razlika od ostvarenog do ciljanog smanjenja emisije CO</w:t>
      </w:r>
      <w:r w:rsidRPr="006D1B89">
        <w:rPr>
          <w:vertAlign w:val="subscript"/>
        </w:rPr>
        <w:t>2</w:t>
      </w:r>
      <w:r w:rsidR="006D1B89" w:rsidRPr="006D1B89">
        <w:t xml:space="preserve"> do 2020. </w:t>
      </w:r>
      <w:r w:rsidR="00D51314">
        <w:t>godine iznosi oko 284</w:t>
      </w:r>
      <w:r w:rsidRPr="0038085A">
        <w:t xml:space="preserve"> kt CO</w:t>
      </w:r>
      <w:r w:rsidRPr="0038085A">
        <w:rPr>
          <w:vertAlign w:val="subscript"/>
        </w:rPr>
        <w:t>2</w:t>
      </w:r>
      <w:r w:rsidRPr="0038085A">
        <w:t>.</w:t>
      </w:r>
    </w:p>
    <w:p w14:paraId="58B64367" w14:textId="77777777" w:rsidR="000437E2" w:rsidRDefault="00515A02" w:rsidP="00E92750">
      <w:pPr>
        <w:spacing w:line="240" w:lineRule="auto"/>
        <w:jc w:val="both"/>
      </w:pPr>
      <w:r w:rsidRPr="0038085A">
        <w:t xml:space="preserve">Važno je napomenuti da je Analiza uspješnosti </w:t>
      </w:r>
      <w:r w:rsidR="00252297" w:rsidRPr="0038085A">
        <w:t xml:space="preserve">obuhvatila mjere i aktivnosti u fazi „na pola puta“ do zacrtanog cilja (2020. godina). </w:t>
      </w:r>
    </w:p>
    <w:p w14:paraId="7DA6F406" w14:textId="543FCA2A" w:rsidR="00B276B6" w:rsidRPr="007C7920" w:rsidRDefault="00252297" w:rsidP="00E92750">
      <w:pPr>
        <w:spacing w:line="240" w:lineRule="auto"/>
        <w:jc w:val="both"/>
        <w:rPr>
          <w:highlight w:val="yellow"/>
        </w:rPr>
      </w:pPr>
      <w:r w:rsidRPr="0038085A">
        <w:t>Prema tome, konačan učinak smanjenja emisije CO</w:t>
      </w:r>
      <w:r w:rsidRPr="0038085A">
        <w:rPr>
          <w:vertAlign w:val="subscript"/>
        </w:rPr>
        <w:t>2</w:t>
      </w:r>
      <w:r w:rsidRPr="0038085A">
        <w:t xml:space="preserve"> uslijed mjera i aktivnosti čija je implementacija završena ili u fazi provedbe očekuje se u 2020. godini. Zbog navedenog, u </w:t>
      </w:r>
      <w:r w:rsidRPr="0038085A">
        <w:rPr>
          <w:rFonts w:eastAsia="Calibri" w:cstheme="minorHAnsi"/>
          <w:iCs/>
        </w:rPr>
        <w:t>idućem poglavlju je</w:t>
      </w:r>
      <w:r w:rsidRPr="0038085A">
        <w:t xml:space="preserve"> napravljena projekcija očekivanog konačnog učinka smanjenja emisije CO</w:t>
      </w:r>
      <w:r w:rsidRPr="0038085A">
        <w:rPr>
          <w:vertAlign w:val="subscript"/>
        </w:rPr>
        <w:t>2</w:t>
      </w:r>
      <w:r w:rsidRPr="0038085A">
        <w:t>. Ujedno je kroz to poglavlje dan odgovor hoće li Grad Zagreb ispuniti predloženi indikativni cilj smanjenja emisije CO</w:t>
      </w:r>
      <w:r w:rsidRPr="0038085A">
        <w:rPr>
          <w:vertAlign w:val="subscript"/>
        </w:rPr>
        <w:t>2</w:t>
      </w:r>
      <w:r w:rsidRPr="0038085A">
        <w:t xml:space="preserve"> od </w:t>
      </w:r>
      <w:r w:rsidR="000437E2">
        <w:rPr>
          <w:rFonts w:cstheme="minorHAnsi"/>
          <w:b/>
        </w:rPr>
        <w:t>21%</w:t>
      </w:r>
      <w:r w:rsidR="000437E2">
        <w:rPr>
          <w:rFonts w:cstheme="minorHAnsi"/>
        </w:rPr>
        <w:t xml:space="preserve"> u odnosu na 2008.</w:t>
      </w:r>
      <w:r w:rsidRPr="0038085A">
        <w:rPr>
          <w:rFonts w:cstheme="minorHAnsi"/>
        </w:rPr>
        <w:t>.</w:t>
      </w:r>
      <w:r w:rsidR="00CE3F11" w:rsidRPr="007C7920">
        <w:rPr>
          <w:highlight w:val="yellow"/>
        </w:rPr>
        <w:br w:type="page"/>
      </w:r>
    </w:p>
    <w:p w14:paraId="1C7A1690" w14:textId="7BF90EB7" w:rsidR="004160FA" w:rsidRPr="003B42DA" w:rsidRDefault="004160FA" w:rsidP="00E92750">
      <w:pPr>
        <w:pStyle w:val="Heading1"/>
        <w:spacing w:before="0" w:after="240" w:line="240" w:lineRule="auto"/>
        <w:jc w:val="both"/>
        <w:rPr>
          <w:rFonts w:eastAsia="Times New Roman"/>
          <w:b/>
        </w:rPr>
      </w:pPr>
      <w:bookmarkStart w:id="431" w:name="_Toc468345397"/>
      <w:r w:rsidRPr="003B42DA">
        <w:rPr>
          <w:rFonts w:eastAsia="Times New Roman"/>
          <w:b/>
        </w:rPr>
        <w:lastRenderedPageBreak/>
        <w:t>PR</w:t>
      </w:r>
      <w:r w:rsidR="00373CD4" w:rsidRPr="003B42DA">
        <w:rPr>
          <w:rFonts w:eastAsia="Times New Roman"/>
          <w:b/>
        </w:rPr>
        <w:t>OJEKCIJA OČEKIVANOG SMANJENJA EMISIJE CO</w:t>
      </w:r>
      <w:r w:rsidR="00373CD4" w:rsidRPr="003B42DA">
        <w:rPr>
          <w:rFonts w:eastAsia="Times New Roman"/>
          <w:b/>
          <w:vertAlign w:val="subscript"/>
        </w:rPr>
        <w:t>2</w:t>
      </w:r>
      <w:r w:rsidR="00373CD4" w:rsidRPr="003B42DA">
        <w:rPr>
          <w:rFonts w:eastAsia="Times New Roman"/>
          <w:b/>
        </w:rPr>
        <w:t xml:space="preserve"> U 2020. GODINI NA OSNOVU REZULTATA PROVEDENE ANALIZE USPJEŠNOSTI AKCIJSKOG PLANA</w:t>
      </w:r>
      <w:bookmarkEnd w:id="431"/>
    </w:p>
    <w:p w14:paraId="18A0C9E6" w14:textId="4591EF89" w:rsidR="001816D3" w:rsidRPr="003B42DA" w:rsidRDefault="001816D3" w:rsidP="00E92750">
      <w:pPr>
        <w:spacing w:line="240" w:lineRule="auto"/>
        <w:jc w:val="both"/>
      </w:pPr>
      <w:r w:rsidRPr="003B42DA">
        <w:t xml:space="preserve">Analizom uspješnosti je utvrđeno da se implementacija mjera i aktivnosti iz Akcijskog plana odvija u skladu s planiranom dinamikom i da nije potrebno predlagati dodatne mjere i aktivnosti već nastaviti s provođenjem </w:t>
      </w:r>
      <w:r w:rsidR="003D0AD2" w:rsidRPr="003B42DA">
        <w:t>definiranih.</w:t>
      </w:r>
    </w:p>
    <w:p w14:paraId="45136DA7" w14:textId="7084B0C7" w:rsidR="00A75FB3" w:rsidRPr="003B42DA" w:rsidRDefault="003D0AD2" w:rsidP="00E92750">
      <w:pPr>
        <w:spacing w:line="240" w:lineRule="auto"/>
        <w:jc w:val="both"/>
      </w:pPr>
      <w:r w:rsidRPr="003B42DA">
        <w:t>Nadalje, b</w:t>
      </w:r>
      <w:r w:rsidR="001816D3" w:rsidRPr="003B42DA">
        <w:t>udući je Analiza uspješnosti provede Akcijskog plana obuhvatila mjere i aktivnosti u fazi „na pola puta“ do zacrtanog cilja (2020. godina) u sklopu ovog poglavlja napravljena je projekcija očekivanog smanjenja emisije CO</w:t>
      </w:r>
      <w:r w:rsidR="001816D3" w:rsidRPr="003B42DA">
        <w:rPr>
          <w:vertAlign w:val="subscript"/>
        </w:rPr>
        <w:t>2</w:t>
      </w:r>
      <w:r w:rsidR="001816D3" w:rsidRPr="003B42DA">
        <w:t xml:space="preserve"> u 2020. godini na osnovu mjera i aktivnosti čija je implementacija završena ili u fazi provedbe</w:t>
      </w:r>
      <w:r w:rsidR="00E84822" w:rsidRPr="003B42DA">
        <w:t>,</w:t>
      </w:r>
      <w:r w:rsidR="001816D3" w:rsidRPr="003B42DA">
        <w:t xml:space="preserve"> a </w:t>
      </w:r>
      <w:r w:rsidRPr="003B42DA">
        <w:t xml:space="preserve">čiji </w:t>
      </w:r>
      <w:r w:rsidR="001816D3" w:rsidRPr="003B42DA">
        <w:t>krajnji učinak smanjenja emisije CO</w:t>
      </w:r>
      <w:r w:rsidR="001816D3" w:rsidRPr="003B42DA">
        <w:rPr>
          <w:vertAlign w:val="subscript"/>
        </w:rPr>
        <w:t>2</w:t>
      </w:r>
      <w:r w:rsidR="001816D3" w:rsidRPr="003B42DA">
        <w:t xml:space="preserve"> se očekuje u 2020. godini. </w:t>
      </w:r>
    </w:p>
    <w:p w14:paraId="7E246FB1" w14:textId="77777777" w:rsidR="00A75FB3" w:rsidRPr="003B42DA" w:rsidRDefault="00A75FB3" w:rsidP="00E92750">
      <w:pPr>
        <w:spacing w:line="240" w:lineRule="auto"/>
        <w:jc w:val="both"/>
      </w:pPr>
      <w:r w:rsidRPr="003B42DA">
        <w:t>Prikaz mjera i aktivnosti obuhvaćenih projekcijom je dan u nastavku:</w:t>
      </w:r>
    </w:p>
    <w:p w14:paraId="6B0621FE" w14:textId="4CBCC498" w:rsidR="00A75FB3" w:rsidRPr="003B42DA" w:rsidRDefault="00A75FB3" w:rsidP="00EE7021">
      <w:pPr>
        <w:pStyle w:val="ListParagraph"/>
        <w:numPr>
          <w:ilvl w:val="0"/>
          <w:numId w:val="47"/>
        </w:numPr>
        <w:spacing w:line="240" w:lineRule="auto"/>
        <w:jc w:val="both"/>
      </w:pPr>
      <w:r w:rsidRPr="003B42DA">
        <w:t>Zagreb - energetski efikasan grad (ZagEE)</w:t>
      </w:r>
      <w:r w:rsidR="00E84822" w:rsidRPr="003B42DA">
        <w:t>;</w:t>
      </w:r>
    </w:p>
    <w:p w14:paraId="5FE7A273" w14:textId="00CEDA75" w:rsidR="00E84822" w:rsidRPr="003B42DA" w:rsidRDefault="00E84822" w:rsidP="00EE7021">
      <w:pPr>
        <w:pStyle w:val="ListParagraph"/>
        <w:numPr>
          <w:ilvl w:val="0"/>
          <w:numId w:val="47"/>
        </w:numPr>
        <w:spacing w:line="240" w:lineRule="auto"/>
        <w:jc w:val="both"/>
      </w:pPr>
      <w:r w:rsidRPr="003B42DA">
        <w:t>Energetska obnova višestambenih zgrada;</w:t>
      </w:r>
    </w:p>
    <w:p w14:paraId="7DA3573C" w14:textId="1A9F68D0" w:rsidR="00E84822" w:rsidRPr="003B42DA" w:rsidRDefault="00E84822" w:rsidP="00EE7021">
      <w:pPr>
        <w:pStyle w:val="ListParagraph"/>
        <w:numPr>
          <w:ilvl w:val="0"/>
          <w:numId w:val="47"/>
        </w:numPr>
        <w:spacing w:line="240" w:lineRule="auto"/>
        <w:jc w:val="both"/>
      </w:pPr>
      <w:r w:rsidRPr="003B42DA">
        <w:t>Spin City;</w:t>
      </w:r>
    </w:p>
    <w:p w14:paraId="025C3F3D" w14:textId="69A31B69" w:rsidR="00E84822" w:rsidRPr="003B42DA" w:rsidRDefault="00395661" w:rsidP="00EE7021">
      <w:pPr>
        <w:pStyle w:val="ListParagraph"/>
        <w:numPr>
          <w:ilvl w:val="0"/>
          <w:numId w:val="47"/>
        </w:numPr>
        <w:spacing w:line="240" w:lineRule="auto"/>
        <w:jc w:val="both"/>
      </w:pPr>
      <w:r>
        <w:t>ELENA – Projekt modernizacije javne rasvjete;</w:t>
      </w:r>
    </w:p>
    <w:p w14:paraId="5D399988" w14:textId="5AC57A15" w:rsidR="00E84822" w:rsidRPr="003B42DA" w:rsidRDefault="00E84822" w:rsidP="00EE7021">
      <w:pPr>
        <w:pStyle w:val="ListParagraph"/>
        <w:numPr>
          <w:ilvl w:val="0"/>
          <w:numId w:val="47"/>
        </w:numPr>
        <w:spacing w:line="240" w:lineRule="auto"/>
        <w:jc w:val="both"/>
      </w:pPr>
      <w:r w:rsidRPr="003B42DA">
        <w:t>Mjere i aktivnosti iz Akcijskog plana čija je implementacija završena ili u fazi provedbe, ali čiji se konačan učinak očekuje do 2020. godine.</w:t>
      </w:r>
    </w:p>
    <w:p w14:paraId="64E95969" w14:textId="1BDAF481" w:rsidR="00E84822" w:rsidRPr="003B42DA" w:rsidRDefault="00E84822" w:rsidP="00E92750">
      <w:pPr>
        <w:spacing w:after="120" w:line="240" w:lineRule="auto"/>
        <w:jc w:val="both"/>
        <w:rPr>
          <w:rFonts w:ascii="Calibri" w:eastAsia="Calibri" w:hAnsi="Calibri"/>
        </w:rPr>
      </w:pPr>
      <w:r w:rsidRPr="003B42DA">
        <w:rPr>
          <w:rFonts w:ascii="Calibri" w:eastAsia="Calibri" w:hAnsi="Calibri"/>
        </w:rPr>
        <w:t>Kratak opis mjera i aktivnosti obuhvaćenih projekcijom dan je u nastavku.</w:t>
      </w:r>
    </w:p>
    <w:p w14:paraId="6717EC8E" w14:textId="414F67DF" w:rsidR="00E84822" w:rsidRPr="003B42DA" w:rsidRDefault="00E84822" w:rsidP="00E92750">
      <w:pPr>
        <w:spacing w:after="120" w:line="240" w:lineRule="auto"/>
        <w:jc w:val="both"/>
        <w:rPr>
          <w:rFonts w:ascii="Calibri" w:eastAsia="Calibri" w:hAnsi="Calibri"/>
          <w:b/>
        </w:rPr>
      </w:pPr>
      <w:r w:rsidRPr="003B42DA">
        <w:rPr>
          <w:rFonts w:ascii="Calibri" w:eastAsia="Calibri" w:hAnsi="Calibri"/>
          <w:b/>
        </w:rPr>
        <w:t>Zagreb - energetski efikasan grad (ZagEE)</w:t>
      </w:r>
    </w:p>
    <w:p w14:paraId="65530322" w14:textId="77777777" w:rsidR="00A75FB3" w:rsidRPr="003B42DA" w:rsidRDefault="00A75FB3" w:rsidP="00E92750">
      <w:pPr>
        <w:spacing w:after="120" w:line="240" w:lineRule="auto"/>
        <w:jc w:val="both"/>
        <w:rPr>
          <w:rFonts w:ascii="Calibri" w:eastAsia="Calibri" w:hAnsi="Calibri"/>
        </w:rPr>
      </w:pPr>
      <w:r w:rsidRPr="003B42DA">
        <w:rPr>
          <w:rFonts w:ascii="Calibri" w:eastAsia="Calibri" w:hAnsi="Calibri"/>
        </w:rPr>
        <w:t>Grad Zagreb prepoznao je važnost obnove svojih zgrada čemu svjedoče izrađeni strateški planovi i programi održivog razvitka te novopokrenuti projekti rekonstrukcije objekata. Pri tome je posebno vrijedno istaknuti program</w:t>
      </w:r>
      <w:r w:rsidRPr="003B42DA">
        <w:rPr>
          <w:rFonts w:ascii="Calibri" w:eastAsia="Calibri" w:hAnsi="Calibri"/>
          <w:i/>
        </w:rPr>
        <w:t xml:space="preserve"> </w:t>
      </w:r>
      <w:r w:rsidRPr="00783432">
        <w:rPr>
          <w:rFonts w:ascii="Calibri" w:eastAsia="Calibri" w:hAnsi="Calibri"/>
        </w:rPr>
        <w:t>Zagreb - energetski efikasan grad</w:t>
      </w:r>
      <w:r w:rsidRPr="003B42DA">
        <w:rPr>
          <w:rFonts w:ascii="Calibri" w:eastAsia="Calibri" w:hAnsi="Calibri"/>
          <w:i/>
        </w:rPr>
        <w:t xml:space="preserve"> (ZagEE) </w:t>
      </w:r>
      <w:r w:rsidRPr="003B42DA">
        <w:rPr>
          <w:rFonts w:ascii="Calibri" w:eastAsia="Calibri" w:hAnsi="Calibri"/>
        </w:rPr>
        <w:t>koji ima za cilj provesti energetsku obnovu zgrada i javne rasvjete u vlasništvu Grada Zagreba. Provedbu programa započetog 2013. godine vodi Gradski ured za energetiku, zaštitu okoliša i održivi razvoj uz pomoć Regionalne energetske agencije Sjeverozapadne Hrvatske.</w:t>
      </w:r>
    </w:p>
    <w:p w14:paraId="3CAC24EA" w14:textId="77777777" w:rsidR="00A75FB3" w:rsidRPr="003B42DA" w:rsidRDefault="00A75FB3" w:rsidP="00E92750">
      <w:pPr>
        <w:spacing w:after="120" w:line="240" w:lineRule="auto"/>
        <w:jc w:val="both"/>
        <w:rPr>
          <w:rFonts w:ascii="Calibri" w:eastAsia="Calibri" w:hAnsi="Calibri"/>
        </w:rPr>
      </w:pPr>
      <w:r w:rsidRPr="003B42DA">
        <w:rPr>
          <w:rFonts w:ascii="Calibri" w:eastAsia="Calibri" w:hAnsi="Calibri"/>
        </w:rPr>
        <w:t xml:space="preserve">Program je pokrenut temeljem uspješne prijave na natječaj EU programa </w:t>
      </w:r>
      <w:r w:rsidRPr="003B42DA">
        <w:rPr>
          <w:rFonts w:ascii="Calibri" w:eastAsia="Calibri" w:hAnsi="Calibri"/>
          <w:i/>
        </w:rPr>
        <w:t>Inteligentna energija za Europu - Mobiliziranje lokalnih energetskih investicija</w:t>
      </w:r>
      <w:r w:rsidRPr="003B42DA">
        <w:rPr>
          <w:rFonts w:ascii="Calibri" w:eastAsia="Calibri" w:hAnsi="Calibri"/>
        </w:rPr>
        <w:t xml:space="preserve"> (IEE MLEI-PDA) kojom su osigurana bespovratna sredstva za izradu projektne dokumentacije i svih predradnji potrebnih za pokretanje energetske obnove zgrada javne namjene (administrativne, odgojno-obrazovne i zdravstvene namjene). Uvjet dobivanja ovih sredstava bio je da se temeljem izrađenih analiza i tehničke  dokumentacije za energetsku obnovu planirane investicije pokrenu unutar tri godine od dobivanja sredstava. Ključni ciljevi ovog programa su:</w:t>
      </w:r>
    </w:p>
    <w:p w14:paraId="3310FEA0" w14:textId="77777777" w:rsidR="00A75FB3" w:rsidRPr="003B42DA" w:rsidRDefault="00A75FB3" w:rsidP="00EE7021">
      <w:pPr>
        <w:numPr>
          <w:ilvl w:val="0"/>
          <w:numId w:val="40"/>
        </w:numPr>
        <w:spacing w:line="240" w:lineRule="auto"/>
        <w:ind w:left="714" w:hanging="357"/>
        <w:contextualSpacing/>
        <w:jc w:val="both"/>
        <w:rPr>
          <w:rFonts w:ascii="Calibri" w:eastAsia="Calibri" w:hAnsi="Calibri"/>
        </w:rPr>
      </w:pPr>
      <w:r w:rsidRPr="003B42DA">
        <w:rPr>
          <w:rFonts w:ascii="Calibri" w:eastAsia="Calibri" w:hAnsi="Calibri"/>
        </w:rPr>
        <w:t>Obnova 87 zgrada javne namjene kojima bi se ostvarile uštede energije od 49%, odnosno 33 526 MWh;</w:t>
      </w:r>
    </w:p>
    <w:p w14:paraId="2E04FCE5" w14:textId="77777777" w:rsidR="00A75FB3" w:rsidRPr="003B42DA" w:rsidRDefault="00A75FB3" w:rsidP="00EE7021">
      <w:pPr>
        <w:numPr>
          <w:ilvl w:val="0"/>
          <w:numId w:val="40"/>
        </w:numPr>
        <w:spacing w:line="240" w:lineRule="auto"/>
        <w:ind w:left="714" w:hanging="357"/>
        <w:contextualSpacing/>
        <w:jc w:val="both"/>
        <w:rPr>
          <w:rFonts w:ascii="Calibri" w:eastAsia="Calibri" w:hAnsi="Calibri"/>
        </w:rPr>
      </w:pPr>
      <w:r w:rsidRPr="003B42DA">
        <w:rPr>
          <w:rFonts w:ascii="Calibri" w:eastAsia="Calibri" w:hAnsi="Calibri"/>
        </w:rPr>
        <w:t>Modernizacija 3 000 rasvjetnih tijela u javnim parkovima, uz uštedu energije od 72%, odnosno 1 470 MWh;</w:t>
      </w:r>
    </w:p>
    <w:p w14:paraId="10669C95" w14:textId="77777777" w:rsidR="00A75FB3" w:rsidRPr="003B42DA" w:rsidRDefault="00A75FB3" w:rsidP="00EE7021">
      <w:pPr>
        <w:numPr>
          <w:ilvl w:val="0"/>
          <w:numId w:val="40"/>
        </w:numPr>
        <w:spacing w:line="240" w:lineRule="auto"/>
        <w:ind w:left="714" w:hanging="357"/>
        <w:jc w:val="both"/>
        <w:rPr>
          <w:rFonts w:ascii="Calibri" w:eastAsia="Calibri" w:hAnsi="Calibri"/>
        </w:rPr>
      </w:pPr>
      <w:r w:rsidRPr="003B42DA">
        <w:rPr>
          <w:rFonts w:ascii="Calibri" w:eastAsia="Calibri" w:hAnsi="Calibri"/>
        </w:rPr>
        <w:t>Proizvodnja 290 MWh/godišnje energije iz obnovljivih izvora energije.</w:t>
      </w:r>
    </w:p>
    <w:p w14:paraId="4B91CD3B" w14:textId="77777777" w:rsidR="00A75FB3" w:rsidRPr="003B42DA" w:rsidRDefault="00A75FB3" w:rsidP="00E92750">
      <w:pPr>
        <w:spacing w:line="240" w:lineRule="auto"/>
        <w:jc w:val="both"/>
        <w:rPr>
          <w:rFonts w:ascii="Calibri" w:eastAsia="Calibri" w:hAnsi="Calibri"/>
        </w:rPr>
      </w:pPr>
      <w:r w:rsidRPr="003B42DA">
        <w:rPr>
          <w:rFonts w:ascii="Calibri" w:eastAsia="Calibri" w:hAnsi="Calibri"/>
        </w:rPr>
        <w:t>Vrijednost programa ZagEE koja se odnosi na financiranje pripremnih radnji iznosila je 1 813 438 Eura, a ukupna planirana investicijska vrijednost radova na realizaciji predviđenih mjera za koje se izradila tehnička dokumentacija iznosila je 29 379 114 Eura.</w:t>
      </w:r>
    </w:p>
    <w:p w14:paraId="337B26C1" w14:textId="77777777" w:rsidR="00A75FB3" w:rsidRPr="003B42DA" w:rsidRDefault="00A75FB3" w:rsidP="00E92750">
      <w:pPr>
        <w:spacing w:line="240" w:lineRule="auto"/>
        <w:jc w:val="both"/>
        <w:rPr>
          <w:rFonts w:ascii="Calibri" w:eastAsia="Calibri" w:hAnsi="Calibri"/>
        </w:rPr>
      </w:pPr>
      <w:r w:rsidRPr="003B42DA">
        <w:rPr>
          <w:rFonts w:ascii="Calibri" w:eastAsia="Calibri" w:hAnsi="Calibri"/>
        </w:rPr>
        <w:lastRenderedPageBreak/>
        <w:t xml:space="preserve">Financijska konstrukcija programa obnove prilagodila se raspoloživim izvorima financiranja te se oslanjala na bespovratna sredstva Fonda za zaštitu okoliša i energetsku učinkovitost (40% ukupne investicije), kreditne linije Hrvatske banke za obnovu i razvitak (darovnica iz Programa Europske komisije - EEFF 2006 i 2007) i vlastita sredstva. </w:t>
      </w:r>
    </w:p>
    <w:p w14:paraId="168A772F" w14:textId="77777777" w:rsidR="00A75FB3" w:rsidRPr="003B42DA" w:rsidRDefault="00A75FB3" w:rsidP="00E92750">
      <w:pPr>
        <w:spacing w:line="240" w:lineRule="auto"/>
        <w:jc w:val="both"/>
        <w:rPr>
          <w:rFonts w:ascii="Calibri" w:eastAsia="Calibri" w:hAnsi="Calibri"/>
          <w:color w:val="FF0000"/>
        </w:rPr>
      </w:pPr>
      <w:r w:rsidRPr="003B42DA">
        <w:rPr>
          <w:rFonts w:ascii="Calibri" w:eastAsia="Calibri" w:hAnsi="Calibri"/>
        </w:rPr>
        <w:t xml:space="preserve">Uspješna provedba programa ZagEE i znanja stečena na njegovoj provedbi temelj su pokretanja daljnje obnove zgrada u vlasništvu Grada Zagreba i modernizacije sustava javne rasvjete. </w:t>
      </w:r>
    </w:p>
    <w:p w14:paraId="590AFAF9" w14:textId="77777777" w:rsidR="00A75FB3" w:rsidRPr="003B42DA" w:rsidRDefault="00A75FB3" w:rsidP="00E92750">
      <w:pPr>
        <w:spacing w:line="240" w:lineRule="auto"/>
        <w:jc w:val="both"/>
        <w:rPr>
          <w:b/>
        </w:rPr>
      </w:pPr>
      <w:r w:rsidRPr="003B42DA">
        <w:rPr>
          <w:rFonts w:cs="Arial"/>
          <w:b/>
        </w:rPr>
        <w:t>Energetska obnova višestambenih zgrada</w:t>
      </w:r>
    </w:p>
    <w:p w14:paraId="154B0571" w14:textId="77777777" w:rsidR="00A75FB3" w:rsidRPr="003B42DA" w:rsidRDefault="00A75FB3" w:rsidP="00E92750">
      <w:pPr>
        <w:spacing w:line="240" w:lineRule="auto"/>
        <w:jc w:val="both"/>
      </w:pPr>
      <w:r w:rsidRPr="003B42DA">
        <w:t>U Republici Hrvatskoj prema dostupnim podacima Fonda za zaštitu okoliša i energetsku učinkovitost te Državnog zavoda za statistiku oko 50 milijuna m</w:t>
      </w:r>
      <w:r w:rsidRPr="003B42DA">
        <w:rPr>
          <w:vertAlign w:val="superscript"/>
        </w:rPr>
        <w:t>2</w:t>
      </w:r>
      <w:r w:rsidRPr="003B42DA">
        <w:t xml:space="preserve"> korisne površine odnosi se na višestambene zgrade, od toga, 65% zgrada se nalazi u kontinentalnom dijelu, dok ih je oko 35% u obalnom dijelu Hrvatske.</w:t>
      </w:r>
    </w:p>
    <w:p w14:paraId="7A1C7180" w14:textId="77777777" w:rsidR="00A75FB3" w:rsidRPr="003B42DA" w:rsidRDefault="00A75FB3" w:rsidP="00E92750">
      <w:pPr>
        <w:spacing w:line="240" w:lineRule="auto"/>
        <w:jc w:val="both"/>
      </w:pPr>
      <w:r w:rsidRPr="003B42DA">
        <w:t>Zgrade su većinom izgrađene prije 1987. godine, što znači da im je specifična potrošnja toplinske energije za grijanje u intervalima 200-250 kWh/m</w:t>
      </w:r>
      <w:r w:rsidRPr="003B42DA">
        <w:rPr>
          <w:vertAlign w:val="superscript"/>
        </w:rPr>
        <w:t>2</w:t>
      </w:r>
      <w:r w:rsidRPr="003B42DA">
        <w:t>. Važno je naglasiti da primjenom mjera povećanja energetske učinkovitosti, potrošnju tih zgrada je moguće smanjiti na 50 kWh/m</w:t>
      </w:r>
      <w:r w:rsidRPr="003B42DA">
        <w:rPr>
          <w:vertAlign w:val="superscript"/>
        </w:rPr>
        <w:t>2</w:t>
      </w:r>
      <w:r w:rsidRPr="003B42DA">
        <w:t xml:space="preserve">. U srpnju 2014. godine Vlada Republike Hrvatske je u suradnji s Ministarstvom graditeljstva i prostornoga uređenja donijela Program energetske obnove višestambenih zgrada od 2014. do 2020. godine. </w:t>
      </w:r>
      <w:r w:rsidRPr="003B42DA">
        <w:rPr>
          <w:rFonts w:eastAsia="Times New Roman" w:cstheme="minorHAnsi"/>
          <w:color w:val="222222"/>
          <w:lang w:eastAsia="hr-HR"/>
        </w:rPr>
        <w:t xml:space="preserve">Fond je za ovaj Program u zadnje 3 godine osigurao </w:t>
      </w:r>
      <w:r w:rsidRPr="003B42DA">
        <w:rPr>
          <w:rFonts w:eastAsia="Times New Roman" w:cstheme="minorHAnsi"/>
          <w:bCs/>
          <w:color w:val="222222"/>
          <w:lang w:eastAsia="hr-HR"/>
        </w:rPr>
        <w:t xml:space="preserve">268 mil. </w:t>
      </w:r>
      <w:r w:rsidRPr="003B42DA">
        <w:rPr>
          <w:rFonts w:eastAsia="Times New Roman" w:cstheme="minorHAnsi"/>
          <w:color w:val="222222"/>
          <w:lang w:eastAsia="hr-HR"/>
        </w:rPr>
        <w:t>kuna bespovratnih sredstava, od čega je 200 milijuna kuna odobreno samo za radove na energetskoj obnovi 430 zgrada vrijedne 461 milijun kuna.</w:t>
      </w:r>
    </w:p>
    <w:p w14:paraId="6AC1C1E5" w14:textId="77777777" w:rsidR="00A75FB3" w:rsidRPr="003B42DA" w:rsidRDefault="00A75FB3" w:rsidP="00E92750">
      <w:pPr>
        <w:shd w:val="clear" w:color="auto" w:fill="FFFFFF"/>
        <w:spacing w:line="240" w:lineRule="auto"/>
        <w:jc w:val="both"/>
        <w:rPr>
          <w:rFonts w:eastAsia="Times New Roman" w:cstheme="minorHAnsi"/>
          <w:color w:val="222222"/>
          <w:lang w:eastAsia="hr-HR"/>
        </w:rPr>
      </w:pPr>
      <w:r w:rsidRPr="003B42DA">
        <w:rPr>
          <w:rFonts w:eastAsia="Times New Roman" w:cstheme="minorHAnsi"/>
          <w:color w:val="222222"/>
          <w:lang w:eastAsia="hr-HR"/>
        </w:rPr>
        <w:t>Republici Hrvatskoj je za obnovu stambenog sektora do 2020. godine dostupno 100 milijuna eura, od čega je cca 70 milijuna namijenjeno obnovi višestambenih zgrada.</w:t>
      </w:r>
    </w:p>
    <w:p w14:paraId="26385FA2" w14:textId="77777777" w:rsidR="00A75FB3" w:rsidRPr="003B42DA" w:rsidRDefault="00A75FB3" w:rsidP="00E92750">
      <w:pPr>
        <w:shd w:val="clear" w:color="auto" w:fill="FFFFFF"/>
        <w:spacing w:line="240" w:lineRule="auto"/>
        <w:jc w:val="both"/>
        <w:rPr>
          <w:rFonts w:eastAsia="Times New Roman" w:cstheme="minorHAnsi"/>
          <w:color w:val="222222"/>
          <w:lang w:eastAsia="hr-HR"/>
        </w:rPr>
      </w:pPr>
      <w:r w:rsidRPr="003B42DA">
        <w:rPr>
          <w:rFonts w:eastAsia="Times New Roman" w:cstheme="minorHAnsi"/>
          <w:color w:val="222222"/>
          <w:lang w:eastAsia="hr-HR"/>
        </w:rPr>
        <w:t xml:space="preserve">Poziv na dostavu ponuda je objavilo Ministarstvo graditeljstva i prostornoga uređenja dana </w:t>
      </w:r>
      <w:r w:rsidRPr="003B42DA">
        <w:rPr>
          <w:rFonts w:eastAsia="Times New Roman" w:cstheme="minorHAnsi"/>
          <w:bCs/>
          <w:color w:val="222222"/>
          <w:lang w:eastAsia="hr-HR"/>
        </w:rPr>
        <w:t xml:space="preserve">17.10.2016. </w:t>
      </w:r>
      <w:r w:rsidRPr="003B42DA">
        <w:rPr>
          <w:rFonts w:eastAsia="Times New Roman" w:cstheme="minorHAnsi"/>
          <w:color w:val="222222"/>
          <w:lang w:eastAsia="hr-HR"/>
        </w:rPr>
        <w:t xml:space="preserve">Budžet prvog poziva dostupan prijaviteljima je </w:t>
      </w:r>
      <w:r w:rsidRPr="003B42DA">
        <w:rPr>
          <w:rFonts w:eastAsia="Times New Roman" w:cstheme="minorHAnsi"/>
          <w:bCs/>
          <w:color w:val="222222"/>
          <w:lang w:eastAsia="hr-HR"/>
        </w:rPr>
        <w:t>147 440 000 kuna,</w:t>
      </w:r>
      <w:r w:rsidRPr="003B42DA">
        <w:rPr>
          <w:rFonts w:eastAsia="Times New Roman" w:cstheme="minorHAnsi"/>
          <w:color w:val="222222"/>
          <w:lang w:eastAsia="hr-HR"/>
        </w:rPr>
        <w:t xml:space="preserve"> a projekti obnove će biti sufinancirani sa </w:t>
      </w:r>
      <w:r w:rsidRPr="003B42DA">
        <w:rPr>
          <w:rFonts w:eastAsia="Times New Roman" w:cstheme="minorHAnsi"/>
          <w:bCs/>
          <w:color w:val="222222"/>
          <w:lang w:eastAsia="hr-HR"/>
        </w:rPr>
        <w:t>60%</w:t>
      </w:r>
      <w:r w:rsidRPr="003B42DA">
        <w:rPr>
          <w:rFonts w:eastAsia="Times New Roman" w:cstheme="minorHAnsi"/>
          <w:color w:val="222222"/>
          <w:lang w:eastAsia="hr-HR"/>
        </w:rPr>
        <w:t>, neovisno o lokaciji, uz ograničenje maksimalnog iznosa poticaja na 13 milijuna kuna po projektu.</w:t>
      </w:r>
    </w:p>
    <w:p w14:paraId="5BB9A3D7" w14:textId="77777777" w:rsidR="00A75FB3" w:rsidRPr="003B42DA" w:rsidRDefault="00A75FB3" w:rsidP="00E92750">
      <w:pPr>
        <w:shd w:val="clear" w:color="auto" w:fill="FFFFFF"/>
        <w:spacing w:line="240" w:lineRule="auto"/>
        <w:jc w:val="both"/>
        <w:rPr>
          <w:rFonts w:eastAsia="Times New Roman" w:cstheme="minorHAnsi"/>
          <w:color w:val="222222"/>
          <w:lang w:eastAsia="hr-HR"/>
        </w:rPr>
      </w:pPr>
      <w:r w:rsidRPr="003B42DA">
        <w:rPr>
          <w:rFonts w:eastAsia="Times New Roman" w:cstheme="minorHAnsi"/>
          <w:color w:val="222222"/>
          <w:lang w:eastAsia="hr-HR"/>
        </w:rPr>
        <w:t>Energetski pregledi i izrada energetskih certifikata te izrada projektne dokumentacije će biti sufinancirani s 85%.</w:t>
      </w:r>
    </w:p>
    <w:p w14:paraId="51D2FE67" w14:textId="71FD4FA4" w:rsidR="004F23EA" w:rsidRDefault="00A75FB3" w:rsidP="004F23EA">
      <w:pPr>
        <w:spacing w:line="240" w:lineRule="auto"/>
        <w:jc w:val="both"/>
      </w:pPr>
      <w:r w:rsidRPr="003B42DA">
        <w:t xml:space="preserve">U vremenskom periodu na koji se odnosi ovaj dokument u sklopu Javnog natječaj za </w:t>
      </w:r>
      <w:r w:rsidR="00926106">
        <w:rPr>
          <w:lang w:eastAsia="hr-HR"/>
        </w:rPr>
        <w:t>e</w:t>
      </w:r>
      <w:r w:rsidRPr="003B42DA">
        <w:rPr>
          <w:lang w:eastAsia="hr-HR"/>
        </w:rPr>
        <w:t>nergetsku obnovu višestambenih zgrada</w:t>
      </w:r>
      <w:r w:rsidRPr="003B42DA">
        <w:t xml:space="preserve"> 55 zgrada na području Grada Zagreba dobilo je subvencioniranje.</w:t>
      </w:r>
      <w:r w:rsidR="004F23EA">
        <w:t xml:space="preserve"> </w:t>
      </w:r>
      <w:r w:rsidR="00926106">
        <w:t>Od ukupnog broja, u</w:t>
      </w:r>
      <w:r w:rsidR="004F23EA">
        <w:t xml:space="preserve"> trenu donošenja ovog dokumenta</w:t>
      </w:r>
      <w:r w:rsidR="004F23EA" w:rsidRPr="004F23EA">
        <w:t xml:space="preserve"> </w:t>
      </w:r>
      <w:r w:rsidR="004F23EA">
        <w:t xml:space="preserve">energetska obnova </w:t>
      </w:r>
      <w:r w:rsidR="00926106">
        <w:t>je završena n</w:t>
      </w:r>
      <w:r w:rsidR="004F23EA">
        <w:t>a devet višestambenih zgrada (ukupna površina:</w:t>
      </w:r>
      <w:r w:rsidR="00926106">
        <w:t xml:space="preserve"> 10 </w:t>
      </w:r>
      <w:r w:rsidR="004F23EA">
        <w:t>100 m</w:t>
      </w:r>
      <w:r w:rsidR="004F23EA" w:rsidRPr="004F23EA">
        <w:rPr>
          <w:vertAlign w:val="superscript"/>
        </w:rPr>
        <w:t>2</w:t>
      </w:r>
      <w:r w:rsidR="004F23EA">
        <w:t>, ukupna vrijednost projekata 6 500 000 kuna.)</w:t>
      </w:r>
    </w:p>
    <w:p w14:paraId="01E806C7" w14:textId="585AD6EB" w:rsidR="00E84822" w:rsidRPr="003B42DA" w:rsidRDefault="00E84822" w:rsidP="00E92750">
      <w:pPr>
        <w:spacing w:line="240" w:lineRule="auto"/>
        <w:jc w:val="both"/>
        <w:rPr>
          <w:rFonts w:cstheme="minorHAnsi"/>
          <w:b/>
        </w:rPr>
      </w:pPr>
      <w:r w:rsidRPr="003B42DA">
        <w:rPr>
          <w:rFonts w:cstheme="minorHAnsi"/>
          <w:b/>
        </w:rPr>
        <w:t>Spin City</w:t>
      </w:r>
    </w:p>
    <w:p w14:paraId="2FF3EBAF" w14:textId="0905FE2A" w:rsidR="00E84822" w:rsidRPr="003B42DA" w:rsidRDefault="00E84822" w:rsidP="00E92750">
      <w:pPr>
        <w:spacing w:line="240" w:lineRule="auto"/>
        <w:jc w:val="both"/>
        <w:rPr>
          <w:rFonts w:cstheme="minorHAnsi"/>
        </w:rPr>
      </w:pPr>
      <w:r w:rsidRPr="003B42DA">
        <w:rPr>
          <w:rFonts w:cstheme="minorHAnsi"/>
        </w:rPr>
        <w:t xml:space="preserve">Spin City je car sharing usluga koja svojim članovima omogućava jednostavan pristup automobilu. Vozilo </w:t>
      </w:r>
      <w:r w:rsidR="00E7082A" w:rsidRPr="003B42DA">
        <w:rPr>
          <w:rFonts w:cstheme="minorHAnsi"/>
        </w:rPr>
        <w:t>se može</w:t>
      </w:r>
      <w:r w:rsidRPr="003B42DA">
        <w:rPr>
          <w:rFonts w:cstheme="minorHAnsi"/>
        </w:rPr>
        <w:t xml:space="preserve"> preuzeti unutar Spin City zon</w:t>
      </w:r>
      <w:r w:rsidR="007124AA" w:rsidRPr="003B42DA">
        <w:rPr>
          <w:rFonts w:cstheme="minorHAnsi"/>
        </w:rPr>
        <w:t>e, voziti ga</w:t>
      </w:r>
      <w:r w:rsidRPr="003B42DA">
        <w:rPr>
          <w:rFonts w:cstheme="minorHAnsi"/>
        </w:rPr>
        <w:t xml:space="preserve"> i ostaviti na bilo kojem parkirališnome mjestu unutar te zone.</w:t>
      </w:r>
    </w:p>
    <w:p w14:paraId="6003AB77" w14:textId="28850C80" w:rsidR="007124AA" w:rsidRPr="003B42DA" w:rsidRDefault="000437E2" w:rsidP="00E92750">
      <w:pPr>
        <w:spacing w:line="240" w:lineRule="auto"/>
        <w:jc w:val="both"/>
        <w:rPr>
          <w:b/>
        </w:rPr>
      </w:pPr>
      <w:r>
        <w:rPr>
          <w:b/>
        </w:rPr>
        <w:t>ELENA ZAGREB</w:t>
      </w:r>
    </w:p>
    <w:p w14:paraId="1CF78E1B" w14:textId="1A6EF940" w:rsidR="007124AA" w:rsidRPr="003B42DA" w:rsidRDefault="007124AA" w:rsidP="00E92750">
      <w:pPr>
        <w:spacing w:line="240" w:lineRule="auto"/>
        <w:jc w:val="both"/>
        <w:rPr>
          <w:rFonts w:cstheme="minorHAnsi"/>
        </w:rPr>
      </w:pPr>
      <w:r w:rsidRPr="003B42DA">
        <w:rPr>
          <w:rFonts w:cstheme="minorHAnsi"/>
        </w:rPr>
        <w:t>Pregled očekivanih rezultata provedbe modernizacije javne rasvjete dan je u nastavku:</w:t>
      </w:r>
    </w:p>
    <w:p w14:paraId="0EE1634C" w14:textId="41201ED7" w:rsidR="007124AA" w:rsidRPr="003B42DA" w:rsidRDefault="007124AA" w:rsidP="00EE7021">
      <w:pPr>
        <w:pStyle w:val="ListParagraph"/>
        <w:numPr>
          <w:ilvl w:val="0"/>
          <w:numId w:val="48"/>
        </w:numPr>
        <w:spacing w:line="240" w:lineRule="auto"/>
        <w:jc w:val="both"/>
        <w:rPr>
          <w:rFonts w:asciiTheme="minorHAnsi" w:hAnsiTheme="minorHAnsi" w:cstheme="minorHAnsi"/>
        </w:rPr>
      </w:pPr>
      <w:r w:rsidRPr="003B42DA">
        <w:rPr>
          <w:rFonts w:asciiTheme="minorHAnsi" w:hAnsiTheme="minorHAnsi" w:cstheme="minorHAnsi"/>
        </w:rPr>
        <w:t>Očekivani troškovi provedbe: 50 milijuna EUR;</w:t>
      </w:r>
    </w:p>
    <w:p w14:paraId="52AC9014" w14:textId="562B2B08" w:rsidR="007124AA" w:rsidRPr="003B42DA" w:rsidRDefault="007124AA" w:rsidP="00EE7021">
      <w:pPr>
        <w:pStyle w:val="ListParagraph"/>
        <w:numPr>
          <w:ilvl w:val="0"/>
          <w:numId w:val="48"/>
        </w:numPr>
        <w:spacing w:line="240" w:lineRule="auto"/>
        <w:jc w:val="both"/>
        <w:rPr>
          <w:rFonts w:asciiTheme="minorHAnsi" w:hAnsiTheme="minorHAnsi" w:cstheme="minorHAnsi"/>
        </w:rPr>
      </w:pPr>
      <w:r w:rsidRPr="003B42DA">
        <w:rPr>
          <w:rFonts w:asciiTheme="minorHAnsi" w:hAnsiTheme="minorHAnsi" w:cstheme="minorHAnsi"/>
        </w:rPr>
        <w:t>Očekivani troškovi/rasvjetno tijelo: 900 EUR;</w:t>
      </w:r>
    </w:p>
    <w:p w14:paraId="084BF434" w14:textId="64240D9D" w:rsidR="007124AA" w:rsidRPr="003B42DA" w:rsidRDefault="007124AA" w:rsidP="00EE7021">
      <w:pPr>
        <w:pStyle w:val="ListParagraph"/>
        <w:numPr>
          <w:ilvl w:val="0"/>
          <w:numId w:val="48"/>
        </w:numPr>
        <w:spacing w:line="240" w:lineRule="auto"/>
        <w:jc w:val="both"/>
        <w:rPr>
          <w:rFonts w:asciiTheme="minorHAnsi" w:hAnsiTheme="minorHAnsi" w:cstheme="minorHAnsi"/>
        </w:rPr>
      </w:pPr>
      <w:r w:rsidRPr="003B42DA">
        <w:rPr>
          <w:rFonts w:asciiTheme="minorHAnsi" w:hAnsiTheme="minorHAnsi" w:cstheme="minorHAnsi"/>
        </w:rPr>
        <w:t>Očekivane energetske uštede: 30 000 MWh;</w:t>
      </w:r>
    </w:p>
    <w:p w14:paraId="1D55355A" w14:textId="236C9014" w:rsidR="007124AA" w:rsidRPr="003B42DA" w:rsidRDefault="007124AA" w:rsidP="00EE7021">
      <w:pPr>
        <w:pStyle w:val="ListParagraph"/>
        <w:numPr>
          <w:ilvl w:val="0"/>
          <w:numId w:val="48"/>
        </w:numPr>
        <w:spacing w:line="240" w:lineRule="auto"/>
        <w:jc w:val="both"/>
        <w:rPr>
          <w:rFonts w:asciiTheme="minorHAnsi" w:hAnsiTheme="minorHAnsi" w:cstheme="minorHAnsi"/>
        </w:rPr>
      </w:pPr>
      <w:r w:rsidRPr="003B42DA">
        <w:rPr>
          <w:rFonts w:asciiTheme="minorHAnsi" w:hAnsiTheme="minorHAnsi" w:cstheme="minorHAnsi"/>
        </w:rPr>
        <w:t xml:space="preserve">Očekivano smanjenje emisije: </w:t>
      </w:r>
      <w:r w:rsidR="008C6CBE" w:rsidRPr="003B42DA">
        <w:rPr>
          <w:rFonts w:asciiTheme="minorHAnsi" w:hAnsiTheme="minorHAnsi" w:cstheme="minorHAnsi"/>
        </w:rPr>
        <w:t xml:space="preserve">10 000 </w:t>
      </w:r>
      <w:r w:rsidRPr="003B42DA">
        <w:rPr>
          <w:rFonts w:asciiTheme="minorHAnsi" w:hAnsiTheme="minorHAnsi" w:cstheme="minorHAnsi"/>
        </w:rPr>
        <w:t>t CO</w:t>
      </w:r>
      <w:r w:rsidRPr="003B42DA">
        <w:rPr>
          <w:rFonts w:asciiTheme="minorHAnsi" w:hAnsiTheme="minorHAnsi" w:cstheme="minorHAnsi"/>
          <w:vertAlign w:val="subscript"/>
        </w:rPr>
        <w:t>2</w:t>
      </w:r>
      <w:r w:rsidR="00BD67D8" w:rsidRPr="003B42DA">
        <w:rPr>
          <w:rFonts w:asciiTheme="minorHAnsi" w:hAnsiTheme="minorHAnsi" w:cstheme="minorHAnsi"/>
        </w:rPr>
        <w:t>;</w:t>
      </w:r>
    </w:p>
    <w:p w14:paraId="2CBB8207" w14:textId="0B6B035C" w:rsidR="004060F9" w:rsidRPr="003B42DA" w:rsidRDefault="004060F9" w:rsidP="00EE7021">
      <w:pPr>
        <w:pStyle w:val="ListParagraph"/>
        <w:numPr>
          <w:ilvl w:val="0"/>
          <w:numId w:val="48"/>
        </w:numPr>
        <w:spacing w:line="240" w:lineRule="auto"/>
        <w:jc w:val="both"/>
        <w:rPr>
          <w:rFonts w:asciiTheme="minorHAnsi" w:hAnsiTheme="minorHAnsi" w:cstheme="minorHAnsi"/>
        </w:rPr>
      </w:pPr>
      <w:r w:rsidRPr="003B42DA">
        <w:rPr>
          <w:rFonts w:asciiTheme="minorHAnsi" w:hAnsiTheme="minorHAnsi" w:cstheme="minorHAnsi"/>
        </w:rPr>
        <w:lastRenderedPageBreak/>
        <w:t>Svjetlosna učinkovitost prije provedbe: 70 lm/W</w:t>
      </w:r>
      <w:r w:rsidR="00BD67D8" w:rsidRPr="003B42DA">
        <w:rPr>
          <w:rFonts w:asciiTheme="minorHAnsi" w:hAnsiTheme="minorHAnsi" w:cstheme="minorHAnsi"/>
        </w:rPr>
        <w:t>;</w:t>
      </w:r>
    </w:p>
    <w:p w14:paraId="44AC99A2" w14:textId="793F0015" w:rsidR="004060F9" w:rsidRPr="003B42DA" w:rsidRDefault="004060F9" w:rsidP="00EE7021">
      <w:pPr>
        <w:pStyle w:val="ListParagraph"/>
        <w:numPr>
          <w:ilvl w:val="0"/>
          <w:numId w:val="48"/>
        </w:numPr>
        <w:spacing w:line="240" w:lineRule="auto"/>
        <w:jc w:val="both"/>
        <w:rPr>
          <w:rFonts w:asciiTheme="minorHAnsi" w:hAnsiTheme="minorHAnsi" w:cstheme="minorHAnsi"/>
        </w:rPr>
      </w:pPr>
      <w:r w:rsidRPr="003B42DA">
        <w:rPr>
          <w:rFonts w:asciiTheme="minorHAnsi" w:hAnsiTheme="minorHAnsi" w:cstheme="minorHAnsi"/>
        </w:rPr>
        <w:t>Svjetlosna učinkovitost nakon provedbe: 110 lm/W.</w:t>
      </w:r>
    </w:p>
    <w:p w14:paraId="1C9A2C3D" w14:textId="5F84D533" w:rsidR="000437E2" w:rsidRDefault="004060F9" w:rsidP="000437E2">
      <w:r w:rsidRPr="003B42DA">
        <w:t>Prikaz p</w:t>
      </w:r>
      <w:r w:rsidR="003D0AD2" w:rsidRPr="003B42DA">
        <w:t>rojekcija očekivanog smanjenja emisije CO</w:t>
      </w:r>
      <w:r w:rsidR="003D0AD2" w:rsidRPr="003B42DA">
        <w:rPr>
          <w:vertAlign w:val="subscript"/>
        </w:rPr>
        <w:t>2</w:t>
      </w:r>
      <w:r w:rsidR="003D0AD2" w:rsidRPr="003B42DA">
        <w:t xml:space="preserve"> u 2020. godini</w:t>
      </w:r>
      <w:r w:rsidR="000437E2">
        <w:t xml:space="preserve"> dan je u dva djela:</w:t>
      </w:r>
    </w:p>
    <w:p w14:paraId="3E511D99" w14:textId="17C06423" w:rsidR="007B74ED" w:rsidRDefault="007B74ED" w:rsidP="00EE7021">
      <w:pPr>
        <w:pStyle w:val="ListParagraph"/>
        <w:numPr>
          <w:ilvl w:val="0"/>
          <w:numId w:val="51"/>
        </w:numPr>
        <w:spacing w:line="240" w:lineRule="auto"/>
        <w:jc w:val="both"/>
      </w:pPr>
      <w:r>
        <w:t>Ostvareno smanjenje emisije CO</w:t>
      </w:r>
      <w:r w:rsidRPr="007B74ED">
        <w:rPr>
          <w:vertAlign w:val="subscript"/>
        </w:rPr>
        <w:t>2</w:t>
      </w:r>
      <w:r>
        <w:t xml:space="preserve"> – prikaz rezultata Analize uspješnosti iz prethodnoga poglavlja i </w:t>
      </w:r>
    </w:p>
    <w:p w14:paraId="07818A38" w14:textId="581DD9C6" w:rsidR="007B74ED" w:rsidRDefault="007B74ED" w:rsidP="00EE7021">
      <w:pPr>
        <w:pStyle w:val="ListParagraph"/>
        <w:numPr>
          <w:ilvl w:val="0"/>
          <w:numId w:val="51"/>
        </w:numPr>
        <w:spacing w:line="240" w:lineRule="auto"/>
        <w:jc w:val="both"/>
      </w:pPr>
      <w:bookmarkStart w:id="432" w:name="_Ref467494991"/>
      <w:r>
        <w:t>Očekivano smanjenje mjera i aktivnosti čija je implementaci</w:t>
      </w:r>
      <w:r w:rsidR="002B6B1C">
        <w:t>ja završena ili u fazi provedbe čiji krajnji učinak se očekuje u 2020. godini.</w:t>
      </w:r>
    </w:p>
    <w:p w14:paraId="1489F6C5" w14:textId="2CBFEFD5" w:rsidR="001816D3" w:rsidRPr="00882DAD" w:rsidRDefault="003D0AD2" w:rsidP="007B74ED">
      <w:pPr>
        <w:spacing w:after="0" w:line="240" w:lineRule="auto"/>
        <w:jc w:val="both"/>
      </w:pPr>
      <w:bookmarkStart w:id="433" w:name="_Toc468277525"/>
      <w:r w:rsidRPr="00882DAD">
        <w:rPr>
          <w:b/>
          <w:bCs/>
        </w:rPr>
        <w:t xml:space="preserve">Tablica </w:t>
      </w:r>
      <w:r w:rsidRPr="00882DAD">
        <w:rPr>
          <w:b/>
          <w:bCs/>
        </w:rPr>
        <w:fldChar w:fldCharType="begin"/>
      </w:r>
      <w:r w:rsidRPr="00882DAD">
        <w:rPr>
          <w:b/>
          <w:bCs/>
        </w:rPr>
        <w:instrText xml:space="preserve"> STYLEREF 1 \s </w:instrText>
      </w:r>
      <w:r w:rsidRPr="00882DAD">
        <w:rPr>
          <w:b/>
          <w:bCs/>
        </w:rPr>
        <w:fldChar w:fldCharType="separate"/>
      </w:r>
      <w:r w:rsidR="009C319B" w:rsidRPr="00882DAD">
        <w:rPr>
          <w:b/>
          <w:bCs/>
          <w:noProof/>
        </w:rPr>
        <w:t>10</w:t>
      </w:r>
      <w:r w:rsidRPr="00882DAD">
        <w:rPr>
          <w:b/>
          <w:bCs/>
          <w:noProof/>
        </w:rPr>
        <w:fldChar w:fldCharType="end"/>
      </w:r>
      <w:r w:rsidRPr="00882DAD">
        <w:rPr>
          <w:b/>
          <w:bCs/>
        </w:rPr>
        <w:t>.</w:t>
      </w:r>
      <w:r w:rsidRPr="00882DAD">
        <w:rPr>
          <w:b/>
          <w:bCs/>
        </w:rPr>
        <w:fldChar w:fldCharType="begin"/>
      </w:r>
      <w:r w:rsidRPr="00882DAD">
        <w:rPr>
          <w:b/>
          <w:bCs/>
        </w:rPr>
        <w:instrText xml:space="preserve"> SEQ Tablica \* ARABIC \s 1 </w:instrText>
      </w:r>
      <w:r w:rsidRPr="00882DAD">
        <w:rPr>
          <w:b/>
          <w:bCs/>
        </w:rPr>
        <w:fldChar w:fldCharType="separate"/>
      </w:r>
      <w:r w:rsidR="009C319B" w:rsidRPr="00882DAD">
        <w:rPr>
          <w:b/>
          <w:bCs/>
          <w:noProof/>
        </w:rPr>
        <w:t>1</w:t>
      </w:r>
      <w:r w:rsidRPr="00882DAD">
        <w:rPr>
          <w:b/>
          <w:bCs/>
          <w:noProof/>
        </w:rPr>
        <w:fldChar w:fldCharType="end"/>
      </w:r>
      <w:bookmarkEnd w:id="432"/>
      <w:r w:rsidRPr="00882DAD">
        <w:rPr>
          <w:b/>
          <w:bCs/>
          <w:noProof/>
        </w:rPr>
        <w:t xml:space="preserve"> </w:t>
      </w:r>
      <w:r w:rsidRPr="00882DAD">
        <w:rPr>
          <w:bCs/>
          <w:noProof/>
        </w:rPr>
        <w:t>Projekcije smanjenja emisije CO</w:t>
      </w:r>
      <w:r w:rsidRPr="00882DAD">
        <w:rPr>
          <w:bCs/>
          <w:noProof/>
          <w:vertAlign w:val="subscript"/>
        </w:rPr>
        <w:t>2</w:t>
      </w:r>
      <w:r w:rsidRPr="00882DAD">
        <w:rPr>
          <w:bCs/>
          <w:noProof/>
        </w:rPr>
        <w:t xml:space="preserve"> u 2020. godini</w:t>
      </w:r>
      <w:bookmarkEnd w:id="433"/>
      <w:r w:rsidR="006D244E" w:rsidRPr="00882DAD">
        <w:rPr>
          <w:bCs/>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8"/>
        <w:gridCol w:w="1385"/>
        <w:gridCol w:w="1658"/>
        <w:gridCol w:w="2039"/>
      </w:tblGrid>
      <w:tr w:rsidR="00D51314" w:rsidRPr="00D51314" w14:paraId="3C70750E" w14:textId="77777777" w:rsidTr="00D51314">
        <w:trPr>
          <w:trHeight w:val="525"/>
        </w:trPr>
        <w:tc>
          <w:tcPr>
            <w:tcW w:w="2195" w:type="pct"/>
            <w:shd w:val="clear" w:color="000000" w:fill="D9D9D9"/>
            <w:noWrap/>
            <w:hideMark/>
          </w:tcPr>
          <w:p w14:paraId="2F07929F" w14:textId="77777777" w:rsidR="00D51314" w:rsidRPr="00D51314" w:rsidRDefault="00D51314" w:rsidP="00D51314">
            <w:pPr>
              <w:spacing w:after="0" w:line="240" w:lineRule="auto"/>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SEKTORI I PODSEKTORI</w:t>
            </w:r>
          </w:p>
        </w:tc>
        <w:tc>
          <w:tcPr>
            <w:tcW w:w="764" w:type="pct"/>
            <w:shd w:val="clear" w:color="000000" w:fill="D9D9D9"/>
            <w:hideMark/>
          </w:tcPr>
          <w:p w14:paraId="5090B8E0" w14:textId="77777777"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Ostvareno smanjenje emisije, t CO</w:t>
            </w:r>
            <w:r w:rsidRPr="00D51314">
              <w:rPr>
                <w:rFonts w:ascii="Calibri" w:eastAsia="Times New Roman" w:hAnsi="Calibri" w:cs="Calibri"/>
                <w:b/>
                <w:bCs/>
                <w:color w:val="000000"/>
                <w:sz w:val="20"/>
                <w:szCs w:val="20"/>
                <w:vertAlign w:val="subscript"/>
                <w:lang w:eastAsia="hr-HR"/>
              </w:rPr>
              <w:t>2</w:t>
            </w:r>
          </w:p>
        </w:tc>
        <w:tc>
          <w:tcPr>
            <w:tcW w:w="915" w:type="pct"/>
            <w:shd w:val="clear" w:color="000000" w:fill="D9D9D9"/>
            <w:hideMark/>
          </w:tcPr>
          <w:p w14:paraId="5B113E6B" w14:textId="77777777"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Smanjenje emisije, t CO</w:t>
            </w:r>
            <w:r w:rsidRPr="00D51314">
              <w:rPr>
                <w:rFonts w:ascii="Calibri" w:eastAsia="Times New Roman" w:hAnsi="Calibri" w:cs="Calibri"/>
                <w:b/>
                <w:bCs/>
                <w:color w:val="000000"/>
                <w:sz w:val="20"/>
                <w:szCs w:val="20"/>
                <w:vertAlign w:val="subscript"/>
                <w:lang w:eastAsia="hr-HR"/>
              </w:rPr>
              <w:t>2</w:t>
            </w:r>
            <w:r w:rsidRPr="00D51314">
              <w:rPr>
                <w:rFonts w:ascii="Calibri" w:eastAsia="Times New Roman" w:hAnsi="Calibri" w:cs="Calibri"/>
                <w:b/>
                <w:bCs/>
                <w:color w:val="000000"/>
                <w:sz w:val="20"/>
                <w:szCs w:val="20"/>
                <w:lang w:eastAsia="hr-HR"/>
              </w:rPr>
              <w:t xml:space="preserve"> za mjere u provedbi</w:t>
            </w:r>
          </w:p>
        </w:tc>
        <w:tc>
          <w:tcPr>
            <w:tcW w:w="1125" w:type="pct"/>
            <w:shd w:val="clear" w:color="000000" w:fill="D9D9D9"/>
            <w:hideMark/>
          </w:tcPr>
          <w:p w14:paraId="3F946EEE" w14:textId="77777777"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Projekcija ostvarenog smanjenja emisije t CO</w:t>
            </w:r>
            <w:r w:rsidRPr="00D51314">
              <w:rPr>
                <w:rFonts w:ascii="Calibri" w:eastAsia="Times New Roman" w:hAnsi="Calibri" w:cs="Calibri"/>
                <w:b/>
                <w:bCs/>
                <w:color w:val="000000"/>
                <w:sz w:val="20"/>
                <w:szCs w:val="20"/>
                <w:vertAlign w:val="subscript"/>
                <w:lang w:eastAsia="hr-HR"/>
              </w:rPr>
              <w:t>2</w:t>
            </w:r>
            <w:r w:rsidRPr="00D51314">
              <w:rPr>
                <w:rFonts w:ascii="Calibri" w:eastAsia="Times New Roman" w:hAnsi="Calibri" w:cs="Calibri"/>
                <w:b/>
                <w:bCs/>
                <w:color w:val="000000"/>
                <w:sz w:val="20"/>
                <w:szCs w:val="20"/>
                <w:lang w:eastAsia="hr-HR"/>
              </w:rPr>
              <w:t>, 2020. godina</w:t>
            </w:r>
          </w:p>
        </w:tc>
      </w:tr>
      <w:tr w:rsidR="00D51314" w:rsidRPr="00D51314" w14:paraId="4CB32E94" w14:textId="77777777" w:rsidTr="00D51314">
        <w:trPr>
          <w:trHeight w:val="255"/>
        </w:trPr>
        <w:tc>
          <w:tcPr>
            <w:tcW w:w="2195" w:type="pct"/>
            <w:shd w:val="clear" w:color="auto" w:fill="auto"/>
            <w:vAlign w:val="bottom"/>
            <w:hideMark/>
          </w:tcPr>
          <w:p w14:paraId="414776B3" w14:textId="77777777" w:rsidR="00D51314" w:rsidRPr="00D51314" w:rsidRDefault="00D51314" w:rsidP="00D51314">
            <w:pPr>
              <w:spacing w:after="0" w:line="240" w:lineRule="auto"/>
              <w:rPr>
                <w:rFonts w:ascii="Calibri" w:eastAsia="Times New Roman" w:hAnsi="Calibri" w:cs="Calibri"/>
                <w:color w:val="000000"/>
                <w:sz w:val="20"/>
                <w:szCs w:val="20"/>
                <w:lang w:eastAsia="hr-HR"/>
              </w:rPr>
            </w:pPr>
            <w:r w:rsidRPr="00D51314">
              <w:rPr>
                <w:rFonts w:ascii="Calibri" w:eastAsia="Times New Roman" w:hAnsi="Calibri" w:cs="Calibri"/>
                <w:color w:val="000000"/>
                <w:sz w:val="20"/>
                <w:szCs w:val="20"/>
                <w:lang w:eastAsia="hr-HR"/>
              </w:rPr>
              <w:t>ZGRADE U VLASNIŠTVU GRADA ZAGREBA</w:t>
            </w:r>
          </w:p>
        </w:tc>
        <w:tc>
          <w:tcPr>
            <w:tcW w:w="764" w:type="pct"/>
            <w:shd w:val="clear" w:color="auto" w:fill="auto"/>
            <w:noWrap/>
            <w:vAlign w:val="bottom"/>
            <w:hideMark/>
          </w:tcPr>
          <w:p w14:paraId="6DA177FB" w14:textId="18263ECB"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25 </w:t>
            </w:r>
            <w:r w:rsidRPr="00D51314">
              <w:rPr>
                <w:rFonts w:ascii="Calibri" w:eastAsia="Times New Roman" w:hAnsi="Calibri" w:cs="Calibri"/>
                <w:color w:val="000000"/>
                <w:sz w:val="20"/>
                <w:szCs w:val="20"/>
                <w:lang w:eastAsia="hr-HR"/>
              </w:rPr>
              <w:t>377,95</w:t>
            </w:r>
          </w:p>
        </w:tc>
        <w:tc>
          <w:tcPr>
            <w:tcW w:w="915" w:type="pct"/>
            <w:shd w:val="clear" w:color="auto" w:fill="auto"/>
            <w:noWrap/>
            <w:vAlign w:val="bottom"/>
            <w:hideMark/>
          </w:tcPr>
          <w:p w14:paraId="6684D8E9" w14:textId="2B5711AD"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14 </w:t>
            </w:r>
            <w:r w:rsidRPr="00D51314">
              <w:rPr>
                <w:rFonts w:ascii="Calibri" w:eastAsia="Times New Roman" w:hAnsi="Calibri" w:cs="Calibri"/>
                <w:color w:val="000000"/>
                <w:sz w:val="20"/>
                <w:szCs w:val="20"/>
                <w:lang w:eastAsia="hr-HR"/>
              </w:rPr>
              <w:t>382,16</w:t>
            </w:r>
          </w:p>
        </w:tc>
        <w:tc>
          <w:tcPr>
            <w:tcW w:w="1125" w:type="pct"/>
            <w:shd w:val="clear" w:color="auto" w:fill="auto"/>
            <w:noWrap/>
            <w:vAlign w:val="bottom"/>
            <w:hideMark/>
          </w:tcPr>
          <w:p w14:paraId="11823EE2" w14:textId="62C33068"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39 </w:t>
            </w:r>
            <w:r w:rsidRPr="00D51314">
              <w:rPr>
                <w:rFonts w:ascii="Calibri" w:eastAsia="Times New Roman" w:hAnsi="Calibri" w:cs="Calibri"/>
                <w:color w:val="000000"/>
                <w:sz w:val="20"/>
                <w:szCs w:val="20"/>
                <w:lang w:eastAsia="hr-HR"/>
              </w:rPr>
              <w:t>760,11</w:t>
            </w:r>
          </w:p>
        </w:tc>
      </w:tr>
      <w:tr w:rsidR="00D51314" w:rsidRPr="00D51314" w14:paraId="51B3C0CC" w14:textId="77777777" w:rsidTr="00D51314">
        <w:trPr>
          <w:trHeight w:val="255"/>
        </w:trPr>
        <w:tc>
          <w:tcPr>
            <w:tcW w:w="2195" w:type="pct"/>
            <w:shd w:val="clear" w:color="auto" w:fill="auto"/>
            <w:vAlign w:val="bottom"/>
            <w:hideMark/>
          </w:tcPr>
          <w:p w14:paraId="110ED2BD" w14:textId="77777777" w:rsidR="00D51314" w:rsidRPr="00D51314" w:rsidRDefault="00D51314" w:rsidP="00D51314">
            <w:pPr>
              <w:spacing w:after="0" w:line="240" w:lineRule="auto"/>
              <w:rPr>
                <w:rFonts w:ascii="Calibri" w:eastAsia="Times New Roman" w:hAnsi="Calibri" w:cs="Calibri"/>
                <w:color w:val="000000"/>
                <w:sz w:val="20"/>
                <w:szCs w:val="20"/>
                <w:lang w:eastAsia="hr-HR"/>
              </w:rPr>
            </w:pPr>
            <w:r w:rsidRPr="00D51314">
              <w:rPr>
                <w:rFonts w:ascii="Calibri" w:eastAsia="Times New Roman" w:hAnsi="Calibri" w:cs="Calibri"/>
                <w:color w:val="000000"/>
                <w:sz w:val="20"/>
                <w:szCs w:val="20"/>
                <w:lang w:eastAsia="hr-HR"/>
              </w:rPr>
              <w:t>KUĆANSTVA</w:t>
            </w:r>
          </w:p>
        </w:tc>
        <w:tc>
          <w:tcPr>
            <w:tcW w:w="764" w:type="pct"/>
            <w:shd w:val="clear" w:color="auto" w:fill="auto"/>
            <w:noWrap/>
            <w:vAlign w:val="bottom"/>
            <w:hideMark/>
          </w:tcPr>
          <w:p w14:paraId="00B75084" w14:textId="03D36D16"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134 </w:t>
            </w:r>
            <w:r w:rsidRPr="00D51314">
              <w:rPr>
                <w:rFonts w:ascii="Calibri" w:eastAsia="Times New Roman" w:hAnsi="Calibri" w:cs="Calibri"/>
                <w:color w:val="000000"/>
                <w:sz w:val="20"/>
                <w:szCs w:val="20"/>
                <w:lang w:eastAsia="hr-HR"/>
              </w:rPr>
              <w:t>437,13</w:t>
            </w:r>
          </w:p>
        </w:tc>
        <w:tc>
          <w:tcPr>
            <w:tcW w:w="915" w:type="pct"/>
            <w:shd w:val="clear" w:color="auto" w:fill="auto"/>
            <w:noWrap/>
            <w:vAlign w:val="bottom"/>
            <w:hideMark/>
          </w:tcPr>
          <w:p w14:paraId="13987FBE" w14:textId="5FDCB924"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88 </w:t>
            </w:r>
            <w:r w:rsidRPr="00D51314">
              <w:rPr>
                <w:rFonts w:ascii="Calibri" w:eastAsia="Times New Roman" w:hAnsi="Calibri" w:cs="Calibri"/>
                <w:color w:val="000000"/>
                <w:sz w:val="20"/>
                <w:szCs w:val="20"/>
                <w:lang w:eastAsia="hr-HR"/>
              </w:rPr>
              <w:t>861,87</w:t>
            </w:r>
          </w:p>
        </w:tc>
        <w:tc>
          <w:tcPr>
            <w:tcW w:w="1125" w:type="pct"/>
            <w:shd w:val="clear" w:color="auto" w:fill="auto"/>
            <w:noWrap/>
            <w:vAlign w:val="bottom"/>
            <w:hideMark/>
          </w:tcPr>
          <w:p w14:paraId="5C6960CF" w14:textId="28B55E9E"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223 </w:t>
            </w:r>
            <w:r w:rsidRPr="00D51314">
              <w:rPr>
                <w:rFonts w:ascii="Calibri" w:eastAsia="Times New Roman" w:hAnsi="Calibri" w:cs="Calibri"/>
                <w:color w:val="000000"/>
                <w:sz w:val="20"/>
                <w:szCs w:val="20"/>
                <w:lang w:eastAsia="hr-HR"/>
              </w:rPr>
              <w:t>299,00</w:t>
            </w:r>
          </w:p>
        </w:tc>
      </w:tr>
      <w:tr w:rsidR="00D51314" w:rsidRPr="00D51314" w14:paraId="7AD52323" w14:textId="77777777" w:rsidTr="00D51314">
        <w:trPr>
          <w:trHeight w:val="255"/>
        </w:trPr>
        <w:tc>
          <w:tcPr>
            <w:tcW w:w="2195" w:type="pct"/>
            <w:shd w:val="clear" w:color="auto" w:fill="auto"/>
            <w:vAlign w:val="bottom"/>
            <w:hideMark/>
          </w:tcPr>
          <w:p w14:paraId="77F8414D" w14:textId="77777777" w:rsidR="00D51314" w:rsidRPr="00D51314" w:rsidRDefault="00D51314" w:rsidP="00D51314">
            <w:pPr>
              <w:spacing w:after="0" w:line="240" w:lineRule="auto"/>
              <w:rPr>
                <w:rFonts w:ascii="Calibri" w:eastAsia="Times New Roman" w:hAnsi="Calibri" w:cs="Calibri"/>
                <w:color w:val="000000"/>
                <w:sz w:val="20"/>
                <w:szCs w:val="20"/>
                <w:lang w:eastAsia="hr-HR"/>
              </w:rPr>
            </w:pPr>
            <w:r w:rsidRPr="00D51314">
              <w:rPr>
                <w:rFonts w:ascii="Calibri" w:eastAsia="Times New Roman" w:hAnsi="Calibri" w:cs="Calibri"/>
                <w:color w:val="000000"/>
                <w:sz w:val="20"/>
                <w:szCs w:val="20"/>
                <w:lang w:eastAsia="hr-HR"/>
              </w:rPr>
              <w:t>ZGRADE KOMERCIJALNIH I USLUŽNIH DJELATNOSTI</w:t>
            </w:r>
          </w:p>
        </w:tc>
        <w:tc>
          <w:tcPr>
            <w:tcW w:w="764" w:type="pct"/>
            <w:shd w:val="clear" w:color="auto" w:fill="auto"/>
            <w:noWrap/>
            <w:vAlign w:val="bottom"/>
            <w:hideMark/>
          </w:tcPr>
          <w:p w14:paraId="09EE1618" w14:textId="6F0F154E"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49 </w:t>
            </w:r>
            <w:r w:rsidRPr="00D51314">
              <w:rPr>
                <w:rFonts w:ascii="Calibri" w:eastAsia="Times New Roman" w:hAnsi="Calibri" w:cs="Calibri"/>
                <w:color w:val="000000"/>
                <w:sz w:val="20"/>
                <w:szCs w:val="20"/>
                <w:lang w:eastAsia="hr-HR"/>
              </w:rPr>
              <w:t>300,77</w:t>
            </w:r>
          </w:p>
        </w:tc>
        <w:tc>
          <w:tcPr>
            <w:tcW w:w="915" w:type="pct"/>
            <w:shd w:val="clear" w:color="auto" w:fill="auto"/>
            <w:noWrap/>
            <w:vAlign w:val="bottom"/>
            <w:hideMark/>
          </w:tcPr>
          <w:p w14:paraId="0DD25896" w14:textId="4140250A"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61 </w:t>
            </w:r>
            <w:r w:rsidRPr="00D51314">
              <w:rPr>
                <w:rFonts w:ascii="Calibri" w:eastAsia="Times New Roman" w:hAnsi="Calibri" w:cs="Calibri"/>
                <w:color w:val="000000"/>
                <w:sz w:val="20"/>
                <w:szCs w:val="20"/>
                <w:lang w:eastAsia="hr-HR"/>
              </w:rPr>
              <w:t>684,46</w:t>
            </w:r>
          </w:p>
        </w:tc>
        <w:tc>
          <w:tcPr>
            <w:tcW w:w="1125" w:type="pct"/>
            <w:shd w:val="clear" w:color="auto" w:fill="auto"/>
            <w:noWrap/>
            <w:vAlign w:val="bottom"/>
            <w:hideMark/>
          </w:tcPr>
          <w:p w14:paraId="599D1901" w14:textId="5B8EEB1E"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110 </w:t>
            </w:r>
            <w:r w:rsidRPr="00D51314">
              <w:rPr>
                <w:rFonts w:ascii="Calibri" w:eastAsia="Times New Roman" w:hAnsi="Calibri" w:cs="Calibri"/>
                <w:color w:val="000000"/>
                <w:sz w:val="20"/>
                <w:szCs w:val="20"/>
                <w:lang w:eastAsia="hr-HR"/>
              </w:rPr>
              <w:t>985,23</w:t>
            </w:r>
          </w:p>
        </w:tc>
      </w:tr>
      <w:tr w:rsidR="00D51314" w:rsidRPr="00D51314" w14:paraId="47D762BE" w14:textId="77777777" w:rsidTr="00D51314">
        <w:trPr>
          <w:trHeight w:val="255"/>
        </w:trPr>
        <w:tc>
          <w:tcPr>
            <w:tcW w:w="2195" w:type="pct"/>
            <w:shd w:val="clear" w:color="000000" w:fill="D9D9D9"/>
            <w:noWrap/>
            <w:vAlign w:val="bottom"/>
            <w:hideMark/>
          </w:tcPr>
          <w:p w14:paraId="5DB1E582" w14:textId="77777777" w:rsidR="00D51314" w:rsidRPr="00D51314" w:rsidRDefault="00D51314" w:rsidP="00D51314">
            <w:pPr>
              <w:spacing w:after="0" w:line="240" w:lineRule="auto"/>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UKUPNO ZGRADARSTVO</w:t>
            </w:r>
          </w:p>
        </w:tc>
        <w:tc>
          <w:tcPr>
            <w:tcW w:w="764" w:type="pct"/>
            <w:shd w:val="clear" w:color="000000" w:fill="D9D9D9"/>
            <w:noWrap/>
            <w:vAlign w:val="bottom"/>
            <w:hideMark/>
          </w:tcPr>
          <w:p w14:paraId="0CBE865E" w14:textId="4BA50201"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209 </w:t>
            </w:r>
            <w:r w:rsidRPr="00D51314">
              <w:rPr>
                <w:rFonts w:ascii="Calibri" w:eastAsia="Times New Roman" w:hAnsi="Calibri" w:cs="Calibri"/>
                <w:b/>
                <w:bCs/>
                <w:color w:val="000000"/>
                <w:sz w:val="20"/>
                <w:szCs w:val="20"/>
                <w:lang w:eastAsia="hr-HR"/>
              </w:rPr>
              <w:t>115,86</w:t>
            </w:r>
          </w:p>
        </w:tc>
        <w:tc>
          <w:tcPr>
            <w:tcW w:w="915" w:type="pct"/>
            <w:shd w:val="clear" w:color="000000" w:fill="D9D9D9"/>
            <w:noWrap/>
            <w:vAlign w:val="bottom"/>
            <w:hideMark/>
          </w:tcPr>
          <w:p w14:paraId="04358B56" w14:textId="09E7D276"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164 </w:t>
            </w:r>
            <w:r w:rsidRPr="00D51314">
              <w:rPr>
                <w:rFonts w:ascii="Calibri" w:eastAsia="Times New Roman" w:hAnsi="Calibri" w:cs="Calibri"/>
                <w:b/>
                <w:bCs/>
                <w:color w:val="000000"/>
                <w:sz w:val="20"/>
                <w:szCs w:val="20"/>
                <w:lang w:eastAsia="hr-HR"/>
              </w:rPr>
              <w:t>928,49</w:t>
            </w:r>
          </w:p>
        </w:tc>
        <w:tc>
          <w:tcPr>
            <w:tcW w:w="1125" w:type="pct"/>
            <w:shd w:val="clear" w:color="000000" w:fill="D9D9D9"/>
            <w:noWrap/>
            <w:vAlign w:val="bottom"/>
            <w:hideMark/>
          </w:tcPr>
          <w:p w14:paraId="152F04C9" w14:textId="3DC52607"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374 </w:t>
            </w:r>
            <w:r w:rsidRPr="00D51314">
              <w:rPr>
                <w:rFonts w:ascii="Calibri" w:eastAsia="Times New Roman" w:hAnsi="Calibri" w:cs="Calibri"/>
                <w:b/>
                <w:bCs/>
                <w:color w:val="000000"/>
                <w:sz w:val="20"/>
                <w:szCs w:val="20"/>
                <w:lang w:eastAsia="hr-HR"/>
              </w:rPr>
              <w:t>044,35</w:t>
            </w:r>
          </w:p>
        </w:tc>
      </w:tr>
      <w:tr w:rsidR="00D51314" w:rsidRPr="00D51314" w14:paraId="3F58044F" w14:textId="77777777" w:rsidTr="00D51314">
        <w:trPr>
          <w:trHeight w:val="255"/>
        </w:trPr>
        <w:tc>
          <w:tcPr>
            <w:tcW w:w="2195" w:type="pct"/>
            <w:shd w:val="clear" w:color="auto" w:fill="auto"/>
            <w:vAlign w:val="bottom"/>
            <w:hideMark/>
          </w:tcPr>
          <w:p w14:paraId="2CF3F70E" w14:textId="77777777" w:rsidR="00D51314" w:rsidRPr="00D51314" w:rsidRDefault="00D51314" w:rsidP="00D51314">
            <w:pPr>
              <w:spacing w:after="0" w:line="240" w:lineRule="auto"/>
              <w:rPr>
                <w:rFonts w:ascii="Calibri" w:eastAsia="Times New Roman" w:hAnsi="Calibri" w:cs="Calibri"/>
                <w:color w:val="000000"/>
                <w:sz w:val="20"/>
                <w:szCs w:val="20"/>
                <w:lang w:eastAsia="hr-HR"/>
              </w:rPr>
            </w:pPr>
            <w:r w:rsidRPr="00D51314">
              <w:rPr>
                <w:rFonts w:ascii="Calibri" w:eastAsia="Times New Roman" w:hAnsi="Calibri" w:cs="Calibri"/>
                <w:color w:val="000000"/>
                <w:sz w:val="20"/>
                <w:szCs w:val="20"/>
                <w:lang w:eastAsia="hr-HR"/>
              </w:rPr>
              <w:t>VOZILA U VLASNIŠTVU GRADA</w:t>
            </w:r>
          </w:p>
        </w:tc>
        <w:tc>
          <w:tcPr>
            <w:tcW w:w="764" w:type="pct"/>
            <w:shd w:val="clear" w:color="auto" w:fill="auto"/>
            <w:noWrap/>
            <w:vAlign w:val="bottom"/>
            <w:hideMark/>
          </w:tcPr>
          <w:p w14:paraId="26599A5F" w14:textId="4F68E4EA"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 </w:t>
            </w:r>
            <w:r w:rsidRPr="00D51314">
              <w:rPr>
                <w:rFonts w:ascii="Calibri" w:eastAsia="Times New Roman" w:hAnsi="Calibri" w:cs="Calibri"/>
                <w:color w:val="000000"/>
                <w:sz w:val="20"/>
                <w:szCs w:val="20"/>
                <w:lang w:eastAsia="hr-HR"/>
              </w:rPr>
              <w:t>401,64</w:t>
            </w:r>
          </w:p>
        </w:tc>
        <w:tc>
          <w:tcPr>
            <w:tcW w:w="915" w:type="pct"/>
            <w:shd w:val="clear" w:color="auto" w:fill="auto"/>
            <w:noWrap/>
            <w:vAlign w:val="bottom"/>
            <w:hideMark/>
          </w:tcPr>
          <w:p w14:paraId="5683F086" w14:textId="67E979C4"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w:t>
            </w:r>
          </w:p>
        </w:tc>
        <w:tc>
          <w:tcPr>
            <w:tcW w:w="1125" w:type="pct"/>
            <w:shd w:val="clear" w:color="auto" w:fill="auto"/>
            <w:noWrap/>
            <w:vAlign w:val="bottom"/>
            <w:hideMark/>
          </w:tcPr>
          <w:p w14:paraId="1EAF1F7F" w14:textId="643EDA82"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 </w:t>
            </w:r>
            <w:r w:rsidRPr="00D51314">
              <w:rPr>
                <w:rFonts w:ascii="Calibri" w:eastAsia="Times New Roman" w:hAnsi="Calibri" w:cs="Calibri"/>
                <w:color w:val="000000"/>
                <w:sz w:val="20"/>
                <w:szCs w:val="20"/>
                <w:lang w:eastAsia="hr-HR"/>
              </w:rPr>
              <w:t>401,64</w:t>
            </w:r>
          </w:p>
        </w:tc>
      </w:tr>
      <w:tr w:rsidR="00D51314" w:rsidRPr="00D51314" w14:paraId="0ADFD53F" w14:textId="77777777" w:rsidTr="00D51314">
        <w:trPr>
          <w:trHeight w:val="255"/>
        </w:trPr>
        <w:tc>
          <w:tcPr>
            <w:tcW w:w="2195" w:type="pct"/>
            <w:shd w:val="clear" w:color="auto" w:fill="auto"/>
            <w:vAlign w:val="bottom"/>
            <w:hideMark/>
          </w:tcPr>
          <w:p w14:paraId="2EAA14E1" w14:textId="77777777" w:rsidR="00D51314" w:rsidRPr="00D51314" w:rsidRDefault="00D51314" w:rsidP="00D51314">
            <w:pPr>
              <w:spacing w:after="0" w:line="240" w:lineRule="auto"/>
              <w:rPr>
                <w:rFonts w:ascii="Calibri" w:eastAsia="Times New Roman" w:hAnsi="Calibri" w:cs="Calibri"/>
                <w:color w:val="000000"/>
                <w:sz w:val="20"/>
                <w:szCs w:val="20"/>
                <w:lang w:eastAsia="hr-HR"/>
              </w:rPr>
            </w:pPr>
            <w:r w:rsidRPr="00D51314">
              <w:rPr>
                <w:rFonts w:ascii="Calibri" w:eastAsia="Times New Roman" w:hAnsi="Calibri" w:cs="Calibri"/>
                <w:color w:val="000000"/>
                <w:sz w:val="20"/>
                <w:szCs w:val="20"/>
                <w:lang w:eastAsia="hr-HR"/>
              </w:rPr>
              <w:t>OSOBNA I KOMERCIJALNA VOZILA</w:t>
            </w:r>
          </w:p>
        </w:tc>
        <w:tc>
          <w:tcPr>
            <w:tcW w:w="764" w:type="pct"/>
            <w:shd w:val="clear" w:color="auto" w:fill="auto"/>
            <w:noWrap/>
            <w:vAlign w:val="bottom"/>
            <w:hideMark/>
          </w:tcPr>
          <w:p w14:paraId="4DEFCED5" w14:textId="6D21D34B"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85 </w:t>
            </w:r>
            <w:r w:rsidRPr="00D51314">
              <w:rPr>
                <w:rFonts w:ascii="Calibri" w:eastAsia="Times New Roman" w:hAnsi="Calibri" w:cs="Calibri"/>
                <w:color w:val="000000"/>
                <w:sz w:val="20"/>
                <w:szCs w:val="20"/>
                <w:lang w:eastAsia="hr-HR"/>
              </w:rPr>
              <w:t>523,56</w:t>
            </w:r>
          </w:p>
        </w:tc>
        <w:tc>
          <w:tcPr>
            <w:tcW w:w="915" w:type="pct"/>
            <w:shd w:val="clear" w:color="auto" w:fill="auto"/>
            <w:noWrap/>
            <w:vAlign w:val="bottom"/>
            <w:hideMark/>
          </w:tcPr>
          <w:p w14:paraId="03DEAC15" w14:textId="7C8AF0A1"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73 </w:t>
            </w:r>
            <w:r w:rsidRPr="00D51314">
              <w:rPr>
                <w:rFonts w:ascii="Calibri" w:eastAsia="Times New Roman" w:hAnsi="Calibri" w:cs="Calibri"/>
                <w:color w:val="000000"/>
                <w:sz w:val="20"/>
                <w:szCs w:val="20"/>
                <w:lang w:eastAsia="hr-HR"/>
              </w:rPr>
              <w:t>172,51</w:t>
            </w:r>
          </w:p>
        </w:tc>
        <w:tc>
          <w:tcPr>
            <w:tcW w:w="1125" w:type="pct"/>
            <w:shd w:val="clear" w:color="auto" w:fill="auto"/>
            <w:noWrap/>
            <w:vAlign w:val="bottom"/>
            <w:hideMark/>
          </w:tcPr>
          <w:p w14:paraId="107C47EC" w14:textId="7CB6C6B4"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158 </w:t>
            </w:r>
            <w:r w:rsidRPr="00D51314">
              <w:rPr>
                <w:rFonts w:ascii="Calibri" w:eastAsia="Times New Roman" w:hAnsi="Calibri" w:cs="Calibri"/>
                <w:color w:val="000000"/>
                <w:sz w:val="20"/>
                <w:szCs w:val="20"/>
                <w:lang w:eastAsia="hr-HR"/>
              </w:rPr>
              <w:t>696,07</w:t>
            </w:r>
          </w:p>
        </w:tc>
      </w:tr>
      <w:tr w:rsidR="00D51314" w:rsidRPr="00D51314" w14:paraId="69E30C91" w14:textId="77777777" w:rsidTr="00D51314">
        <w:trPr>
          <w:trHeight w:val="255"/>
        </w:trPr>
        <w:tc>
          <w:tcPr>
            <w:tcW w:w="2195" w:type="pct"/>
            <w:shd w:val="clear" w:color="auto" w:fill="auto"/>
            <w:vAlign w:val="bottom"/>
            <w:hideMark/>
          </w:tcPr>
          <w:p w14:paraId="48048151" w14:textId="77777777" w:rsidR="00D51314" w:rsidRPr="00D51314" w:rsidRDefault="00D51314" w:rsidP="00D51314">
            <w:pPr>
              <w:spacing w:after="0" w:line="240" w:lineRule="auto"/>
              <w:rPr>
                <w:rFonts w:ascii="Calibri" w:eastAsia="Times New Roman" w:hAnsi="Calibri" w:cs="Calibri"/>
                <w:color w:val="000000"/>
                <w:sz w:val="20"/>
                <w:szCs w:val="20"/>
                <w:lang w:eastAsia="hr-HR"/>
              </w:rPr>
            </w:pPr>
            <w:r w:rsidRPr="00D51314">
              <w:rPr>
                <w:rFonts w:ascii="Calibri" w:eastAsia="Times New Roman" w:hAnsi="Calibri" w:cs="Calibri"/>
                <w:color w:val="000000"/>
                <w:sz w:val="20"/>
                <w:szCs w:val="20"/>
                <w:lang w:eastAsia="hr-HR"/>
              </w:rPr>
              <w:t>JAVNI PRIJEVOZ</w:t>
            </w:r>
          </w:p>
        </w:tc>
        <w:tc>
          <w:tcPr>
            <w:tcW w:w="764" w:type="pct"/>
            <w:shd w:val="clear" w:color="auto" w:fill="auto"/>
            <w:noWrap/>
            <w:vAlign w:val="bottom"/>
            <w:hideMark/>
          </w:tcPr>
          <w:p w14:paraId="6FE1D970" w14:textId="4FD67A38"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4 </w:t>
            </w:r>
            <w:r w:rsidRPr="00D51314">
              <w:rPr>
                <w:rFonts w:ascii="Calibri" w:eastAsia="Times New Roman" w:hAnsi="Calibri" w:cs="Calibri"/>
                <w:color w:val="000000"/>
                <w:sz w:val="20"/>
                <w:szCs w:val="20"/>
                <w:lang w:eastAsia="hr-HR"/>
              </w:rPr>
              <w:t>093,31</w:t>
            </w:r>
          </w:p>
        </w:tc>
        <w:tc>
          <w:tcPr>
            <w:tcW w:w="915" w:type="pct"/>
            <w:shd w:val="clear" w:color="auto" w:fill="auto"/>
            <w:noWrap/>
            <w:vAlign w:val="bottom"/>
            <w:hideMark/>
          </w:tcPr>
          <w:p w14:paraId="465F95CC" w14:textId="63CC7FD5"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3 </w:t>
            </w:r>
            <w:r w:rsidRPr="00D51314">
              <w:rPr>
                <w:rFonts w:ascii="Calibri" w:eastAsia="Times New Roman" w:hAnsi="Calibri" w:cs="Calibri"/>
                <w:color w:val="000000"/>
                <w:sz w:val="20"/>
                <w:szCs w:val="20"/>
                <w:lang w:eastAsia="hr-HR"/>
              </w:rPr>
              <w:t>048,58</w:t>
            </w:r>
          </w:p>
        </w:tc>
        <w:tc>
          <w:tcPr>
            <w:tcW w:w="1125" w:type="pct"/>
            <w:shd w:val="clear" w:color="auto" w:fill="auto"/>
            <w:noWrap/>
            <w:vAlign w:val="bottom"/>
            <w:hideMark/>
          </w:tcPr>
          <w:p w14:paraId="5C02938A" w14:textId="07964040"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7 </w:t>
            </w:r>
            <w:r w:rsidRPr="00D51314">
              <w:rPr>
                <w:rFonts w:ascii="Calibri" w:eastAsia="Times New Roman" w:hAnsi="Calibri" w:cs="Calibri"/>
                <w:color w:val="000000"/>
                <w:sz w:val="20"/>
                <w:szCs w:val="20"/>
                <w:lang w:eastAsia="hr-HR"/>
              </w:rPr>
              <w:t>141,89</w:t>
            </w:r>
          </w:p>
        </w:tc>
      </w:tr>
      <w:tr w:rsidR="00D51314" w:rsidRPr="00D51314" w14:paraId="67F949B7" w14:textId="77777777" w:rsidTr="00D51314">
        <w:trPr>
          <w:trHeight w:val="255"/>
        </w:trPr>
        <w:tc>
          <w:tcPr>
            <w:tcW w:w="2195" w:type="pct"/>
            <w:shd w:val="clear" w:color="000000" w:fill="D9D9D9"/>
            <w:noWrap/>
            <w:vAlign w:val="bottom"/>
            <w:hideMark/>
          </w:tcPr>
          <w:p w14:paraId="4666050C" w14:textId="77777777" w:rsidR="00D51314" w:rsidRPr="00D51314" w:rsidRDefault="00D51314" w:rsidP="00D51314">
            <w:pPr>
              <w:spacing w:after="0" w:line="240" w:lineRule="auto"/>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UKUPNO SEKTOR PROMET</w:t>
            </w:r>
          </w:p>
        </w:tc>
        <w:tc>
          <w:tcPr>
            <w:tcW w:w="764" w:type="pct"/>
            <w:shd w:val="clear" w:color="000000" w:fill="D9D9D9"/>
            <w:noWrap/>
            <w:vAlign w:val="bottom"/>
            <w:hideMark/>
          </w:tcPr>
          <w:p w14:paraId="52DC6630" w14:textId="255710B0"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91 </w:t>
            </w:r>
            <w:r w:rsidRPr="00D51314">
              <w:rPr>
                <w:rFonts w:ascii="Calibri" w:eastAsia="Times New Roman" w:hAnsi="Calibri" w:cs="Calibri"/>
                <w:b/>
                <w:bCs/>
                <w:color w:val="000000"/>
                <w:sz w:val="20"/>
                <w:szCs w:val="20"/>
                <w:lang w:eastAsia="hr-HR"/>
              </w:rPr>
              <w:t>018,51</w:t>
            </w:r>
          </w:p>
        </w:tc>
        <w:tc>
          <w:tcPr>
            <w:tcW w:w="915" w:type="pct"/>
            <w:shd w:val="clear" w:color="000000" w:fill="D9D9D9"/>
            <w:noWrap/>
            <w:vAlign w:val="bottom"/>
            <w:hideMark/>
          </w:tcPr>
          <w:p w14:paraId="6C492E8E" w14:textId="449F19AD"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76 </w:t>
            </w:r>
            <w:r w:rsidRPr="00D51314">
              <w:rPr>
                <w:rFonts w:ascii="Calibri" w:eastAsia="Times New Roman" w:hAnsi="Calibri" w:cs="Calibri"/>
                <w:b/>
                <w:bCs/>
                <w:color w:val="000000"/>
                <w:sz w:val="20"/>
                <w:szCs w:val="20"/>
                <w:lang w:eastAsia="hr-HR"/>
              </w:rPr>
              <w:t>221,09</w:t>
            </w:r>
          </w:p>
        </w:tc>
        <w:tc>
          <w:tcPr>
            <w:tcW w:w="1125" w:type="pct"/>
            <w:shd w:val="clear" w:color="000000" w:fill="D9D9D9"/>
            <w:noWrap/>
            <w:vAlign w:val="bottom"/>
            <w:hideMark/>
          </w:tcPr>
          <w:p w14:paraId="4E8BE5BC" w14:textId="536BD42C"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167 </w:t>
            </w:r>
            <w:r w:rsidRPr="00D51314">
              <w:rPr>
                <w:rFonts w:ascii="Calibri" w:eastAsia="Times New Roman" w:hAnsi="Calibri" w:cs="Calibri"/>
                <w:b/>
                <w:bCs/>
                <w:color w:val="000000"/>
                <w:sz w:val="20"/>
                <w:szCs w:val="20"/>
                <w:lang w:eastAsia="hr-HR"/>
              </w:rPr>
              <w:t>239,60</w:t>
            </w:r>
          </w:p>
        </w:tc>
      </w:tr>
      <w:tr w:rsidR="00D51314" w:rsidRPr="00D51314" w14:paraId="236C8535" w14:textId="77777777" w:rsidTr="00D51314">
        <w:trPr>
          <w:trHeight w:val="255"/>
        </w:trPr>
        <w:tc>
          <w:tcPr>
            <w:tcW w:w="2195" w:type="pct"/>
            <w:shd w:val="clear" w:color="000000" w:fill="D9D9D9"/>
            <w:noWrap/>
            <w:vAlign w:val="bottom"/>
            <w:hideMark/>
          </w:tcPr>
          <w:p w14:paraId="618DEB50" w14:textId="77777777" w:rsidR="00D51314" w:rsidRPr="00D51314" w:rsidRDefault="00D51314" w:rsidP="00D51314">
            <w:pPr>
              <w:spacing w:after="0" w:line="240" w:lineRule="auto"/>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JAVNA RASVJETA</w:t>
            </w:r>
          </w:p>
        </w:tc>
        <w:tc>
          <w:tcPr>
            <w:tcW w:w="764" w:type="pct"/>
            <w:shd w:val="clear" w:color="000000" w:fill="D9D9D9"/>
            <w:noWrap/>
            <w:vAlign w:val="bottom"/>
            <w:hideMark/>
          </w:tcPr>
          <w:p w14:paraId="1C89433E" w14:textId="1B444B98"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2 </w:t>
            </w:r>
            <w:r w:rsidRPr="00D51314">
              <w:rPr>
                <w:rFonts w:ascii="Calibri" w:eastAsia="Times New Roman" w:hAnsi="Calibri" w:cs="Calibri"/>
                <w:color w:val="000000"/>
                <w:sz w:val="20"/>
                <w:szCs w:val="20"/>
                <w:lang w:eastAsia="hr-HR"/>
              </w:rPr>
              <w:t>830,33</w:t>
            </w:r>
          </w:p>
        </w:tc>
        <w:tc>
          <w:tcPr>
            <w:tcW w:w="915" w:type="pct"/>
            <w:shd w:val="clear" w:color="000000" w:fill="D9D9D9"/>
            <w:noWrap/>
            <w:vAlign w:val="bottom"/>
            <w:hideMark/>
          </w:tcPr>
          <w:p w14:paraId="58E55992" w14:textId="51FE4B16" w:rsidR="00D51314" w:rsidRPr="00D51314" w:rsidRDefault="00D51314" w:rsidP="00D51314">
            <w:pPr>
              <w:spacing w:after="0" w:line="240" w:lineRule="auto"/>
              <w:jc w:val="center"/>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10 </w:t>
            </w:r>
            <w:r w:rsidRPr="00D51314">
              <w:rPr>
                <w:rFonts w:ascii="Calibri" w:eastAsia="Times New Roman" w:hAnsi="Calibri" w:cs="Calibri"/>
                <w:color w:val="000000"/>
                <w:sz w:val="20"/>
                <w:szCs w:val="20"/>
                <w:lang w:eastAsia="hr-HR"/>
              </w:rPr>
              <w:t>735,00</w:t>
            </w:r>
          </w:p>
        </w:tc>
        <w:tc>
          <w:tcPr>
            <w:tcW w:w="1125" w:type="pct"/>
            <w:shd w:val="clear" w:color="000000" w:fill="D9D9D9"/>
            <w:noWrap/>
            <w:vAlign w:val="bottom"/>
            <w:hideMark/>
          </w:tcPr>
          <w:p w14:paraId="71AA0AC8" w14:textId="390E57BE"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13 </w:t>
            </w:r>
            <w:r w:rsidRPr="00D51314">
              <w:rPr>
                <w:rFonts w:ascii="Calibri" w:eastAsia="Times New Roman" w:hAnsi="Calibri" w:cs="Calibri"/>
                <w:b/>
                <w:bCs/>
                <w:color w:val="000000"/>
                <w:sz w:val="20"/>
                <w:szCs w:val="20"/>
                <w:lang w:eastAsia="hr-HR"/>
              </w:rPr>
              <w:t>565,33</w:t>
            </w:r>
          </w:p>
        </w:tc>
      </w:tr>
      <w:tr w:rsidR="00D51314" w:rsidRPr="00D51314" w14:paraId="59F90974" w14:textId="77777777" w:rsidTr="00D51314">
        <w:trPr>
          <w:trHeight w:val="255"/>
        </w:trPr>
        <w:tc>
          <w:tcPr>
            <w:tcW w:w="2195" w:type="pct"/>
            <w:shd w:val="clear" w:color="000000" w:fill="D9D9D9"/>
            <w:noWrap/>
            <w:vAlign w:val="bottom"/>
            <w:hideMark/>
          </w:tcPr>
          <w:p w14:paraId="153F011F" w14:textId="77777777" w:rsidR="00D51314" w:rsidRPr="00D51314" w:rsidRDefault="00D51314" w:rsidP="00D51314">
            <w:pPr>
              <w:spacing w:after="0" w:line="240" w:lineRule="auto"/>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UKUPNO</w:t>
            </w:r>
          </w:p>
        </w:tc>
        <w:tc>
          <w:tcPr>
            <w:tcW w:w="764" w:type="pct"/>
            <w:shd w:val="clear" w:color="000000" w:fill="D9D9D9"/>
            <w:noWrap/>
            <w:vAlign w:val="bottom"/>
            <w:hideMark/>
          </w:tcPr>
          <w:p w14:paraId="2D1AC4F3" w14:textId="4F398706"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302 </w:t>
            </w:r>
            <w:r w:rsidRPr="00D51314">
              <w:rPr>
                <w:rFonts w:ascii="Calibri" w:eastAsia="Times New Roman" w:hAnsi="Calibri" w:cs="Calibri"/>
                <w:b/>
                <w:bCs/>
                <w:color w:val="000000"/>
                <w:sz w:val="20"/>
                <w:szCs w:val="20"/>
                <w:lang w:eastAsia="hr-HR"/>
              </w:rPr>
              <w:t>964,70</w:t>
            </w:r>
          </w:p>
        </w:tc>
        <w:tc>
          <w:tcPr>
            <w:tcW w:w="915" w:type="pct"/>
            <w:shd w:val="clear" w:color="000000" w:fill="D9D9D9"/>
            <w:noWrap/>
            <w:vAlign w:val="bottom"/>
            <w:hideMark/>
          </w:tcPr>
          <w:p w14:paraId="77026B13" w14:textId="22E138B3"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251 </w:t>
            </w:r>
            <w:r w:rsidRPr="00D51314">
              <w:rPr>
                <w:rFonts w:ascii="Calibri" w:eastAsia="Times New Roman" w:hAnsi="Calibri" w:cs="Calibri"/>
                <w:b/>
                <w:bCs/>
                <w:color w:val="000000"/>
                <w:sz w:val="20"/>
                <w:szCs w:val="20"/>
                <w:lang w:eastAsia="hr-HR"/>
              </w:rPr>
              <w:t>884,58</w:t>
            </w:r>
          </w:p>
        </w:tc>
        <w:tc>
          <w:tcPr>
            <w:tcW w:w="1125" w:type="pct"/>
            <w:shd w:val="clear" w:color="000000" w:fill="D9D9D9"/>
            <w:noWrap/>
            <w:vAlign w:val="bottom"/>
            <w:hideMark/>
          </w:tcPr>
          <w:p w14:paraId="32D2BF13" w14:textId="3C9EA95A"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 xml:space="preserve">554 </w:t>
            </w:r>
            <w:r w:rsidRPr="00D51314">
              <w:rPr>
                <w:rFonts w:ascii="Calibri" w:eastAsia="Times New Roman" w:hAnsi="Calibri" w:cs="Calibri"/>
                <w:b/>
                <w:bCs/>
                <w:color w:val="000000"/>
                <w:sz w:val="20"/>
                <w:szCs w:val="20"/>
                <w:lang w:eastAsia="hr-HR"/>
              </w:rPr>
              <w:t>849,28</w:t>
            </w:r>
          </w:p>
        </w:tc>
      </w:tr>
      <w:tr w:rsidR="00D51314" w:rsidRPr="00D51314" w14:paraId="388DC13F" w14:textId="77777777" w:rsidTr="00D51314">
        <w:trPr>
          <w:trHeight w:val="255"/>
        </w:trPr>
        <w:tc>
          <w:tcPr>
            <w:tcW w:w="2195" w:type="pct"/>
            <w:shd w:val="clear" w:color="000000" w:fill="D9D9D9"/>
            <w:noWrap/>
            <w:vAlign w:val="bottom"/>
            <w:hideMark/>
          </w:tcPr>
          <w:p w14:paraId="41EC80E8" w14:textId="1B1A64E4" w:rsidR="00D51314" w:rsidRPr="00D51314" w:rsidRDefault="00D51314" w:rsidP="00D51314">
            <w:pPr>
              <w:spacing w:after="0" w:line="240" w:lineRule="auto"/>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Udio u postavljeno</w:t>
            </w:r>
            <w:r>
              <w:rPr>
                <w:rFonts w:ascii="Calibri" w:eastAsia="Times New Roman" w:hAnsi="Calibri" w:cs="Calibri"/>
                <w:b/>
                <w:bCs/>
                <w:color w:val="000000"/>
                <w:sz w:val="20"/>
                <w:szCs w:val="20"/>
                <w:lang w:eastAsia="hr-HR"/>
              </w:rPr>
              <w:t>m</w:t>
            </w:r>
            <w:r w:rsidRPr="00D51314">
              <w:rPr>
                <w:rFonts w:ascii="Calibri" w:eastAsia="Times New Roman" w:hAnsi="Calibri" w:cs="Calibri"/>
                <w:b/>
                <w:bCs/>
                <w:color w:val="000000"/>
                <w:sz w:val="20"/>
                <w:szCs w:val="20"/>
                <w:lang w:eastAsia="hr-HR"/>
              </w:rPr>
              <w:t xml:space="preserve"> cilju smanjenja emisije t CO</w:t>
            </w:r>
            <w:r w:rsidRPr="00D51314">
              <w:rPr>
                <w:rFonts w:ascii="Calibri" w:eastAsia="Times New Roman" w:hAnsi="Calibri" w:cs="Calibri"/>
                <w:b/>
                <w:bCs/>
                <w:color w:val="000000"/>
                <w:sz w:val="20"/>
                <w:szCs w:val="20"/>
                <w:vertAlign w:val="subscript"/>
                <w:lang w:eastAsia="hr-HR"/>
              </w:rPr>
              <w:t>2</w:t>
            </w:r>
            <w:r w:rsidRPr="00D51314">
              <w:rPr>
                <w:rFonts w:ascii="Calibri" w:eastAsia="Times New Roman" w:hAnsi="Calibri" w:cs="Calibri"/>
                <w:b/>
                <w:bCs/>
                <w:color w:val="000000"/>
                <w:sz w:val="20"/>
                <w:szCs w:val="20"/>
                <w:lang w:eastAsia="hr-HR"/>
              </w:rPr>
              <w:t xml:space="preserve"> do 2020. godine</w:t>
            </w:r>
          </w:p>
        </w:tc>
        <w:tc>
          <w:tcPr>
            <w:tcW w:w="764" w:type="pct"/>
            <w:shd w:val="clear" w:color="000000" w:fill="D9D9D9"/>
            <w:noWrap/>
            <w:vAlign w:val="bottom"/>
            <w:hideMark/>
          </w:tcPr>
          <w:p w14:paraId="291A0EFD" w14:textId="77777777"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51,60%</w:t>
            </w:r>
          </w:p>
        </w:tc>
        <w:tc>
          <w:tcPr>
            <w:tcW w:w="915" w:type="pct"/>
            <w:shd w:val="clear" w:color="000000" w:fill="D9D9D9"/>
            <w:noWrap/>
            <w:vAlign w:val="bottom"/>
            <w:hideMark/>
          </w:tcPr>
          <w:p w14:paraId="67BDB70E" w14:textId="77777777"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42,90%</w:t>
            </w:r>
          </w:p>
        </w:tc>
        <w:tc>
          <w:tcPr>
            <w:tcW w:w="1125" w:type="pct"/>
            <w:shd w:val="clear" w:color="000000" w:fill="D9D9D9"/>
            <w:noWrap/>
            <w:vAlign w:val="bottom"/>
            <w:hideMark/>
          </w:tcPr>
          <w:p w14:paraId="7424884C" w14:textId="77777777" w:rsidR="00D51314" w:rsidRPr="00D51314" w:rsidRDefault="00D51314" w:rsidP="00D51314">
            <w:pPr>
              <w:spacing w:after="0" w:line="240" w:lineRule="auto"/>
              <w:jc w:val="center"/>
              <w:rPr>
                <w:rFonts w:ascii="Calibri" w:eastAsia="Times New Roman" w:hAnsi="Calibri" w:cs="Calibri"/>
                <w:b/>
                <w:bCs/>
                <w:color w:val="000000"/>
                <w:sz w:val="20"/>
                <w:szCs w:val="20"/>
                <w:lang w:eastAsia="hr-HR"/>
              </w:rPr>
            </w:pPr>
            <w:r w:rsidRPr="00D51314">
              <w:rPr>
                <w:rFonts w:ascii="Calibri" w:eastAsia="Times New Roman" w:hAnsi="Calibri" w:cs="Calibri"/>
                <w:b/>
                <w:bCs/>
                <w:color w:val="000000"/>
                <w:sz w:val="20"/>
                <w:szCs w:val="20"/>
                <w:lang w:eastAsia="hr-HR"/>
              </w:rPr>
              <w:t>94,50%</w:t>
            </w:r>
          </w:p>
        </w:tc>
      </w:tr>
    </w:tbl>
    <w:p w14:paraId="639887F5" w14:textId="28A11E9F" w:rsidR="003B78EB" w:rsidRDefault="007B74ED" w:rsidP="00E92750">
      <w:pPr>
        <w:spacing w:before="240" w:after="240" w:line="240" w:lineRule="auto"/>
        <w:jc w:val="both"/>
      </w:pPr>
      <w:r>
        <w:t>Napravljena projekcija koja uključuje k</w:t>
      </w:r>
      <w:r w:rsidR="006D244E" w:rsidRPr="007B74ED">
        <w:t xml:space="preserve">rajnji učinak mjera i aktivnosti koje su provedene ili u fazi provedbe </w:t>
      </w:r>
      <w:r w:rsidR="000F0D34">
        <w:t>pokazuje da je udio u cilju do 2020. godine</w:t>
      </w:r>
      <w:r w:rsidR="00D51314">
        <w:t xml:space="preserve"> oko 95</w:t>
      </w:r>
      <w:r w:rsidR="000F0D34">
        <w:t xml:space="preserve">%. </w:t>
      </w:r>
    </w:p>
    <w:p w14:paraId="45669777" w14:textId="5917948F" w:rsidR="000F0D34" w:rsidRDefault="000F0D34" w:rsidP="00E92750">
      <w:pPr>
        <w:spacing w:before="240" w:after="240" w:line="240" w:lineRule="auto"/>
        <w:jc w:val="both"/>
        <w:rPr>
          <w:rFonts w:cstheme="minorHAnsi"/>
        </w:rPr>
      </w:pPr>
      <w:r>
        <w:t xml:space="preserve">Uzimajući u obzir da </w:t>
      </w:r>
      <w:r w:rsidR="003B78EB">
        <w:t xml:space="preserve">će se </w:t>
      </w:r>
      <w:r>
        <w:t>do 2020. godine provesti i dio mjera i aktivnosti iz Akcijskog plana čija implementacija nije započeta u trenu donošenj</w:t>
      </w:r>
      <w:r w:rsidR="003B78EB">
        <w:t>a ovog dokumenta, očekuje se</w:t>
      </w:r>
      <w:r>
        <w:t xml:space="preserve"> </w:t>
      </w:r>
      <w:r w:rsidR="003B78EB">
        <w:t xml:space="preserve">da će Grad Zagreb </w:t>
      </w:r>
      <w:r w:rsidR="007B74ED">
        <w:t>ostvari</w:t>
      </w:r>
      <w:r w:rsidR="003B78EB">
        <w:t>ti</w:t>
      </w:r>
      <w:r w:rsidR="007B74ED">
        <w:t xml:space="preserve"> postavljeni cilj smanjenja emisije CO</w:t>
      </w:r>
      <w:r w:rsidR="007B74ED" w:rsidRPr="000437E2">
        <w:rPr>
          <w:vertAlign w:val="subscript"/>
        </w:rPr>
        <w:t>2</w:t>
      </w:r>
      <w:r w:rsidR="007B74ED">
        <w:t xml:space="preserve"> do 2020. godine. (smanjenje emisije od 21% u odnosu na 2008. godinu</w:t>
      </w:r>
      <w:r w:rsidR="00602618">
        <w:t xml:space="preserve">: </w:t>
      </w:r>
      <w:r w:rsidR="00602618" w:rsidRPr="00F8301C">
        <w:rPr>
          <w:rFonts w:cstheme="minorHAnsi"/>
          <w:b/>
        </w:rPr>
        <w:t>587 170,69 t CO</w:t>
      </w:r>
      <w:r w:rsidR="00602618" w:rsidRPr="00F8301C">
        <w:rPr>
          <w:rFonts w:cstheme="minorHAnsi"/>
          <w:b/>
          <w:vertAlign w:val="subscript"/>
        </w:rPr>
        <w:t>2</w:t>
      </w:r>
      <w:r w:rsidR="00602618" w:rsidRPr="00801B5D">
        <w:rPr>
          <w:rFonts w:cstheme="minorHAnsi"/>
        </w:rPr>
        <w:t>).</w:t>
      </w:r>
      <w:r w:rsidR="002B6B1C">
        <w:rPr>
          <w:rFonts w:cstheme="minorHAnsi"/>
        </w:rPr>
        <w:t xml:space="preserve"> </w:t>
      </w:r>
    </w:p>
    <w:p w14:paraId="7811B3D8" w14:textId="174E2664" w:rsidR="007A2E67" w:rsidRPr="007B74ED" w:rsidRDefault="007B74ED" w:rsidP="00602618">
      <w:pPr>
        <w:spacing w:line="240" w:lineRule="auto"/>
        <w:jc w:val="both"/>
        <w:rPr>
          <w:bCs/>
        </w:rPr>
      </w:pPr>
      <w:r w:rsidRPr="00F8301C">
        <w:rPr>
          <w:bCs/>
        </w:rPr>
        <w:t xml:space="preserve">Projekcija udjela podsektora u </w:t>
      </w:r>
      <w:r>
        <w:rPr>
          <w:bCs/>
        </w:rPr>
        <w:t>očekivanom smanjenju</w:t>
      </w:r>
      <w:r w:rsidRPr="00F8301C">
        <w:rPr>
          <w:bCs/>
        </w:rPr>
        <w:t xml:space="preserve"> emisija CO</w:t>
      </w:r>
      <w:r w:rsidRPr="00F8301C">
        <w:rPr>
          <w:bCs/>
          <w:vertAlign w:val="subscript"/>
        </w:rPr>
        <w:t>2</w:t>
      </w:r>
      <w:r w:rsidRPr="00F8301C">
        <w:rPr>
          <w:bCs/>
        </w:rPr>
        <w:t xml:space="preserve"> do 2020. godine</w:t>
      </w:r>
      <w:r>
        <w:rPr>
          <w:bCs/>
        </w:rPr>
        <w:t xml:space="preserve"> </w:t>
      </w:r>
      <w:r w:rsidR="00602618">
        <w:rPr>
          <w:bCs/>
        </w:rPr>
        <w:t xml:space="preserve">dana je na </w:t>
      </w:r>
      <w:r w:rsidR="00602618">
        <w:rPr>
          <w:bCs/>
        </w:rPr>
        <w:fldChar w:fldCharType="begin"/>
      </w:r>
      <w:r w:rsidR="00602618">
        <w:rPr>
          <w:bCs/>
        </w:rPr>
        <w:instrText xml:space="preserve"> REF _Ref467504848 \h </w:instrText>
      </w:r>
      <w:r w:rsidR="00602618">
        <w:rPr>
          <w:bCs/>
        </w:rPr>
      </w:r>
      <w:r w:rsidR="00602618">
        <w:rPr>
          <w:bCs/>
        </w:rPr>
        <w:fldChar w:fldCharType="separate"/>
      </w:r>
      <w:r w:rsidR="000437E2">
        <w:rPr>
          <w:b/>
          <w:bCs/>
        </w:rPr>
        <w:t>Slici</w:t>
      </w:r>
      <w:r w:rsidR="009C319B" w:rsidRPr="00F8301C">
        <w:rPr>
          <w:b/>
          <w:bCs/>
        </w:rPr>
        <w:t xml:space="preserve"> </w:t>
      </w:r>
      <w:r w:rsidR="009C319B">
        <w:rPr>
          <w:b/>
          <w:bCs/>
          <w:noProof/>
        </w:rPr>
        <w:t>10</w:t>
      </w:r>
      <w:r w:rsidR="009C319B" w:rsidRPr="00F8301C">
        <w:rPr>
          <w:b/>
          <w:bCs/>
        </w:rPr>
        <w:t>.</w:t>
      </w:r>
      <w:r w:rsidR="009C319B">
        <w:rPr>
          <w:b/>
          <w:bCs/>
          <w:noProof/>
        </w:rPr>
        <w:t>1</w:t>
      </w:r>
      <w:r w:rsidR="00602618">
        <w:rPr>
          <w:bCs/>
        </w:rPr>
        <w:fldChar w:fldCharType="end"/>
      </w:r>
      <w:r w:rsidR="00602618">
        <w:rPr>
          <w:bCs/>
        </w:rPr>
        <w:t>.</w:t>
      </w:r>
    </w:p>
    <w:p w14:paraId="3DD6294E" w14:textId="6EEC0A8B" w:rsidR="000B2BBC" w:rsidRDefault="00D51314" w:rsidP="00F8301C">
      <w:pPr>
        <w:spacing w:before="240" w:after="240" w:line="240" w:lineRule="auto"/>
        <w:jc w:val="center"/>
        <w:rPr>
          <w:noProof/>
          <w:lang w:eastAsia="hr-HR"/>
        </w:rPr>
      </w:pPr>
      <w:r>
        <w:rPr>
          <w:noProof/>
          <w:lang w:eastAsia="hr-HR"/>
        </w:rPr>
        <w:lastRenderedPageBreak/>
        <w:drawing>
          <wp:inline distT="0" distB="0" distL="0" distR="0" wp14:anchorId="705D69BC" wp14:editId="4AAE3939">
            <wp:extent cx="4572000" cy="2743200"/>
            <wp:effectExtent l="0" t="0" r="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10A7172" w14:textId="2739AB95" w:rsidR="002F58D8" w:rsidRPr="00602618" w:rsidRDefault="000B2BBC" w:rsidP="0052045C">
      <w:pPr>
        <w:spacing w:after="0" w:line="240" w:lineRule="auto"/>
        <w:jc w:val="center"/>
        <w:rPr>
          <w:bCs/>
        </w:rPr>
      </w:pPr>
      <w:bookmarkStart w:id="434" w:name="_Ref467504848"/>
      <w:bookmarkStart w:id="435" w:name="_Toc468277491"/>
      <w:r w:rsidRPr="00F8301C">
        <w:rPr>
          <w:b/>
          <w:bCs/>
        </w:rPr>
        <w:t xml:space="preserve">Slika </w:t>
      </w:r>
      <w:r w:rsidRPr="00F8301C">
        <w:rPr>
          <w:b/>
          <w:bCs/>
        </w:rPr>
        <w:fldChar w:fldCharType="begin"/>
      </w:r>
      <w:r w:rsidRPr="00F8301C">
        <w:rPr>
          <w:b/>
          <w:bCs/>
        </w:rPr>
        <w:instrText xml:space="preserve"> STYLEREF 1 \s </w:instrText>
      </w:r>
      <w:r w:rsidRPr="00F8301C">
        <w:rPr>
          <w:b/>
          <w:bCs/>
        </w:rPr>
        <w:fldChar w:fldCharType="separate"/>
      </w:r>
      <w:r w:rsidR="009C319B">
        <w:rPr>
          <w:b/>
          <w:bCs/>
          <w:noProof/>
        </w:rPr>
        <w:t>10</w:t>
      </w:r>
      <w:r w:rsidRPr="00F8301C">
        <w:rPr>
          <w:b/>
          <w:bCs/>
        </w:rPr>
        <w:fldChar w:fldCharType="end"/>
      </w:r>
      <w:r w:rsidRPr="00F8301C">
        <w:rPr>
          <w:b/>
          <w:bCs/>
        </w:rPr>
        <w:t>.</w:t>
      </w:r>
      <w:r w:rsidRPr="00F8301C">
        <w:rPr>
          <w:b/>
          <w:bCs/>
        </w:rPr>
        <w:fldChar w:fldCharType="begin"/>
      </w:r>
      <w:r w:rsidRPr="00F8301C">
        <w:rPr>
          <w:b/>
          <w:bCs/>
        </w:rPr>
        <w:instrText xml:space="preserve"> SEQ Slika \* ARABIC \s 1 </w:instrText>
      </w:r>
      <w:r w:rsidRPr="00F8301C">
        <w:rPr>
          <w:b/>
          <w:bCs/>
        </w:rPr>
        <w:fldChar w:fldCharType="separate"/>
      </w:r>
      <w:r w:rsidR="009C319B">
        <w:rPr>
          <w:b/>
          <w:bCs/>
          <w:noProof/>
        </w:rPr>
        <w:t>1</w:t>
      </w:r>
      <w:r w:rsidRPr="00F8301C">
        <w:rPr>
          <w:b/>
          <w:bCs/>
        </w:rPr>
        <w:fldChar w:fldCharType="end"/>
      </w:r>
      <w:bookmarkEnd w:id="434"/>
      <w:r w:rsidR="009311AB" w:rsidRPr="00F8301C">
        <w:rPr>
          <w:b/>
          <w:bCs/>
        </w:rPr>
        <w:t xml:space="preserve"> </w:t>
      </w:r>
      <w:r w:rsidR="009311AB" w:rsidRPr="00F8301C">
        <w:rPr>
          <w:bCs/>
        </w:rPr>
        <w:t xml:space="preserve">Projekcija udjela podsektora u </w:t>
      </w:r>
      <w:r w:rsidR="00F8301C">
        <w:rPr>
          <w:bCs/>
        </w:rPr>
        <w:t>očekivanom smanjenju</w:t>
      </w:r>
      <w:r w:rsidR="009311AB" w:rsidRPr="00F8301C">
        <w:rPr>
          <w:bCs/>
        </w:rPr>
        <w:t xml:space="preserve"> emisija CO</w:t>
      </w:r>
      <w:r w:rsidR="009311AB" w:rsidRPr="00F8301C">
        <w:rPr>
          <w:bCs/>
          <w:vertAlign w:val="subscript"/>
        </w:rPr>
        <w:t>2</w:t>
      </w:r>
      <w:r w:rsidR="009311AB" w:rsidRPr="00F8301C">
        <w:rPr>
          <w:bCs/>
        </w:rPr>
        <w:t xml:space="preserve"> do 2020. godine</w:t>
      </w:r>
      <w:bookmarkEnd w:id="435"/>
      <w:r w:rsidR="002F58D8" w:rsidRPr="007C7920">
        <w:rPr>
          <w:highlight w:val="yellow"/>
        </w:rPr>
        <w:br w:type="page"/>
      </w:r>
    </w:p>
    <w:p w14:paraId="78C5DF93" w14:textId="21EB614B" w:rsidR="00F15E98" w:rsidRPr="00296495" w:rsidRDefault="004160FA" w:rsidP="00E92750">
      <w:pPr>
        <w:pStyle w:val="Heading1"/>
        <w:spacing w:before="240" w:after="240" w:line="240" w:lineRule="auto"/>
        <w:ind w:left="431" w:hanging="431"/>
        <w:jc w:val="both"/>
        <w:rPr>
          <w:rFonts w:eastAsia="Times New Roman"/>
          <w:b/>
        </w:rPr>
      </w:pPr>
      <w:bookmarkStart w:id="436" w:name="_Toc468345398"/>
      <w:r w:rsidRPr="00296495">
        <w:rPr>
          <w:rFonts w:eastAsia="Times New Roman"/>
          <w:b/>
        </w:rPr>
        <w:lastRenderedPageBreak/>
        <w:t>MEHANIZMI FINANCIRANJA PROVEDBE AKCIJSKOG PLANA</w:t>
      </w:r>
      <w:bookmarkEnd w:id="436"/>
    </w:p>
    <w:p w14:paraId="66EA9EDF"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bookmarkStart w:id="437" w:name="_Toc251924050"/>
      <w:r w:rsidRPr="00296495">
        <w:rPr>
          <w:rFonts w:ascii="Calibri" w:eastAsia="Times New Roman" w:hAnsi="Calibri" w:cs="Times New Roman"/>
        </w:rPr>
        <w:t xml:space="preserve">Implementacija identificiranih mjera zahtijevat će mobilizaciju značajnih financijskih sredstava. </w:t>
      </w:r>
    </w:p>
    <w:p w14:paraId="51DDB62A"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Pregled potencijalnih izvora financiranja provedbe mjera iz ovog Plana generalno obuhvaća tri kategorije financijskih instrumenata:</w:t>
      </w:r>
    </w:p>
    <w:p w14:paraId="41A24B57" w14:textId="77777777" w:rsidR="00296495" w:rsidRPr="00296495" w:rsidRDefault="00296495" w:rsidP="00EE7021">
      <w:pPr>
        <w:numPr>
          <w:ilvl w:val="0"/>
          <w:numId w:val="53"/>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Financijske instrumente i modele koji su danas dostupni u Republici Hrvatskoj; </w:t>
      </w:r>
    </w:p>
    <w:p w14:paraId="0A311988" w14:textId="77777777" w:rsidR="00296495" w:rsidRPr="00296495" w:rsidRDefault="00296495" w:rsidP="00EE7021">
      <w:pPr>
        <w:numPr>
          <w:ilvl w:val="0"/>
          <w:numId w:val="53"/>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Financijske instrumente i modele koji su danas dostupni EU, ali još nisu korišteni u Hrvatskoj </w:t>
      </w:r>
    </w:p>
    <w:p w14:paraId="18AD307A" w14:textId="77777777" w:rsidR="00296495" w:rsidRPr="00296495" w:rsidRDefault="00296495" w:rsidP="00EE7021">
      <w:pPr>
        <w:numPr>
          <w:ilvl w:val="0"/>
          <w:numId w:val="53"/>
        </w:num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Inovativne financijske modele koji se razvijaju za potrebe realizacije pojedinih mjera iz Akcijskog plana. </w:t>
      </w:r>
    </w:p>
    <w:p w14:paraId="1F88AFB3" w14:textId="49FC7C33" w:rsidR="00296495" w:rsidRPr="00296495" w:rsidRDefault="00296495" w:rsidP="00296495">
      <w:pPr>
        <w:spacing w:line="240" w:lineRule="auto"/>
        <w:jc w:val="both"/>
        <w:rPr>
          <w:rFonts w:ascii="Calibri" w:eastAsia="Times New Roman" w:hAnsi="Calibri" w:cs="Times New Roman"/>
        </w:rPr>
      </w:pPr>
      <w:r w:rsidRPr="00296495">
        <w:rPr>
          <w:rFonts w:ascii="Calibri" w:eastAsia="Times New Roman" w:hAnsi="Calibri" w:cs="Times New Roman"/>
        </w:rPr>
        <w:t xml:space="preserve">U </w:t>
      </w:r>
      <w:r w:rsidRPr="00296495">
        <w:rPr>
          <w:rFonts w:ascii="Calibri" w:eastAsia="Times New Roman" w:hAnsi="Calibri" w:cs="Times New Roman"/>
        </w:rPr>
        <w:fldChar w:fldCharType="begin"/>
      </w:r>
      <w:r w:rsidRPr="00296495">
        <w:rPr>
          <w:rFonts w:ascii="Calibri" w:eastAsia="Times New Roman" w:hAnsi="Calibri" w:cs="Times New Roman"/>
        </w:rPr>
        <w:instrText xml:space="preserve"> REF _Ref468194566 \h </w:instrText>
      </w:r>
      <w:r>
        <w:rPr>
          <w:rFonts w:ascii="Calibri" w:eastAsia="Times New Roman" w:hAnsi="Calibri" w:cs="Times New Roman"/>
        </w:rPr>
        <w:instrText xml:space="preserve"> \* MERGEFORMAT </w:instrText>
      </w:r>
      <w:r w:rsidRPr="00296495">
        <w:rPr>
          <w:rFonts w:ascii="Calibri" w:eastAsia="Times New Roman" w:hAnsi="Calibri" w:cs="Times New Roman"/>
        </w:rPr>
      </w:r>
      <w:r w:rsidRPr="00296495">
        <w:rPr>
          <w:rFonts w:ascii="Calibri" w:eastAsia="Times New Roman" w:hAnsi="Calibri" w:cs="Times New Roman"/>
        </w:rPr>
        <w:fldChar w:fldCharType="separate"/>
      </w:r>
      <w:r>
        <w:rPr>
          <w:b/>
          <w:bCs/>
        </w:rPr>
        <w:t>Tablici</w:t>
      </w:r>
      <w:r w:rsidRPr="00296495">
        <w:rPr>
          <w:b/>
          <w:bCs/>
        </w:rPr>
        <w:t xml:space="preserve"> </w:t>
      </w:r>
      <w:r w:rsidRPr="00296495">
        <w:rPr>
          <w:b/>
          <w:bCs/>
          <w:noProof/>
        </w:rPr>
        <w:t>11</w:t>
      </w:r>
      <w:r w:rsidRPr="00296495">
        <w:rPr>
          <w:b/>
          <w:bCs/>
        </w:rPr>
        <w:t>.</w:t>
      </w:r>
      <w:r w:rsidRPr="00296495">
        <w:rPr>
          <w:b/>
          <w:bCs/>
          <w:noProof/>
        </w:rPr>
        <w:t>1</w:t>
      </w:r>
      <w:r w:rsidRPr="00296495">
        <w:rPr>
          <w:rFonts w:ascii="Calibri" w:eastAsia="Times New Roman" w:hAnsi="Calibri" w:cs="Times New Roman"/>
        </w:rPr>
        <w:fldChar w:fldCharType="end"/>
      </w:r>
      <w:r w:rsidRPr="00296495">
        <w:rPr>
          <w:rFonts w:ascii="Calibri" w:eastAsia="Times New Roman" w:hAnsi="Calibri" w:cs="Times New Roman"/>
        </w:rPr>
        <w:t xml:space="preserve"> dan je pregled mogućih izvora financiranja koji stoji na raspolaganju Gradu Zagrebu za uspješnu realizaciju mjera. </w:t>
      </w:r>
    </w:p>
    <w:p w14:paraId="161776AE" w14:textId="322718B0" w:rsidR="00296495" w:rsidRPr="00296495" w:rsidRDefault="00296495" w:rsidP="00296495">
      <w:pPr>
        <w:tabs>
          <w:tab w:val="left" w:pos="720"/>
          <w:tab w:val="left" w:pos="6912"/>
        </w:tabs>
        <w:spacing w:after="0" w:line="240" w:lineRule="auto"/>
        <w:jc w:val="both"/>
        <w:rPr>
          <w:rFonts w:ascii="Calibri" w:eastAsia="Times New Roman" w:hAnsi="Calibri" w:cs="Times New Roman"/>
          <w:lang w:val="en-US"/>
        </w:rPr>
      </w:pPr>
      <w:bookmarkStart w:id="438" w:name="_Ref468194566"/>
      <w:bookmarkStart w:id="439" w:name="_Toc468277526"/>
      <w:r w:rsidRPr="00882DAD">
        <w:rPr>
          <w:b/>
          <w:bCs/>
        </w:rPr>
        <w:t xml:space="preserve">Tablica </w:t>
      </w:r>
      <w:r w:rsidRPr="00882DAD">
        <w:rPr>
          <w:b/>
          <w:bCs/>
        </w:rPr>
        <w:fldChar w:fldCharType="begin"/>
      </w:r>
      <w:r w:rsidRPr="00882DAD">
        <w:rPr>
          <w:b/>
          <w:bCs/>
        </w:rPr>
        <w:instrText xml:space="preserve"> STYLEREF 1 \s </w:instrText>
      </w:r>
      <w:r w:rsidRPr="00882DAD">
        <w:rPr>
          <w:b/>
          <w:bCs/>
        </w:rPr>
        <w:fldChar w:fldCharType="separate"/>
      </w:r>
      <w:r>
        <w:rPr>
          <w:b/>
          <w:bCs/>
          <w:noProof/>
        </w:rPr>
        <w:t>11</w:t>
      </w:r>
      <w:r w:rsidRPr="00882DAD">
        <w:rPr>
          <w:b/>
          <w:bCs/>
          <w:noProof/>
        </w:rPr>
        <w:fldChar w:fldCharType="end"/>
      </w:r>
      <w:r w:rsidRPr="00882DAD">
        <w:rPr>
          <w:b/>
          <w:bCs/>
        </w:rPr>
        <w:t>.</w:t>
      </w:r>
      <w:r w:rsidRPr="00882DAD">
        <w:rPr>
          <w:b/>
          <w:bCs/>
        </w:rPr>
        <w:fldChar w:fldCharType="begin"/>
      </w:r>
      <w:r w:rsidRPr="00882DAD">
        <w:rPr>
          <w:b/>
          <w:bCs/>
        </w:rPr>
        <w:instrText xml:space="preserve"> SEQ Tablica \* ARABIC \s 1 </w:instrText>
      </w:r>
      <w:r w:rsidRPr="00882DAD">
        <w:rPr>
          <w:b/>
          <w:bCs/>
        </w:rPr>
        <w:fldChar w:fldCharType="separate"/>
      </w:r>
      <w:r>
        <w:rPr>
          <w:b/>
          <w:bCs/>
          <w:noProof/>
        </w:rPr>
        <w:t>1</w:t>
      </w:r>
      <w:r w:rsidRPr="00882DAD">
        <w:rPr>
          <w:b/>
          <w:bCs/>
          <w:noProof/>
        </w:rPr>
        <w:fldChar w:fldCharType="end"/>
      </w:r>
      <w:bookmarkEnd w:id="438"/>
      <w:r w:rsidRPr="00882DAD">
        <w:rPr>
          <w:b/>
          <w:bCs/>
          <w:noProof/>
        </w:rPr>
        <w:t xml:space="preserve"> </w:t>
      </w:r>
      <w:r w:rsidRPr="00296495">
        <w:rPr>
          <w:rFonts w:ascii="Calibri" w:eastAsia="Times New Roman" w:hAnsi="Calibri" w:cs="Times New Roman"/>
          <w:lang w:val="x-none"/>
        </w:rPr>
        <w:t>Pregled mogućih izvora financiranja mjera i aktivnosti</w:t>
      </w:r>
      <w:bookmarkEnd w:id="437"/>
      <w:bookmarkEnd w:id="439"/>
      <w:r w:rsidRPr="00296495">
        <w:rPr>
          <w:rFonts w:ascii="Calibri" w:eastAsia="Times New Roman" w:hAnsi="Calibri" w:cs="Times New Roman"/>
          <w:lang w:val="x-none"/>
        </w:rPr>
        <w:t xml:space="preserve"> </w:t>
      </w:r>
    </w:p>
    <w:tbl>
      <w:tblPr>
        <w:tblW w:w="9126" w:type="dxa"/>
        <w:jc w:val="center"/>
        <w:tblLook w:val="04A0" w:firstRow="1" w:lastRow="0" w:firstColumn="1" w:lastColumn="0" w:noHBand="0" w:noVBand="1"/>
      </w:tblPr>
      <w:tblGrid>
        <w:gridCol w:w="1847"/>
        <w:gridCol w:w="2168"/>
        <w:gridCol w:w="1924"/>
        <w:gridCol w:w="1603"/>
        <w:gridCol w:w="1584"/>
      </w:tblGrid>
      <w:tr w:rsidR="00296495" w:rsidRPr="00296495" w14:paraId="40419713" w14:textId="77777777" w:rsidTr="00296495">
        <w:trPr>
          <w:trHeight w:val="499"/>
          <w:jc w:val="center"/>
        </w:trPr>
        <w:tc>
          <w:tcPr>
            <w:tcW w:w="1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30B300" w14:textId="77777777" w:rsidR="00296495" w:rsidRPr="00296495" w:rsidRDefault="00296495" w:rsidP="00296495">
            <w:pPr>
              <w:spacing w:after="0" w:line="240" w:lineRule="auto"/>
              <w:rPr>
                <w:rFonts w:ascii="Calibri" w:eastAsia="Times New Roman" w:hAnsi="Calibri" w:cs="Times New Roman"/>
                <w:b/>
                <w:bCs/>
                <w:color w:val="000000"/>
                <w:sz w:val="20"/>
                <w:szCs w:val="20"/>
                <w:lang w:eastAsia="hr-HR"/>
              </w:rPr>
            </w:pPr>
            <w:r w:rsidRPr="00296495">
              <w:rPr>
                <w:rFonts w:ascii="Calibri" w:eastAsia="Times New Roman" w:hAnsi="Calibri" w:cs="Times New Roman"/>
                <w:b/>
                <w:bCs/>
                <w:color w:val="000000"/>
                <w:sz w:val="20"/>
                <w:szCs w:val="20"/>
                <w:lang w:eastAsia="hr-HR"/>
              </w:rPr>
              <w:t>Izvor financiranja</w:t>
            </w:r>
          </w:p>
        </w:tc>
        <w:tc>
          <w:tcPr>
            <w:tcW w:w="21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4FCCE8" w14:textId="77777777" w:rsidR="00296495" w:rsidRPr="00296495" w:rsidRDefault="00296495" w:rsidP="00296495">
            <w:pPr>
              <w:spacing w:after="0" w:line="240" w:lineRule="auto"/>
              <w:jc w:val="center"/>
              <w:rPr>
                <w:rFonts w:ascii="Calibri" w:eastAsia="Times New Roman" w:hAnsi="Calibri" w:cs="Times New Roman"/>
                <w:b/>
                <w:bCs/>
                <w:color w:val="000000"/>
                <w:sz w:val="20"/>
                <w:szCs w:val="20"/>
                <w:lang w:eastAsia="hr-HR"/>
              </w:rPr>
            </w:pPr>
            <w:r w:rsidRPr="00296495">
              <w:rPr>
                <w:rFonts w:ascii="Calibri" w:eastAsia="Times New Roman" w:hAnsi="Calibri" w:cs="Times New Roman"/>
                <w:b/>
                <w:bCs/>
                <w:color w:val="000000"/>
                <w:sz w:val="20"/>
                <w:szCs w:val="20"/>
                <w:lang w:eastAsia="hr-HR"/>
              </w:rPr>
              <w:t>Vrsta</w:t>
            </w:r>
          </w:p>
        </w:tc>
        <w:tc>
          <w:tcPr>
            <w:tcW w:w="192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74CC2E" w14:textId="77777777" w:rsidR="00296495" w:rsidRPr="00296495" w:rsidRDefault="00296495" w:rsidP="00296495">
            <w:pPr>
              <w:spacing w:after="0" w:line="240" w:lineRule="auto"/>
              <w:jc w:val="center"/>
              <w:rPr>
                <w:rFonts w:ascii="Calibri" w:eastAsia="Times New Roman" w:hAnsi="Calibri" w:cs="Times New Roman"/>
                <w:b/>
                <w:bCs/>
                <w:color w:val="000000"/>
                <w:sz w:val="20"/>
                <w:szCs w:val="20"/>
                <w:lang w:eastAsia="hr-HR"/>
              </w:rPr>
            </w:pPr>
            <w:r w:rsidRPr="00296495">
              <w:rPr>
                <w:rFonts w:ascii="Calibri" w:eastAsia="Times New Roman" w:hAnsi="Calibri" w:cs="Times New Roman"/>
                <w:b/>
                <w:bCs/>
                <w:color w:val="000000"/>
                <w:sz w:val="20"/>
                <w:szCs w:val="20"/>
                <w:lang w:eastAsia="hr-HR"/>
              </w:rPr>
              <w:t>Maksimalni iznos</w:t>
            </w:r>
          </w:p>
        </w:tc>
        <w:tc>
          <w:tcPr>
            <w:tcW w:w="160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C9C9C4" w14:textId="77777777" w:rsidR="00296495" w:rsidRPr="00296495" w:rsidRDefault="00296495" w:rsidP="00296495">
            <w:pPr>
              <w:spacing w:after="0" w:line="240" w:lineRule="auto"/>
              <w:jc w:val="center"/>
              <w:rPr>
                <w:rFonts w:ascii="Calibri" w:eastAsia="Times New Roman" w:hAnsi="Calibri" w:cs="Times New Roman"/>
                <w:b/>
                <w:bCs/>
                <w:color w:val="000000"/>
                <w:sz w:val="20"/>
                <w:szCs w:val="20"/>
                <w:lang w:eastAsia="hr-HR"/>
              </w:rPr>
            </w:pPr>
            <w:r w:rsidRPr="00296495">
              <w:rPr>
                <w:rFonts w:ascii="Calibri" w:eastAsia="Times New Roman" w:hAnsi="Calibri" w:cs="Times New Roman"/>
                <w:b/>
                <w:bCs/>
                <w:color w:val="000000"/>
                <w:sz w:val="20"/>
                <w:szCs w:val="20"/>
                <w:lang w:eastAsia="hr-HR"/>
              </w:rPr>
              <w:t>Udio u ukupnim troškovima (%)</w:t>
            </w:r>
          </w:p>
        </w:tc>
        <w:tc>
          <w:tcPr>
            <w:tcW w:w="15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4E41DD" w14:textId="77777777" w:rsidR="00296495" w:rsidRPr="00296495" w:rsidRDefault="00296495" w:rsidP="00296495">
            <w:pPr>
              <w:spacing w:after="0" w:line="240" w:lineRule="auto"/>
              <w:jc w:val="center"/>
              <w:rPr>
                <w:rFonts w:ascii="Calibri" w:eastAsia="Times New Roman" w:hAnsi="Calibri" w:cs="Times New Roman"/>
                <w:b/>
                <w:bCs/>
                <w:color w:val="000000"/>
                <w:sz w:val="20"/>
                <w:szCs w:val="20"/>
                <w:lang w:eastAsia="hr-HR"/>
              </w:rPr>
            </w:pPr>
            <w:r w:rsidRPr="00296495">
              <w:rPr>
                <w:rFonts w:ascii="Calibri" w:eastAsia="Times New Roman" w:hAnsi="Calibri" w:cs="Times New Roman"/>
                <w:b/>
                <w:bCs/>
                <w:color w:val="000000"/>
                <w:sz w:val="20"/>
                <w:szCs w:val="20"/>
                <w:lang w:eastAsia="hr-HR"/>
              </w:rPr>
              <w:t>Razdoblje dostupnosti sredstava</w:t>
            </w:r>
          </w:p>
        </w:tc>
      </w:tr>
      <w:tr w:rsidR="00296495" w:rsidRPr="00296495" w14:paraId="35201C63" w14:textId="77777777" w:rsidTr="00296495">
        <w:trPr>
          <w:trHeight w:val="293"/>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2F4D7AF0"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Gradski proračun</w:t>
            </w:r>
          </w:p>
        </w:tc>
        <w:tc>
          <w:tcPr>
            <w:tcW w:w="2168" w:type="dxa"/>
            <w:tcBorders>
              <w:top w:val="nil"/>
              <w:left w:val="nil"/>
              <w:bottom w:val="single" w:sz="4" w:space="0" w:color="auto"/>
              <w:right w:val="single" w:sz="4" w:space="0" w:color="auto"/>
            </w:tcBorders>
            <w:shd w:val="clear" w:color="auto" w:fill="auto"/>
            <w:vAlign w:val="center"/>
            <w:hideMark/>
          </w:tcPr>
          <w:p w14:paraId="4A720428"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Vlastita sredstva</w:t>
            </w:r>
          </w:p>
        </w:tc>
        <w:tc>
          <w:tcPr>
            <w:tcW w:w="1924" w:type="dxa"/>
            <w:tcBorders>
              <w:top w:val="nil"/>
              <w:left w:val="nil"/>
              <w:bottom w:val="single" w:sz="4" w:space="0" w:color="auto"/>
              <w:right w:val="single" w:sz="4" w:space="0" w:color="auto"/>
            </w:tcBorders>
            <w:shd w:val="clear" w:color="auto" w:fill="auto"/>
            <w:vAlign w:val="center"/>
            <w:hideMark/>
          </w:tcPr>
          <w:p w14:paraId="13164A80"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w:t>
            </w:r>
          </w:p>
        </w:tc>
        <w:tc>
          <w:tcPr>
            <w:tcW w:w="1603" w:type="dxa"/>
            <w:tcBorders>
              <w:top w:val="nil"/>
              <w:left w:val="nil"/>
              <w:bottom w:val="single" w:sz="4" w:space="0" w:color="auto"/>
              <w:right w:val="single" w:sz="4" w:space="0" w:color="auto"/>
            </w:tcBorders>
            <w:shd w:val="clear" w:color="auto" w:fill="auto"/>
            <w:vAlign w:val="center"/>
            <w:hideMark/>
          </w:tcPr>
          <w:p w14:paraId="5934CD6A"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100</w:t>
            </w:r>
          </w:p>
        </w:tc>
        <w:tc>
          <w:tcPr>
            <w:tcW w:w="1584" w:type="dxa"/>
            <w:tcBorders>
              <w:top w:val="nil"/>
              <w:left w:val="nil"/>
              <w:bottom w:val="single" w:sz="4" w:space="0" w:color="auto"/>
              <w:right w:val="single" w:sz="4" w:space="0" w:color="auto"/>
            </w:tcBorders>
            <w:shd w:val="clear" w:color="auto" w:fill="auto"/>
            <w:vAlign w:val="center"/>
            <w:hideMark/>
          </w:tcPr>
          <w:p w14:paraId="59B94F32"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- 2019.</w:t>
            </w:r>
          </w:p>
        </w:tc>
      </w:tr>
      <w:tr w:rsidR="00296495" w:rsidRPr="00296495" w14:paraId="73380F2D" w14:textId="77777777" w:rsidTr="00296495">
        <w:trPr>
          <w:trHeight w:val="499"/>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2BEDD908"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Nacionalni programi energetske obnove</w:t>
            </w:r>
          </w:p>
        </w:tc>
        <w:tc>
          <w:tcPr>
            <w:tcW w:w="2168" w:type="dxa"/>
            <w:tcBorders>
              <w:top w:val="nil"/>
              <w:left w:val="nil"/>
              <w:bottom w:val="single" w:sz="4" w:space="0" w:color="auto"/>
              <w:right w:val="single" w:sz="4" w:space="0" w:color="auto"/>
            </w:tcBorders>
            <w:shd w:val="clear" w:color="auto" w:fill="auto"/>
            <w:vAlign w:val="center"/>
            <w:hideMark/>
          </w:tcPr>
          <w:p w14:paraId="5EABE44B"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Bespovratna sredstva/kredit</w:t>
            </w:r>
          </w:p>
        </w:tc>
        <w:tc>
          <w:tcPr>
            <w:tcW w:w="1924" w:type="dxa"/>
            <w:tcBorders>
              <w:top w:val="nil"/>
              <w:left w:val="nil"/>
              <w:bottom w:val="single" w:sz="4" w:space="0" w:color="auto"/>
              <w:right w:val="single" w:sz="4" w:space="0" w:color="auto"/>
            </w:tcBorders>
            <w:shd w:val="clear" w:color="auto" w:fill="auto"/>
            <w:vAlign w:val="center"/>
            <w:hideMark/>
          </w:tcPr>
          <w:p w14:paraId="0361E9AA"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Nije određen</w:t>
            </w:r>
          </w:p>
        </w:tc>
        <w:tc>
          <w:tcPr>
            <w:tcW w:w="1603" w:type="dxa"/>
            <w:tcBorders>
              <w:top w:val="nil"/>
              <w:left w:val="nil"/>
              <w:bottom w:val="single" w:sz="4" w:space="0" w:color="auto"/>
              <w:right w:val="single" w:sz="4" w:space="0" w:color="auto"/>
            </w:tcBorders>
            <w:shd w:val="clear" w:color="auto" w:fill="auto"/>
            <w:vAlign w:val="center"/>
            <w:hideMark/>
          </w:tcPr>
          <w:p w14:paraId="5E4DDF1F"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95</w:t>
            </w:r>
          </w:p>
        </w:tc>
        <w:tc>
          <w:tcPr>
            <w:tcW w:w="1584" w:type="dxa"/>
            <w:tcBorders>
              <w:top w:val="nil"/>
              <w:left w:val="nil"/>
              <w:bottom w:val="single" w:sz="4" w:space="0" w:color="auto"/>
              <w:right w:val="single" w:sz="4" w:space="0" w:color="auto"/>
            </w:tcBorders>
            <w:shd w:val="clear" w:color="auto" w:fill="auto"/>
            <w:vAlign w:val="center"/>
            <w:hideMark/>
          </w:tcPr>
          <w:p w14:paraId="6C758339"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6EAC1BA8" w14:textId="77777777" w:rsidTr="00296495">
        <w:trPr>
          <w:trHeight w:val="293"/>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48AB19B9"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FZOEU</w:t>
            </w:r>
          </w:p>
        </w:tc>
        <w:tc>
          <w:tcPr>
            <w:tcW w:w="2168" w:type="dxa"/>
            <w:tcBorders>
              <w:top w:val="nil"/>
              <w:left w:val="nil"/>
              <w:bottom w:val="single" w:sz="4" w:space="0" w:color="auto"/>
              <w:right w:val="single" w:sz="4" w:space="0" w:color="auto"/>
            </w:tcBorders>
            <w:shd w:val="clear" w:color="auto" w:fill="auto"/>
            <w:vAlign w:val="center"/>
            <w:hideMark/>
          </w:tcPr>
          <w:p w14:paraId="6706A918"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Bespovratna sredstva</w:t>
            </w:r>
          </w:p>
        </w:tc>
        <w:tc>
          <w:tcPr>
            <w:tcW w:w="1924" w:type="dxa"/>
            <w:tcBorders>
              <w:top w:val="nil"/>
              <w:left w:val="nil"/>
              <w:bottom w:val="single" w:sz="4" w:space="0" w:color="auto"/>
              <w:right w:val="single" w:sz="4" w:space="0" w:color="auto"/>
            </w:tcBorders>
            <w:shd w:val="clear" w:color="auto" w:fill="auto"/>
            <w:vAlign w:val="center"/>
            <w:hideMark/>
          </w:tcPr>
          <w:p w14:paraId="0591E439"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Nije određen</w:t>
            </w:r>
          </w:p>
        </w:tc>
        <w:tc>
          <w:tcPr>
            <w:tcW w:w="1603" w:type="dxa"/>
            <w:tcBorders>
              <w:top w:val="nil"/>
              <w:left w:val="nil"/>
              <w:bottom w:val="single" w:sz="4" w:space="0" w:color="auto"/>
              <w:right w:val="single" w:sz="4" w:space="0" w:color="auto"/>
            </w:tcBorders>
            <w:shd w:val="clear" w:color="auto" w:fill="auto"/>
            <w:vAlign w:val="center"/>
            <w:hideMark/>
          </w:tcPr>
          <w:p w14:paraId="48ED24C4"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80</w:t>
            </w:r>
          </w:p>
        </w:tc>
        <w:tc>
          <w:tcPr>
            <w:tcW w:w="1584" w:type="dxa"/>
            <w:tcBorders>
              <w:top w:val="nil"/>
              <w:left w:val="nil"/>
              <w:bottom w:val="single" w:sz="4" w:space="0" w:color="auto"/>
              <w:right w:val="single" w:sz="4" w:space="0" w:color="auto"/>
            </w:tcBorders>
            <w:shd w:val="clear" w:color="auto" w:fill="auto"/>
            <w:vAlign w:val="center"/>
            <w:hideMark/>
          </w:tcPr>
          <w:p w14:paraId="4CA846AC"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6FD079D8" w14:textId="77777777" w:rsidTr="00296495">
        <w:trPr>
          <w:trHeight w:val="499"/>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5BAE00CE"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ESI fondovi</w:t>
            </w:r>
          </w:p>
        </w:tc>
        <w:tc>
          <w:tcPr>
            <w:tcW w:w="2168" w:type="dxa"/>
            <w:tcBorders>
              <w:top w:val="nil"/>
              <w:left w:val="nil"/>
              <w:bottom w:val="single" w:sz="4" w:space="0" w:color="auto"/>
              <w:right w:val="single" w:sz="4" w:space="0" w:color="auto"/>
            </w:tcBorders>
            <w:shd w:val="clear" w:color="auto" w:fill="auto"/>
            <w:vAlign w:val="center"/>
            <w:hideMark/>
          </w:tcPr>
          <w:p w14:paraId="3D61B395"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Bespovratna sredstva</w:t>
            </w:r>
          </w:p>
        </w:tc>
        <w:tc>
          <w:tcPr>
            <w:tcW w:w="1924" w:type="dxa"/>
            <w:tcBorders>
              <w:top w:val="nil"/>
              <w:left w:val="nil"/>
              <w:bottom w:val="single" w:sz="4" w:space="0" w:color="auto"/>
              <w:right w:val="single" w:sz="4" w:space="0" w:color="auto"/>
            </w:tcBorders>
            <w:shd w:val="clear" w:color="auto" w:fill="auto"/>
            <w:vAlign w:val="center"/>
            <w:hideMark/>
          </w:tcPr>
          <w:p w14:paraId="68331F50"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10,676 mlrd EUR ukupno</w:t>
            </w:r>
          </w:p>
        </w:tc>
        <w:tc>
          <w:tcPr>
            <w:tcW w:w="1603" w:type="dxa"/>
            <w:tcBorders>
              <w:top w:val="nil"/>
              <w:left w:val="nil"/>
              <w:bottom w:val="single" w:sz="4" w:space="0" w:color="auto"/>
              <w:right w:val="single" w:sz="4" w:space="0" w:color="auto"/>
            </w:tcBorders>
            <w:shd w:val="clear" w:color="auto" w:fill="auto"/>
            <w:vAlign w:val="center"/>
            <w:hideMark/>
          </w:tcPr>
          <w:p w14:paraId="0C452525"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100</w:t>
            </w:r>
          </w:p>
        </w:tc>
        <w:tc>
          <w:tcPr>
            <w:tcW w:w="1584" w:type="dxa"/>
            <w:tcBorders>
              <w:top w:val="nil"/>
              <w:left w:val="nil"/>
              <w:bottom w:val="single" w:sz="4" w:space="0" w:color="auto"/>
              <w:right w:val="single" w:sz="4" w:space="0" w:color="auto"/>
            </w:tcBorders>
            <w:shd w:val="clear" w:color="auto" w:fill="auto"/>
            <w:vAlign w:val="center"/>
            <w:hideMark/>
          </w:tcPr>
          <w:p w14:paraId="53AEB131"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415A4B1D" w14:textId="77777777" w:rsidTr="00296495">
        <w:trPr>
          <w:trHeight w:val="53"/>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2BDF3387"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HBOR</w:t>
            </w:r>
          </w:p>
        </w:tc>
        <w:tc>
          <w:tcPr>
            <w:tcW w:w="2168" w:type="dxa"/>
            <w:tcBorders>
              <w:top w:val="nil"/>
              <w:left w:val="nil"/>
              <w:bottom w:val="single" w:sz="4" w:space="0" w:color="auto"/>
              <w:right w:val="single" w:sz="4" w:space="0" w:color="auto"/>
            </w:tcBorders>
            <w:shd w:val="clear" w:color="auto" w:fill="auto"/>
            <w:vAlign w:val="center"/>
            <w:hideMark/>
          </w:tcPr>
          <w:p w14:paraId="2CC896CA"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Kredit</w:t>
            </w:r>
          </w:p>
        </w:tc>
        <w:tc>
          <w:tcPr>
            <w:tcW w:w="1924" w:type="dxa"/>
            <w:tcBorders>
              <w:top w:val="nil"/>
              <w:left w:val="nil"/>
              <w:bottom w:val="single" w:sz="4" w:space="0" w:color="auto"/>
              <w:right w:val="single" w:sz="4" w:space="0" w:color="auto"/>
            </w:tcBorders>
            <w:shd w:val="clear" w:color="auto" w:fill="auto"/>
            <w:vAlign w:val="center"/>
            <w:hideMark/>
          </w:tcPr>
          <w:p w14:paraId="264D8792"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Nije određen</w:t>
            </w:r>
          </w:p>
        </w:tc>
        <w:tc>
          <w:tcPr>
            <w:tcW w:w="1603" w:type="dxa"/>
            <w:tcBorders>
              <w:top w:val="nil"/>
              <w:left w:val="nil"/>
              <w:bottom w:val="single" w:sz="4" w:space="0" w:color="auto"/>
              <w:right w:val="single" w:sz="4" w:space="0" w:color="auto"/>
            </w:tcBorders>
            <w:shd w:val="clear" w:color="auto" w:fill="auto"/>
            <w:vAlign w:val="center"/>
            <w:hideMark/>
          </w:tcPr>
          <w:p w14:paraId="0756AAC2"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75</w:t>
            </w:r>
          </w:p>
        </w:tc>
        <w:tc>
          <w:tcPr>
            <w:tcW w:w="1584" w:type="dxa"/>
            <w:tcBorders>
              <w:top w:val="nil"/>
              <w:left w:val="nil"/>
              <w:bottom w:val="single" w:sz="4" w:space="0" w:color="auto"/>
              <w:right w:val="single" w:sz="4" w:space="0" w:color="auto"/>
            </w:tcBorders>
            <w:shd w:val="clear" w:color="auto" w:fill="auto"/>
            <w:vAlign w:val="center"/>
            <w:hideMark/>
          </w:tcPr>
          <w:p w14:paraId="22E1893A"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596F1C43" w14:textId="77777777" w:rsidTr="00296495">
        <w:trPr>
          <w:trHeight w:val="293"/>
          <w:jc w:val="center"/>
        </w:trPr>
        <w:tc>
          <w:tcPr>
            <w:tcW w:w="1847" w:type="dxa"/>
            <w:tcBorders>
              <w:top w:val="nil"/>
              <w:left w:val="single" w:sz="4" w:space="0" w:color="auto"/>
              <w:bottom w:val="nil"/>
              <w:right w:val="single" w:sz="4" w:space="0" w:color="auto"/>
            </w:tcBorders>
            <w:shd w:val="clear" w:color="auto" w:fill="auto"/>
            <w:vAlign w:val="center"/>
            <w:hideMark/>
          </w:tcPr>
          <w:p w14:paraId="40007798"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EIB</w:t>
            </w:r>
          </w:p>
        </w:tc>
        <w:tc>
          <w:tcPr>
            <w:tcW w:w="2168" w:type="dxa"/>
            <w:tcBorders>
              <w:top w:val="nil"/>
              <w:left w:val="nil"/>
              <w:bottom w:val="nil"/>
              <w:right w:val="single" w:sz="4" w:space="0" w:color="auto"/>
            </w:tcBorders>
            <w:shd w:val="clear" w:color="auto" w:fill="auto"/>
            <w:vAlign w:val="center"/>
            <w:hideMark/>
          </w:tcPr>
          <w:p w14:paraId="6CF8D6CF"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Kredit/jamstva</w:t>
            </w:r>
          </w:p>
        </w:tc>
        <w:tc>
          <w:tcPr>
            <w:tcW w:w="1924" w:type="dxa"/>
            <w:tcBorders>
              <w:top w:val="nil"/>
              <w:left w:val="nil"/>
              <w:bottom w:val="single" w:sz="4" w:space="0" w:color="auto"/>
              <w:right w:val="single" w:sz="4" w:space="0" w:color="auto"/>
            </w:tcBorders>
            <w:shd w:val="clear" w:color="auto" w:fill="auto"/>
            <w:vAlign w:val="center"/>
            <w:hideMark/>
          </w:tcPr>
          <w:p w14:paraId="2155C62D"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Nije određen</w:t>
            </w:r>
          </w:p>
        </w:tc>
        <w:tc>
          <w:tcPr>
            <w:tcW w:w="1603" w:type="dxa"/>
            <w:tcBorders>
              <w:top w:val="nil"/>
              <w:left w:val="nil"/>
              <w:bottom w:val="nil"/>
              <w:right w:val="single" w:sz="4" w:space="0" w:color="auto"/>
            </w:tcBorders>
            <w:shd w:val="clear" w:color="auto" w:fill="auto"/>
            <w:vAlign w:val="center"/>
            <w:hideMark/>
          </w:tcPr>
          <w:p w14:paraId="72A0734D"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50</w:t>
            </w:r>
          </w:p>
        </w:tc>
        <w:tc>
          <w:tcPr>
            <w:tcW w:w="1584" w:type="dxa"/>
            <w:tcBorders>
              <w:top w:val="nil"/>
              <w:left w:val="nil"/>
              <w:bottom w:val="nil"/>
              <w:right w:val="single" w:sz="4" w:space="0" w:color="auto"/>
            </w:tcBorders>
            <w:shd w:val="clear" w:color="auto" w:fill="auto"/>
            <w:vAlign w:val="center"/>
            <w:hideMark/>
          </w:tcPr>
          <w:p w14:paraId="107451B4"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679EF3DE" w14:textId="77777777" w:rsidTr="00296495">
        <w:trPr>
          <w:trHeight w:val="293"/>
          <w:jc w:val="center"/>
        </w:trPr>
        <w:tc>
          <w:tcPr>
            <w:tcW w:w="1847" w:type="dxa"/>
            <w:tcBorders>
              <w:top w:val="single" w:sz="4" w:space="0" w:color="auto"/>
              <w:left w:val="single" w:sz="4" w:space="0" w:color="auto"/>
              <w:bottom w:val="nil"/>
              <w:right w:val="single" w:sz="4" w:space="0" w:color="auto"/>
            </w:tcBorders>
            <w:shd w:val="clear" w:color="auto" w:fill="auto"/>
            <w:vAlign w:val="center"/>
            <w:hideMark/>
          </w:tcPr>
          <w:p w14:paraId="169C272F"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EBRD</w:t>
            </w:r>
          </w:p>
        </w:tc>
        <w:tc>
          <w:tcPr>
            <w:tcW w:w="2168" w:type="dxa"/>
            <w:tcBorders>
              <w:top w:val="single" w:sz="4" w:space="0" w:color="auto"/>
              <w:left w:val="nil"/>
              <w:bottom w:val="nil"/>
              <w:right w:val="single" w:sz="4" w:space="0" w:color="auto"/>
            </w:tcBorders>
            <w:shd w:val="clear" w:color="auto" w:fill="auto"/>
            <w:vAlign w:val="center"/>
            <w:hideMark/>
          </w:tcPr>
          <w:p w14:paraId="7F97FEAD"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Kredit</w:t>
            </w:r>
          </w:p>
        </w:tc>
        <w:tc>
          <w:tcPr>
            <w:tcW w:w="1924" w:type="dxa"/>
            <w:tcBorders>
              <w:top w:val="nil"/>
              <w:left w:val="nil"/>
              <w:bottom w:val="single" w:sz="4" w:space="0" w:color="auto"/>
              <w:right w:val="single" w:sz="4" w:space="0" w:color="auto"/>
            </w:tcBorders>
            <w:shd w:val="clear" w:color="auto" w:fill="auto"/>
            <w:vAlign w:val="center"/>
            <w:hideMark/>
          </w:tcPr>
          <w:p w14:paraId="0512336E"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5-230 mil. EUR po projektu</w:t>
            </w:r>
          </w:p>
        </w:tc>
        <w:tc>
          <w:tcPr>
            <w:tcW w:w="1603" w:type="dxa"/>
            <w:tcBorders>
              <w:top w:val="single" w:sz="4" w:space="0" w:color="auto"/>
              <w:left w:val="nil"/>
              <w:bottom w:val="nil"/>
              <w:right w:val="single" w:sz="4" w:space="0" w:color="auto"/>
            </w:tcBorders>
            <w:shd w:val="clear" w:color="auto" w:fill="auto"/>
            <w:vAlign w:val="center"/>
            <w:hideMark/>
          </w:tcPr>
          <w:p w14:paraId="264BAAC0"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35</w:t>
            </w:r>
          </w:p>
        </w:tc>
        <w:tc>
          <w:tcPr>
            <w:tcW w:w="1584" w:type="dxa"/>
            <w:tcBorders>
              <w:top w:val="single" w:sz="4" w:space="0" w:color="auto"/>
              <w:left w:val="nil"/>
              <w:bottom w:val="nil"/>
              <w:right w:val="single" w:sz="4" w:space="0" w:color="auto"/>
            </w:tcBorders>
            <w:shd w:val="clear" w:color="auto" w:fill="auto"/>
            <w:vAlign w:val="center"/>
            <w:hideMark/>
          </w:tcPr>
          <w:p w14:paraId="3FE24C89"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09EAF867" w14:textId="77777777" w:rsidTr="00296495">
        <w:trPr>
          <w:trHeight w:val="293"/>
          <w:jc w:val="center"/>
        </w:trPr>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E6C28"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EEEF</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56881292"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Kredit</w:t>
            </w:r>
          </w:p>
        </w:tc>
        <w:tc>
          <w:tcPr>
            <w:tcW w:w="1924" w:type="dxa"/>
            <w:tcBorders>
              <w:top w:val="nil"/>
              <w:left w:val="nil"/>
              <w:bottom w:val="single" w:sz="4" w:space="0" w:color="auto"/>
              <w:right w:val="single" w:sz="4" w:space="0" w:color="auto"/>
            </w:tcBorders>
            <w:shd w:val="clear" w:color="auto" w:fill="auto"/>
            <w:vAlign w:val="center"/>
            <w:hideMark/>
          </w:tcPr>
          <w:p w14:paraId="3D3D554A"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Nije određen</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74FDC116"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100</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45E55497"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5A617ACD" w14:textId="77777777" w:rsidTr="00296495">
        <w:trPr>
          <w:trHeight w:val="293"/>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16484F34"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WeBSEFF II</w:t>
            </w:r>
          </w:p>
        </w:tc>
        <w:tc>
          <w:tcPr>
            <w:tcW w:w="2168" w:type="dxa"/>
            <w:tcBorders>
              <w:top w:val="nil"/>
              <w:left w:val="nil"/>
              <w:bottom w:val="single" w:sz="4" w:space="0" w:color="auto"/>
              <w:right w:val="single" w:sz="4" w:space="0" w:color="auto"/>
            </w:tcBorders>
            <w:shd w:val="clear" w:color="auto" w:fill="auto"/>
            <w:vAlign w:val="center"/>
            <w:hideMark/>
          </w:tcPr>
          <w:p w14:paraId="6F1331D0"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Kredit/bespovratna sredstva</w:t>
            </w:r>
          </w:p>
        </w:tc>
        <w:tc>
          <w:tcPr>
            <w:tcW w:w="1924" w:type="dxa"/>
            <w:tcBorders>
              <w:top w:val="nil"/>
              <w:left w:val="nil"/>
              <w:bottom w:val="single" w:sz="4" w:space="0" w:color="auto"/>
              <w:right w:val="single" w:sz="4" w:space="0" w:color="auto"/>
            </w:tcBorders>
            <w:shd w:val="clear" w:color="auto" w:fill="auto"/>
            <w:vAlign w:val="center"/>
            <w:hideMark/>
          </w:tcPr>
          <w:p w14:paraId="4E6AF40B"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2,5 mil. EUR</w:t>
            </w:r>
          </w:p>
        </w:tc>
        <w:tc>
          <w:tcPr>
            <w:tcW w:w="1603" w:type="dxa"/>
            <w:tcBorders>
              <w:top w:val="nil"/>
              <w:left w:val="nil"/>
              <w:bottom w:val="single" w:sz="4" w:space="0" w:color="auto"/>
              <w:right w:val="single" w:sz="4" w:space="0" w:color="auto"/>
            </w:tcBorders>
            <w:shd w:val="clear" w:color="auto" w:fill="auto"/>
            <w:vAlign w:val="center"/>
            <w:hideMark/>
          </w:tcPr>
          <w:p w14:paraId="78213105"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50</w:t>
            </w:r>
          </w:p>
        </w:tc>
        <w:tc>
          <w:tcPr>
            <w:tcW w:w="1584" w:type="dxa"/>
            <w:tcBorders>
              <w:top w:val="nil"/>
              <w:left w:val="nil"/>
              <w:bottom w:val="single" w:sz="4" w:space="0" w:color="auto"/>
              <w:right w:val="single" w:sz="4" w:space="0" w:color="auto"/>
            </w:tcBorders>
            <w:shd w:val="clear" w:color="auto" w:fill="auto"/>
            <w:vAlign w:val="center"/>
            <w:hideMark/>
          </w:tcPr>
          <w:p w14:paraId="2C6283A7"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068C5ABE" w14:textId="77777777" w:rsidTr="00296495">
        <w:trPr>
          <w:trHeight w:val="293"/>
          <w:jc w:val="center"/>
        </w:trPr>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10235"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Obzor 2020</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69AE8F22"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Bespovratna sredstva</w:t>
            </w:r>
          </w:p>
        </w:tc>
        <w:tc>
          <w:tcPr>
            <w:tcW w:w="1924" w:type="dxa"/>
            <w:tcBorders>
              <w:top w:val="nil"/>
              <w:left w:val="nil"/>
              <w:bottom w:val="single" w:sz="4" w:space="0" w:color="auto"/>
              <w:right w:val="single" w:sz="4" w:space="0" w:color="auto"/>
            </w:tcBorders>
            <w:shd w:val="clear" w:color="auto" w:fill="auto"/>
            <w:vAlign w:val="center"/>
            <w:hideMark/>
          </w:tcPr>
          <w:p w14:paraId="68B5EA0F"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18 mil. EUR</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25E13211"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100</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4B4A903D"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6D3B1448" w14:textId="77777777" w:rsidTr="00296495">
        <w:trPr>
          <w:trHeight w:val="499"/>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5181D1B0"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EU programi teritorijalne suradnje</w:t>
            </w:r>
          </w:p>
        </w:tc>
        <w:tc>
          <w:tcPr>
            <w:tcW w:w="2168" w:type="dxa"/>
            <w:tcBorders>
              <w:top w:val="nil"/>
              <w:left w:val="nil"/>
              <w:bottom w:val="single" w:sz="4" w:space="0" w:color="auto"/>
              <w:right w:val="single" w:sz="4" w:space="0" w:color="auto"/>
            </w:tcBorders>
            <w:shd w:val="clear" w:color="auto" w:fill="auto"/>
            <w:vAlign w:val="center"/>
            <w:hideMark/>
          </w:tcPr>
          <w:p w14:paraId="7C561C49"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Bespovratna sredstva</w:t>
            </w:r>
          </w:p>
        </w:tc>
        <w:tc>
          <w:tcPr>
            <w:tcW w:w="1924" w:type="dxa"/>
            <w:tcBorders>
              <w:top w:val="nil"/>
              <w:left w:val="nil"/>
              <w:bottom w:val="single" w:sz="4" w:space="0" w:color="auto"/>
              <w:right w:val="single" w:sz="4" w:space="0" w:color="auto"/>
            </w:tcBorders>
            <w:shd w:val="clear" w:color="auto" w:fill="auto"/>
            <w:vAlign w:val="center"/>
            <w:hideMark/>
          </w:tcPr>
          <w:p w14:paraId="0E880413"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5 mil. EUR po projektu</w:t>
            </w:r>
          </w:p>
        </w:tc>
        <w:tc>
          <w:tcPr>
            <w:tcW w:w="1603" w:type="dxa"/>
            <w:tcBorders>
              <w:top w:val="nil"/>
              <w:left w:val="nil"/>
              <w:bottom w:val="single" w:sz="4" w:space="0" w:color="auto"/>
              <w:right w:val="single" w:sz="4" w:space="0" w:color="auto"/>
            </w:tcBorders>
            <w:shd w:val="clear" w:color="auto" w:fill="auto"/>
            <w:vAlign w:val="center"/>
            <w:hideMark/>
          </w:tcPr>
          <w:p w14:paraId="13110194"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85</w:t>
            </w:r>
          </w:p>
        </w:tc>
        <w:tc>
          <w:tcPr>
            <w:tcW w:w="1584" w:type="dxa"/>
            <w:tcBorders>
              <w:top w:val="nil"/>
              <w:left w:val="nil"/>
              <w:bottom w:val="single" w:sz="4" w:space="0" w:color="auto"/>
              <w:right w:val="single" w:sz="4" w:space="0" w:color="auto"/>
            </w:tcBorders>
            <w:shd w:val="clear" w:color="auto" w:fill="auto"/>
            <w:vAlign w:val="center"/>
            <w:hideMark/>
          </w:tcPr>
          <w:p w14:paraId="0E7658D8"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2A953632" w14:textId="77777777" w:rsidTr="00296495">
        <w:trPr>
          <w:trHeight w:val="293"/>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0E8608BE"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ELENA</w:t>
            </w:r>
          </w:p>
        </w:tc>
        <w:tc>
          <w:tcPr>
            <w:tcW w:w="2168" w:type="dxa"/>
            <w:tcBorders>
              <w:top w:val="nil"/>
              <w:left w:val="nil"/>
              <w:bottom w:val="single" w:sz="4" w:space="0" w:color="auto"/>
              <w:right w:val="single" w:sz="4" w:space="0" w:color="auto"/>
            </w:tcBorders>
            <w:shd w:val="clear" w:color="auto" w:fill="auto"/>
            <w:vAlign w:val="center"/>
            <w:hideMark/>
          </w:tcPr>
          <w:p w14:paraId="470A1ACB"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Bespovratna sredstva</w:t>
            </w:r>
          </w:p>
        </w:tc>
        <w:tc>
          <w:tcPr>
            <w:tcW w:w="1924" w:type="dxa"/>
            <w:tcBorders>
              <w:top w:val="nil"/>
              <w:left w:val="nil"/>
              <w:bottom w:val="single" w:sz="4" w:space="0" w:color="auto"/>
              <w:right w:val="single" w:sz="4" w:space="0" w:color="auto"/>
            </w:tcBorders>
            <w:shd w:val="clear" w:color="auto" w:fill="auto"/>
            <w:vAlign w:val="center"/>
            <w:hideMark/>
          </w:tcPr>
          <w:p w14:paraId="69B2B94E"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Nije određen</w:t>
            </w:r>
          </w:p>
        </w:tc>
        <w:tc>
          <w:tcPr>
            <w:tcW w:w="1603" w:type="dxa"/>
            <w:tcBorders>
              <w:top w:val="nil"/>
              <w:left w:val="nil"/>
              <w:bottom w:val="single" w:sz="4" w:space="0" w:color="auto"/>
              <w:right w:val="single" w:sz="4" w:space="0" w:color="auto"/>
            </w:tcBorders>
            <w:shd w:val="clear" w:color="auto" w:fill="auto"/>
            <w:vAlign w:val="center"/>
            <w:hideMark/>
          </w:tcPr>
          <w:p w14:paraId="087BE431"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90</w:t>
            </w:r>
          </w:p>
        </w:tc>
        <w:tc>
          <w:tcPr>
            <w:tcW w:w="1584" w:type="dxa"/>
            <w:tcBorders>
              <w:top w:val="nil"/>
              <w:left w:val="nil"/>
              <w:bottom w:val="single" w:sz="4" w:space="0" w:color="auto"/>
              <w:right w:val="single" w:sz="4" w:space="0" w:color="auto"/>
            </w:tcBorders>
            <w:shd w:val="clear" w:color="auto" w:fill="auto"/>
            <w:vAlign w:val="center"/>
            <w:hideMark/>
          </w:tcPr>
          <w:p w14:paraId="13EDF323"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1A1467DB" w14:textId="77777777" w:rsidTr="00296495">
        <w:trPr>
          <w:trHeight w:val="499"/>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394CE3A5"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JESSICA</w:t>
            </w:r>
          </w:p>
        </w:tc>
        <w:tc>
          <w:tcPr>
            <w:tcW w:w="2168" w:type="dxa"/>
            <w:tcBorders>
              <w:top w:val="nil"/>
              <w:left w:val="nil"/>
              <w:bottom w:val="single" w:sz="4" w:space="0" w:color="auto"/>
              <w:right w:val="single" w:sz="4" w:space="0" w:color="auto"/>
            </w:tcBorders>
            <w:shd w:val="clear" w:color="auto" w:fill="auto"/>
            <w:vAlign w:val="center"/>
            <w:hideMark/>
          </w:tcPr>
          <w:p w14:paraId="55C615B8"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Bespovratna sredstva/kredit/jamstva</w:t>
            </w:r>
          </w:p>
        </w:tc>
        <w:tc>
          <w:tcPr>
            <w:tcW w:w="1924" w:type="dxa"/>
            <w:tcBorders>
              <w:top w:val="nil"/>
              <w:left w:val="nil"/>
              <w:bottom w:val="single" w:sz="4" w:space="0" w:color="auto"/>
              <w:right w:val="single" w:sz="4" w:space="0" w:color="auto"/>
            </w:tcBorders>
            <w:shd w:val="clear" w:color="auto" w:fill="auto"/>
            <w:vAlign w:val="center"/>
            <w:hideMark/>
          </w:tcPr>
          <w:p w14:paraId="2B3C1973"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Nije određen</w:t>
            </w:r>
          </w:p>
        </w:tc>
        <w:tc>
          <w:tcPr>
            <w:tcW w:w="1603" w:type="dxa"/>
            <w:tcBorders>
              <w:top w:val="nil"/>
              <w:left w:val="nil"/>
              <w:bottom w:val="single" w:sz="4" w:space="0" w:color="auto"/>
              <w:right w:val="single" w:sz="4" w:space="0" w:color="auto"/>
            </w:tcBorders>
            <w:shd w:val="clear" w:color="auto" w:fill="auto"/>
            <w:vAlign w:val="center"/>
            <w:hideMark/>
          </w:tcPr>
          <w:p w14:paraId="3BA90FF1"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100</w:t>
            </w:r>
          </w:p>
        </w:tc>
        <w:tc>
          <w:tcPr>
            <w:tcW w:w="1584" w:type="dxa"/>
            <w:tcBorders>
              <w:top w:val="nil"/>
              <w:left w:val="nil"/>
              <w:bottom w:val="single" w:sz="4" w:space="0" w:color="auto"/>
              <w:right w:val="single" w:sz="4" w:space="0" w:color="auto"/>
            </w:tcBorders>
            <w:shd w:val="clear" w:color="auto" w:fill="auto"/>
            <w:vAlign w:val="center"/>
            <w:hideMark/>
          </w:tcPr>
          <w:p w14:paraId="5FD56F1C"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412251C4" w14:textId="77777777" w:rsidTr="00296495">
        <w:trPr>
          <w:trHeight w:val="293"/>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1BE0F881"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JASPERS</w:t>
            </w:r>
          </w:p>
        </w:tc>
        <w:tc>
          <w:tcPr>
            <w:tcW w:w="2168" w:type="dxa"/>
            <w:tcBorders>
              <w:top w:val="nil"/>
              <w:left w:val="nil"/>
              <w:bottom w:val="single" w:sz="4" w:space="0" w:color="auto"/>
              <w:right w:val="single" w:sz="4" w:space="0" w:color="auto"/>
            </w:tcBorders>
            <w:shd w:val="clear" w:color="auto" w:fill="auto"/>
            <w:vAlign w:val="center"/>
            <w:hideMark/>
          </w:tcPr>
          <w:p w14:paraId="20AA2C54"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Tehnička pomoć</w:t>
            </w:r>
          </w:p>
        </w:tc>
        <w:tc>
          <w:tcPr>
            <w:tcW w:w="1924" w:type="dxa"/>
            <w:tcBorders>
              <w:top w:val="nil"/>
              <w:left w:val="nil"/>
              <w:bottom w:val="single" w:sz="4" w:space="0" w:color="auto"/>
              <w:right w:val="single" w:sz="4" w:space="0" w:color="auto"/>
            </w:tcBorders>
            <w:shd w:val="clear" w:color="auto" w:fill="auto"/>
            <w:vAlign w:val="center"/>
            <w:hideMark/>
          </w:tcPr>
          <w:p w14:paraId="3B736696"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w:t>
            </w:r>
          </w:p>
        </w:tc>
        <w:tc>
          <w:tcPr>
            <w:tcW w:w="1603" w:type="dxa"/>
            <w:tcBorders>
              <w:top w:val="nil"/>
              <w:left w:val="nil"/>
              <w:bottom w:val="single" w:sz="4" w:space="0" w:color="auto"/>
              <w:right w:val="single" w:sz="4" w:space="0" w:color="auto"/>
            </w:tcBorders>
            <w:shd w:val="clear" w:color="auto" w:fill="auto"/>
            <w:vAlign w:val="center"/>
            <w:hideMark/>
          </w:tcPr>
          <w:p w14:paraId="55335AB0"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w:t>
            </w:r>
          </w:p>
        </w:tc>
        <w:tc>
          <w:tcPr>
            <w:tcW w:w="1584" w:type="dxa"/>
            <w:tcBorders>
              <w:top w:val="nil"/>
              <w:left w:val="nil"/>
              <w:bottom w:val="single" w:sz="4" w:space="0" w:color="auto"/>
              <w:right w:val="single" w:sz="4" w:space="0" w:color="auto"/>
            </w:tcBorders>
            <w:shd w:val="clear" w:color="auto" w:fill="auto"/>
            <w:vAlign w:val="center"/>
            <w:hideMark/>
          </w:tcPr>
          <w:p w14:paraId="2E2AF5BE"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23DCC481" w14:textId="77777777" w:rsidTr="00296495">
        <w:trPr>
          <w:trHeight w:val="499"/>
          <w:jc w:val="center"/>
        </w:trPr>
        <w:tc>
          <w:tcPr>
            <w:tcW w:w="1847" w:type="dxa"/>
            <w:tcBorders>
              <w:top w:val="nil"/>
              <w:left w:val="single" w:sz="4" w:space="0" w:color="auto"/>
              <w:bottom w:val="single" w:sz="4" w:space="0" w:color="auto"/>
              <w:right w:val="single" w:sz="4" w:space="0" w:color="auto"/>
            </w:tcBorders>
            <w:shd w:val="clear" w:color="auto" w:fill="auto"/>
            <w:vAlign w:val="center"/>
            <w:hideMark/>
          </w:tcPr>
          <w:p w14:paraId="5CA79A94"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Darovnice članica Europske Ekonomske Zone i Norveške</w:t>
            </w:r>
          </w:p>
        </w:tc>
        <w:tc>
          <w:tcPr>
            <w:tcW w:w="2168" w:type="dxa"/>
            <w:tcBorders>
              <w:top w:val="nil"/>
              <w:left w:val="nil"/>
              <w:bottom w:val="single" w:sz="4" w:space="0" w:color="auto"/>
              <w:right w:val="single" w:sz="4" w:space="0" w:color="auto"/>
            </w:tcBorders>
            <w:shd w:val="clear" w:color="auto" w:fill="auto"/>
            <w:vAlign w:val="center"/>
            <w:hideMark/>
          </w:tcPr>
          <w:p w14:paraId="24E1F975"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Bespovratna sredstva</w:t>
            </w:r>
          </w:p>
        </w:tc>
        <w:tc>
          <w:tcPr>
            <w:tcW w:w="1924" w:type="dxa"/>
            <w:tcBorders>
              <w:top w:val="nil"/>
              <w:left w:val="nil"/>
              <w:bottom w:val="single" w:sz="4" w:space="0" w:color="auto"/>
              <w:right w:val="single" w:sz="4" w:space="0" w:color="auto"/>
            </w:tcBorders>
            <w:shd w:val="clear" w:color="auto" w:fill="auto"/>
            <w:vAlign w:val="center"/>
            <w:hideMark/>
          </w:tcPr>
          <w:p w14:paraId="0C2BC13E"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103,4 mil. EUR ukupno</w:t>
            </w:r>
          </w:p>
        </w:tc>
        <w:tc>
          <w:tcPr>
            <w:tcW w:w="1603" w:type="dxa"/>
            <w:tcBorders>
              <w:top w:val="nil"/>
              <w:left w:val="nil"/>
              <w:bottom w:val="single" w:sz="4" w:space="0" w:color="auto"/>
              <w:right w:val="single" w:sz="4" w:space="0" w:color="auto"/>
            </w:tcBorders>
            <w:shd w:val="clear" w:color="auto" w:fill="auto"/>
            <w:vAlign w:val="center"/>
            <w:hideMark/>
          </w:tcPr>
          <w:p w14:paraId="05A122CC"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Nije određeno</w:t>
            </w:r>
          </w:p>
        </w:tc>
        <w:tc>
          <w:tcPr>
            <w:tcW w:w="1584" w:type="dxa"/>
            <w:tcBorders>
              <w:top w:val="nil"/>
              <w:left w:val="nil"/>
              <w:bottom w:val="single" w:sz="4" w:space="0" w:color="auto"/>
              <w:right w:val="single" w:sz="4" w:space="0" w:color="auto"/>
            </w:tcBorders>
            <w:shd w:val="clear" w:color="auto" w:fill="auto"/>
            <w:vAlign w:val="center"/>
            <w:hideMark/>
          </w:tcPr>
          <w:p w14:paraId="11C0933A"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- 2021.</w:t>
            </w:r>
          </w:p>
        </w:tc>
      </w:tr>
      <w:tr w:rsidR="00296495" w:rsidRPr="00296495" w14:paraId="2FE21A66" w14:textId="77777777" w:rsidTr="00296495">
        <w:trPr>
          <w:trHeight w:val="499"/>
          <w:jc w:val="center"/>
        </w:trPr>
        <w:tc>
          <w:tcPr>
            <w:tcW w:w="1847" w:type="dxa"/>
            <w:tcBorders>
              <w:top w:val="nil"/>
              <w:left w:val="single" w:sz="4" w:space="0" w:color="auto"/>
              <w:bottom w:val="single" w:sz="4" w:space="0" w:color="auto"/>
              <w:right w:val="single" w:sz="4" w:space="0" w:color="auto"/>
            </w:tcBorders>
            <w:shd w:val="clear" w:color="auto" w:fill="auto"/>
            <w:vAlign w:val="center"/>
          </w:tcPr>
          <w:p w14:paraId="676B57B0"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ESCO</w:t>
            </w:r>
          </w:p>
        </w:tc>
        <w:tc>
          <w:tcPr>
            <w:tcW w:w="2168" w:type="dxa"/>
            <w:tcBorders>
              <w:top w:val="nil"/>
              <w:left w:val="nil"/>
              <w:bottom w:val="single" w:sz="4" w:space="0" w:color="auto"/>
              <w:right w:val="single" w:sz="4" w:space="0" w:color="auto"/>
            </w:tcBorders>
            <w:shd w:val="clear" w:color="auto" w:fill="auto"/>
            <w:vAlign w:val="center"/>
          </w:tcPr>
          <w:p w14:paraId="1C0FD813"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Privatni kapital/kredit</w:t>
            </w:r>
          </w:p>
        </w:tc>
        <w:tc>
          <w:tcPr>
            <w:tcW w:w="1924" w:type="dxa"/>
            <w:tcBorders>
              <w:top w:val="nil"/>
              <w:left w:val="nil"/>
              <w:bottom w:val="single" w:sz="4" w:space="0" w:color="auto"/>
              <w:right w:val="single" w:sz="4" w:space="0" w:color="auto"/>
            </w:tcBorders>
            <w:shd w:val="clear" w:color="auto" w:fill="auto"/>
            <w:vAlign w:val="center"/>
          </w:tcPr>
          <w:p w14:paraId="26E12247"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w:t>
            </w:r>
          </w:p>
        </w:tc>
        <w:tc>
          <w:tcPr>
            <w:tcW w:w="1603" w:type="dxa"/>
            <w:tcBorders>
              <w:top w:val="nil"/>
              <w:left w:val="nil"/>
              <w:bottom w:val="single" w:sz="4" w:space="0" w:color="auto"/>
              <w:right w:val="single" w:sz="4" w:space="0" w:color="auto"/>
            </w:tcBorders>
            <w:shd w:val="clear" w:color="auto" w:fill="auto"/>
            <w:vAlign w:val="center"/>
          </w:tcPr>
          <w:p w14:paraId="25ECBB50"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100</w:t>
            </w:r>
          </w:p>
        </w:tc>
        <w:tc>
          <w:tcPr>
            <w:tcW w:w="1584" w:type="dxa"/>
            <w:tcBorders>
              <w:top w:val="nil"/>
              <w:left w:val="nil"/>
              <w:bottom w:val="single" w:sz="4" w:space="0" w:color="auto"/>
              <w:right w:val="single" w:sz="4" w:space="0" w:color="auto"/>
            </w:tcBorders>
            <w:shd w:val="clear" w:color="auto" w:fill="auto"/>
            <w:vAlign w:val="center"/>
          </w:tcPr>
          <w:p w14:paraId="05DAA46A"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r w:rsidR="00296495" w:rsidRPr="00296495" w14:paraId="3A15C1BB" w14:textId="77777777" w:rsidTr="00296495">
        <w:trPr>
          <w:trHeight w:val="293"/>
          <w:jc w:val="center"/>
        </w:trPr>
        <w:tc>
          <w:tcPr>
            <w:tcW w:w="1847" w:type="dxa"/>
            <w:tcBorders>
              <w:top w:val="nil"/>
              <w:left w:val="single" w:sz="4" w:space="0" w:color="auto"/>
              <w:bottom w:val="single" w:sz="4" w:space="0" w:color="auto"/>
              <w:right w:val="single" w:sz="4" w:space="0" w:color="auto"/>
            </w:tcBorders>
            <w:shd w:val="clear" w:color="auto" w:fill="auto"/>
            <w:vAlign w:val="center"/>
          </w:tcPr>
          <w:p w14:paraId="101B951F" w14:textId="77777777" w:rsidR="00296495" w:rsidRPr="00296495" w:rsidRDefault="00296495" w:rsidP="00296495">
            <w:pPr>
              <w:spacing w:after="0" w:line="240" w:lineRule="auto"/>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Javno-privatno partnerstvo</w:t>
            </w:r>
          </w:p>
        </w:tc>
        <w:tc>
          <w:tcPr>
            <w:tcW w:w="2168" w:type="dxa"/>
            <w:tcBorders>
              <w:top w:val="nil"/>
              <w:left w:val="nil"/>
              <w:bottom w:val="single" w:sz="4" w:space="0" w:color="auto"/>
              <w:right w:val="single" w:sz="4" w:space="0" w:color="auto"/>
            </w:tcBorders>
            <w:shd w:val="clear" w:color="auto" w:fill="auto"/>
            <w:vAlign w:val="center"/>
          </w:tcPr>
          <w:p w14:paraId="0D34867B"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Privatni kapital</w:t>
            </w:r>
          </w:p>
        </w:tc>
        <w:tc>
          <w:tcPr>
            <w:tcW w:w="1924" w:type="dxa"/>
            <w:tcBorders>
              <w:top w:val="nil"/>
              <w:left w:val="nil"/>
              <w:bottom w:val="single" w:sz="4" w:space="0" w:color="auto"/>
              <w:right w:val="single" w:sz="4" w:space="0" w:color="auto"/>
            </w:tcBorders>
            <w:shd w:val="clear" w:color="auto" w:fill="auto"/>
            <w:vAlign w:val="center"/>
          </w:tcPr>
          <w:p w14:paraId="3317C359"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w:t>
            </w:r>
          </w:p>
        </w:tc>
        <w:tc>
          <w:tcPr>
            <w:tcW w:w="1603" w:type="dxa"/>
            <w:tcBorders>
              <w:top w:val="nil"/>
              <w:left w:val="nil"/>
              <w:bottom w:val="single" w:sz="4" w:space="0" w:color="auto"/>
              <w:right w:val="single" w:sz="4" w:space="0" w:color="auto"/>
            </w:tcBorders>
            <w:shd w:val="clear" w:color="auto" w:fill="auto"/>
            <w:vAlign w:val="center"/>
          </w:tcPr>
          <w:p w14:paraId="31ADFCAF"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Do 100</w:t>
            </w:r>
          </w:p>
        </w:tc>
        <w:tc>
          <w:tcPr>
            <w:tcW w:w="1584" w:type="dxa"/>
            <w:tcBorders>
              <w:top w:val="nil"/>
              <w:left w:val="nil"/>
              <w:bottom w:val="single" w:sz="4" w:space="0" w:color="auto"/>
              <w:right w:val="single" w:sz="4" w:space="0" w:color="auto"/>
            </w:tcBorders>
            <w:shd w:val="clear" w:color="auto" w:fill="auto"/>
            <w:vAlign w:val="center"/>
          </w:tcPr>
          <w:p w14:paraId="7AC386C2" w14:textId="77777777" w:rsidR="00296495" w:rsidRPr="00296495" w:rsidRDefault="00296495" w:rsidP="00296495">
            <w:pPr>
              <w:spacing w:after="0" w:line="240" w:lineRule="auto"/>
              <w:jc w:val="center"/>
              <w:rPr>
                <w:rFonts w:ascii="Calibri" w:eastAsia="Times New Roman" w:hAnsi="Calibri" w:cs="Times New Roman"/>
                <w:color w:val="000000"/>
                <w:sz w:val="20"/>
                <w:szCs w:val="20"/>
                <w:lang w:eastAsia="hr-HR"/>
              </w:rPr>
            </w:pPr>
            <w:r w:rsidRPr="00296495">
              <w:rPr>
                <w:rFonts w:ascii="Calibri" w:eastAsia="Times New Roman" w:hAnsi="Calibri" w:cs="Times New Roman"/>
                <w:color w:val="000000"/>
                <w:sz w:val="20"/>
                <w:szCs w:val="20"/>
                <w:lang w:eastAsia="hr-HR"/>
              </w:rPr>
              <w:t>2016. - 2020.</w:t>
            </w:r>
          </w:p>
        </w:tc>
      </w:tr>
    </w:tbl>
    <w:p w14:paraId="6FB5E325"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lang w:val="en-US"/>
        </w:rPr>
      </w:pPr>
    </w:p>
    <w:p w14:paraId="2FD7F5D5" w14:textId="77777777" w:rsidR="00296495" w:rsidRPr="00296495" w:rsidRDefault="00296495" w:rsidP="00296495">
      <w:pPr>
        <w:pStyle w:val="Heading2"/>
        <w:spacing w:after="240"/>
        <w:rPr>
          <w:lang w:val="x-none"/>
        </w:rPr>
      </w:pPr>
      <w:r w:rsidRPr="00296495">
        <w:rPr>
          <w:lang w:val="en-US"/>
        </w:rPr>
        <w:br w:type="page"/>
      </w:r>
      <w:bookmarkStart w:id="440" w:name="_Toc467589722"/>
      <w:bookmarkStart w:id="441" w:name="_Toc468345399"/>
      <w:r w:rsidRPr="00296495">
        <w:rPr>
          <w:lang w:val="x-none"/>
        </w:rPr>
        <w:lastRenderedPageBreak/>
        <w:t xml:space="preserve">Proračun </w:t>
      </w:r>
      <w:bookmarkEnd w:id="440"/>
      <w:r w:rsidRPr="00296495">
        <w:t>Grada Zagreba</w:t>
      </w:r>
      <w:bookmarkEnd w:id="441"/>
    </w:p>
    <w:p w14:paraId="0AFEBBBB"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Odlukom Gradske skupštine o izmjenama i dopunama Proračuna Grada Zagreba za 2016. usvojen je rebalans proračuna koji iznosi 8.597.463.000 HRK što je povećanje za 1,6% u odnosu na plan od plan od 29. travnja 2016. Viši iznos proračuna rezultat je neočekivano viših prihoda od poreza na dohodak i prireza. Prema strukturi proračuna za 2016. godinu prihodi od poreza na dohodak i prireza čine većinu proračuna (56%), a slijede ih prihodi od pristojbi i naknada (15%) i Hrvatskog zavoda za zdravstveno osiguranje (12%). Prijedlog proračuna za 2017. godinu s projekcijama za razdoblje od 2018. i 2019. godinu temelje se na važećim zakonskim propisima koji reguliraju prihode za financiranje javnih potreba iz nadležnosti Grada, kao i na trenutno poznatim izmjenama zakonskih propisa u sklopu najavljene  porezne  reforme  koja  bi  trebala  stupiti  na  snagu 1.1.2017. godine. Visina predloženog proračuna za 2017. godinu konzervativno je zadana na 8,87 milijardi kuna, odnosno 8,91 i 8,96 milijardi kuna za 2018. i 2019. godinu, što predstavlja razmjerno malen porast. Razlozi za ovakve projekcije nalaze se u predloženim izmjenama i dopunama Zakona o porezu na dohodak koje bi trebale stupiti na snagu 2017., a koje donose značajnije izmjene u oporezivanju dohotka koje će utjecati na smanjenje prihoda od poreza na dohodak i prireza. Međutim, jedinicama lokalne i područne (regionalne) samouprave najavljene su i kompenzacijske mjere kojima bi se nadoknadilo to smanjenje.</w:t>
      </w:r>
    </w:p>
    <w:p w14:paraId="3D7B9E26"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Mogućnosti zaduživanja grada zakonski su ograničene Pravilnikom o postupku zaduživanja te davanja jamstava i suglasnosti jedinica lokalne i područne (regionalne) samouprave. Kreditna opterećenost jedinica prati se na razini zakonskog ograničenja od 20% ostvarenih prihoda u godini koja prethodi godini u kojoj se zadužuje. U kreditnu opterećenost uključuje se stanje duga same jedinice i izdana jamstva pravnim osobama u većinskom, izravnom ili neizravnom vlasništvu grada i ustanovama čiji je grad osnivač. Upravo zbog toga potrebno je razmotriti mogućnosti sufinanciranja investicijskih projekata putem nacionalnih i europskih fondova koji nude značajnije iznose bespovratnih sredstava kao i sredstva privatnih investitora kroz modele energetske usluge (ESCO i javno-privatna partnerstva).</w:t>
      </w:r>
    </w:p>
    <w:p w14:paraId="1F1EE2C2" w14:textId="77777777" w:rsidR="00296495" w:rsidRPr="00296495" w:rsidRDefault="00296495" w:rsidP="00296495">
      <w:pPr>
        <w:pStyle w:val="Heading2"/>
      </w:pPr>
      <w:bookmarkStart w:id="442" w:name="_Toc467589723"/>
      <w:bookmarkStart w:id="443" w:name="_Toc468345400"/>
      <w:r w:rsidRPr="00296495">
        <w:t>Nacionalni programi energetske obnove u sektoru zgradarstva</w:t>
      </w:r>
      <w:bookmarkEnd w:id="442"/>
      <w:bookmarkEnd w:id="443"/>
      <w:r w:rsidRPr="00296495">
        <w:t xml:space="preserve"> </w:t>
      </w:r>
    </w:p>
    <w:p w14:paraId="7EEDFFF1" w14:textId="77777777" w:rsidR="00296495" w:rsidRPr="00296495" w:rsidRDefault="00296495" w:rsidP="00296495">
      <w:pPr>
        <w:pStyle w:val="Heading3"/>
        <w:spacing w:after="240"/>
      </w:pPr>
      <w:bookmarkStart w:id="444" w:name="_Toc467589724"/>
      <w:bookmarkStart w:id="445" w:name="_Toc468345401"/>
      <w:r w:rsidRPr="00296495">
        <w:t>Energetska obnova zgrada javnog sektora</w:t>
      </w:r>
      <w:bookmarkEnd w:id="444"/>
      <w:bookmarkEnd w:id="445"/>
    </w:p>
    <w:p w14:paraId="676F26D7" w14:textId="0443EDFB"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Vlada Republike Hrvatske je na sjednici održanoj 31. listopada 2013. godine usvojila Program energetske obnove zgrada javnog sektora za razdoblje 2014. – 2015. godine kojim je predviđeno da se u 2014. i 2015. godini obnovi oko 200 zgrada javne namjene, čime bi se potaknule investicije procijenjene vrijednosti od oko 400 milijuna kuna.</w:t>
      </w:r>
    </w:p>
    <w:p w14:paraId="2E31E1D2"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Jedan od ciljeva je ispunjenje zahtjeva sukladno Direktivi 2012/27/EU Europskog parlamenta i Vijeća od 25. listopada 2012. godine o energetskoj učinkovitosti prema kojoj se od država članica traži da od 1. siječnja 2014. godine svake godine obnove 3% ukupne površine poda grijanih i/ili hlađenih zgrada u vlasništvu i uporabi središnje vlasti.</w:t>
      </w:r>
    </w:p>
    <w:p w14:paraId="01C16327"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Zakonom o energetskoj učinkovitosti (Narodne novine, br. 127/14) i Uredbom o ugovaranju i provedbi energetske usluge u javnom sektoru (Narodne novine, broj 69/2012) uređen je postupak provođenja energetskih usluga u javnom sektoru i time je osigurano da se bez dodatnog trošenja proračunskih sredstava vlasnika/korisnika provedu mjere poboljšanja energetske učinkovitosti u zgradama javnog sektora.</w:t>
      </w:r>
    </w:p>
    <w:p w14:paraId="73058065"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p>
    <w:p w14:paraId="351B897F" w14:textId="2DE6F6B9"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Za provedbu Programa zadužena je Agencija za pravni promet i posredovanje nekretninama a Fond za zaštitu okoliša i energetsku učinkovitost osigurava sredstava za financira</w:t>
      </w:r>
      <w:r>
        <w:rPr>
          <w:rFonts w:ascii="Calibri" w:eastAsia="Times New Roman" w:hAnsi="Calibri" w:cs="Times New Roman"/>
        </w:rPr>
        <w:t>nje i sufinanciranje provedbe.</w:t>
      </w:r>
    </w:p>
    <w:p w14:paraId="4503F472" w14:textId="7EE5C851" w:rsidR="00296495" w:rsidRDefault="00296495" w:rsidP="00296495">
      <w:pPr>
        <w:tabs>
          <w:tab w:val="num" w:pos="360"/>
          <w:tab w:val="left" w:pos="720"/>
          <w:tab w:val="left" w:pos="6912"/>
        </w:tabs>
        <w:spacing w:before="240" w:line="240" w:lineRule="auto"/>
        <w:jc w:val="both"/>
        <w:rPr>
          <w:rFonts w:ascii="Calibri" w:eastAsia="Times New Roman" w:hAnsi="Calibri" w:cs="Times New Roman"/>
        </w:rPr>
      </w:pPr>
      <w:r w:rsidRPr="00296495">
        <w:rPr>
          <w:rFonts w:ascii="Calibri" w:eastAsia="Times New Roman" w:hAnsi="Calibri" w:cs="Times New Roman"/>
        </w:rPr>
        <w:lastRenderedPageBreak/>
        <w:t>Ministarstvo graditeljstva i prostornog uređenja je pripremilo novi Program energetske učinkovitosti zgrada javnog sektora u Republici Hrvatskoj za razdoblje od 2016. do 2020. godine kojim je predviđena alokacija 211 milijuna Eura iz Europskih Strukturnih i investicijskih fondova. Program je upućen ostalim Ministarstvima na mišljenje te se očekuje  njegovo upućivanje u Vladinu proceduru.</w:t>
      </w:r>
      <w:r w:rsidRPr="00296495">
        <w:rPr>
          <w:rFonts w:ascii="Calibri" w:eastAsia="Times New Roman" w:hAnsi="Calibri" w:cs="Times New Roman"/>
        </w:rPr>
        <w:cr/>
      </w:r>
    </w:p>
    <w:p w14:paraId="446283CF" w14:textId="43C59AF9" w:rsidR="00296495" w:rsidRPr="00296495" w:rsidRDefault="00296495" w:rsidP="00296495">
      <w:pPr>
        <w:pStyle w:val="Heading3"/>
        <w:spacing w:after="240"/>
      </w:pPr>
      <w:bookmarkStart w:id="446" w:name="_Toc467589725"/>
      <w:bookmarkStart w:id="447" w:name="_Toc468345402"/>
      <w:r w:rsidRPr="00296495">
        <w:t>Program energetske obnove obiteljskih kuća</w:t>
      </w:r>
      <w:bookmarkEnd w:id="446"/>
      <w:bookmarkEnd w:id="447"/>
    </w:p>
    <w:p w14:paraId="12677AD6"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Program energetske obnove obiteljskih kuća za razdoblje od 2014. do 2020. godine s detaljnim planom za razdoblje od 2014. do 2016. godine (Narodne novine 43/14, 36/15) donijela je Vlada Republike Hrvatske 27. ožujka 2014. godine. Ciljevi Programa su utvrđivanje i analiza potrošnje energije i energetske učinkovitosti u postojećem stambenom fondu RH, utvrđivanje potencijala i mogućnosti smanjenja potrošnje energije u postojećim stambenim zgradama, razrada provedbe mjera za poticanje poboljšanja energetske učinkovitosti u postojećim stambenim zgradama te ocjena njihovog učinka. Izmjenama Programa od 26. ožujka 2015. godine omogućene su jednake mogućnosti za ostvarivanje subvencija svim građanima Republike Hrvatske, vremenski tijek provedbe energetske obnove je skraćen, a provedba se pojednostavila.</w:t>
      </w:r>
    </w:p>
    <w:p w14:paraId="004615BB"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Program energetske obnove obiteljskih kuća Vlada RH provodi putem Ministarstva graditeljstva i prostornog uređenja te Fonda za zaštitu okoliša i energetsku učinkovitost i to bespovratnim sredstvima kojima je moguće subvencionirati od 40 do 80% prihvatljivih troškova, ovisno o lokaciji prijavitelja. Indikativna alokacija iz sredstava ESI fondova iznosi 20 milijuna eura do kraja 2020. godine dok se dodatno očekuje i financijska participacija Fonda za zaštitu okoliša i energetsku učinkovitost.</w:t>
      </w:r>
    </w:p>
    <w:p w14:paraId="25BF8A7B" w14:textId="77777777" w:rsidR="00296495" w:rsidRPr="00296495" w:rsidRDefault="00296495" w:rsidP="00296495">
      <w:pPr>
        <w:pStyle w:val="Heading3"/>
        <w:spacing w:after="240"/>
      </w:pPr>
      <w:r w:rsidRPr="00296495">
        <w:t xml:space="preserve"> </w:t>
      </w:r>
      <w:bookmarkStart w:id="448" w:name="_Toc467589726"/>
      <w:bookmarkStart w:id="449" w:name="_Toc468345403"/>
      <w:r w:rsidRPr="00296495">
        <w:t>Energetska obnova višestambenih zgrada</w:t>
      </w:r>
      <w:bookmarkEnd w:id="448"/>
      <w:bookmarkEnd w:id="449"/>
    </w:p>
    <w:p w14:paraId="40305CA9"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Program energetske obnove višestambenih zgrada za razdoblje od 2014. do 2020. godine s detaljnim planom za razdoblje od 2014. do 2016. godine (Narodne novine 78/14) donijela je Vlada Republike Hrvatske 24. lipnja 2014. godine. Ciljevi ovog Programa su utvrđivanje i analiza potrošnje energije i energetske učinkovitosti u postojećem stambenom fondu RH, utvrđivanje potencijala i mogućnosti smanjenja potrošnje energije u postojećim stambenim zgradama, razrada provedbe mjera za poticanje poboljšanja energetske učinkovitosti u postojećim stambenim zgradama te ocjena njihovog učinka.   </w:t>
      </w:r>
    </w:p>
    <w:p w14:paraId="6194984F"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Program suvlasnicima zgrada nudi mogućnost sufinanciranja energetskih pregleda i certificiranja, izrade projektne dokumentacije za projekt obnove te sufinancira mjere povećanja energetske učinkovitosti odnosno energetsku obnovu zgrade. Indikativna alokacija iz sredstava ESI fondova iznosi 80 milijuna eura do kraja 2020. godine dok se dodatno očekuje i financijska participacija Fonda za zaštitu okoliša i energetsku učinkovitost.</w:t>
      </w:r>
    </w:p>
    <w:p w14:paraId="5C3B8CD5" w14:textId="77777777" w:rsidR="00296495" w:rsidRPr="00296495" w:rsidRDefault="00296495" w:rsidP="00296495">
      <w:pPr>
        <w:pStyle w:val="Heading3"/>
        <w:spacing w:after="240"/>
      </w:pPr>
      <w:bookmarkStart w:id="450" w:name="_Toc467589727"/>
      <w:bookmarkStart w:id="451" w:name="_Toc468345404"/>
      <w:r w:rsidRPr="00296495">
        <w:t>Program energetske obnove zgrada komercijalnih nestambenih zgrada</w:t>
      </w:r>
      <w:bookmarkEnd w:id="450"/>
      <w:bookmarkEnd w:id="451"/>
      <w:r w:rsidRPr="00296495">
        <w:t xml:space="preserve"> </w:t>
      </w:r>
    </w:p>
    <w:p w14:paraId="7396A15D"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Program energetske obnove zgrada komercijalnih nestambenih zgrada za razdoblje od 2014. do 2020. godine sa detaljnim planom energetske obnove komercijalnih nestambenih zgrada za razdoblje 2014. do 2016. godine (Narodne novine broj 98/14), donijela je Vlada Republike Hrvatske 30. srpnja 2014. godine. Vlada Republike Hrvatske preko Fonda za zaštitu okoliša i energetsku učinkovitost dodjeljuje subvencije koje se mogu dobiti za energetsku obnovu ovojnice zgrade ili za cjelovitu obnovu. Cjelovitom obnovom postiže se standard zgrade gotovo nulte energije (engl. Nearly Zero Energy Building), a to je zgrada koja ima vrlo visoka energetska svojstva i kod koje se vrlo značajni udio energetskih potreba podmiruje iz obnovljivih izvora, uključujući energiju iz obnovljivih izvora koja se proizvodi na zgradi ili u njezinoj blizini. Financijska alokacija za provedbu energetske obnove </w:t>
      </w:r>
      <w:r w:rsidRPr="00296495">
        <w:rPr>
          <w:rFonts w:ascii="Calibri" w:eastAsia="Times New Roman" w:hAnsi="Calibri" w:cs="Times New Roman"/>
        </w:rPr>
        <w:lastRenderedPageBreak/>
        <w:t>komercijalnih nestambenih zgrada nije poznata, ali se očekuje da slijediti de minimis pravila EU o maksimalnim iznosima subvencija (200.000 eura) prema subjektima koji obavljaju tržišnu djelatnost.</w:t>
      </w:r>
    </w:p>
    <w:p w14:paraId="09744DA1" w14:textId="77777777" w:rsidR="00296495" w:rsidRPr="00296495" w:rsidRDefault="00296495" w:rsidP="00296495">
      <w:pPr>
        <w:pStyle w:val="Heading2"/>
        <w:spacing w:after="240"/>
      </w:pPr>
      <w:bookmarkStart w:id="452" w:name="_Toc251920824"/>
      <w:bookmarkStart w:id="453" w:name="_Toc404268134"/>
      <w:bookmarkStart w:id="454" w:name="_Toc467589728"/>
      <w:bookmarkStart w:id="455" w:name="_Toc468345405"/>
      <w:r w:rsidRPr="00296495">
        <w:t>Fond za zaštitu okoliša i energetsku učinkovitost</w:t>
      </w:r>
      <w:bookmarkEnd w:id="452"/>
      <w:r w:rsidRPr="00296495">
        <w:t xml:space="preserve"> (FZOEU)</w:t>
      </w:r>
      <w:bookmarkEnd w:id="453"/>
      <w:bookmarkEnd w:id="454"/>
      <w:bookmarkEnd w:id="455"/>
    </w:p>
    <w:p w14:paraId="4DD2C22D"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Fond za zaštitu okoliša i energetsku učinkovitost (FZOEU), osnovan Zakonom o Fondu za zaštitu okoliša i energetsku učinkovitost (NN 107/03) sukladno odredbama članka 60. stavka 5. Zakona o zaštiti okoliša (NN 82/94 i 128/99) i članka 11. Zakona o energiji (NN 68/01) od svog pokretanja, 1. siječnja 2004. godine kroz brojne programe sufinanciranja potiče projekte iz područja zaštite okoliša, energetske učinkovitosti i obnovljivih izvora energije. Sredstva za financiranje djelatnosti Fonda osiguravaju se iz namjenskih prihoda Fonda od: </w:t>
      </w:r>
    </w:p>
    <w:p w14:paraId="29700407" w14:textId="77777777" w:rsidR="00296495" w:rsidRPr="00296495" w:rsidRDefault="00296495" w:rsidP="00EE7021">
      <w:pPr>
        <w:numPr>
          <w:ilvl w:val="0"/>
          <w:numId w:val="56"/>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Naknada onečišćivača okoliša;</w:t>
      </w:r>
    </w:p>
    <w:p w14:paraId="4957458D" w14:textId="77777777" w:rsidR="00296495" w:rsidRPr="00296495" w:rsidRDefault="00296495" w:rsidP="00EE7021">
      <w:pPr>
        <w:numPr>
          <w:ilvl w:val="0"/>
          <w:numId w:val="56"/>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Naknada korisnika okoliša;</w:t>
      </w:r>
    </w:p>
    <w:p w14:paraId="3414173A" w14:textId="77777777" w:rsidR="00296495" w:rsidRPr="00296495" w:rsidRDefault="00296495" w:rsidP="00EE7021">
      <w:pPr>
        <w:numPr>
          <w:ilvl w:val="0"/>
          <w:numId w:val="56"/>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Naknada na opterećivanje okoliša otpadom;</w:t>
      </w:r>
    </w:p>
    <w:p w14:paraId="01CBE038" w14:textId="77777777" w:rsidR="00296495" w:rsidRPr="00296495" w:rsidRDefault="00296495" w:rsidP="00EE7021">
      <w:pPr>
        <w:numPr>
          <w:ilvl w:val="0"/>
          <w:numId w:val="56"/>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Posebnih naknada za okoliš na vozila na motorni pogon.</w:t>
      </w:r>
    </w:p>
    <w:p w14:paraId="05657726"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p>
    <w:p w14:paraId="2098A621"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Sredstva Fonda se dodjeljuju temeljem usvojenih nacionalnih programa, odnosno provedenog javnog natječaja i to za financijske instrumente koji uključuju beskamatne zajmove, subvencije, financijske pomoći i donacije, a korisnici mogu biti jedinice lokalne i regionalne samouprave, trgovačka društva i druge pravne osobe, obrtnici te fizičke osobe. Ulaskom Republike Hrvatske u Europsku uniju sredstva Fonda služit će kao komplementarni izvori financiranja sredstvima iz Europskih Strukturnih i investicijskih fondova.</w:t>
      </w:r>
    </w:p>
    <w:p w14:paraId="369DED33" w14:textId="77777777" w:rsidR="00296495" w:rsidRPr="00296495" w:rsidRDefault="00296495" w:rsidP="00296495">
      <w:pPr>
        <w:pStyle w:val="Heading2"/>
        <w:spacing w:after="240"/>
      </w:pPr>
      <w:bookmarkStart w:id="456" w:name="_Toc404268130"/>
      <w:bookmarkStart w:id="457" w:name="_Toc467589729"/>
      <w:bookmarkStart w:id="458" w:name="_Toc468345406"/>
      <w:r w:rsidRPr="00296495">
        <w:t>Europski Strukturni i investicijski (ESI) fondovi</w:t>
      </w:r>
      <w:bookmarkEnd w:id="456"/>
      <w:bookmarkEnd w:id="457"/>
      <w:bookmarkEnd w:id="458"/>
    </w:p>
    <w:p w14:paraId="63A19800"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Strukturni i investicijski fondovi,  u kojima je pohranjeno više od trećine proračuna EU, u službi su kohezijske politike EU, čiji je glavni cilj uspostaviti gospodarsku i društvenu koheziju, odnosno ujednačen razvitak država i regija unutar Europske unije.</w:t>
      </w:r>
    </w:p>
    <w:p w14:paraId="4AEBDFD0"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Uz Europski fond za regionalni razvoj (EFRR), Kohezijski fond predstavlja najvažniji izvor financiranja nacionalnih infrastrukturnih projekata te se u proračunskom razdoblju 2014.-2020. očekuje znatno veća zastupljenost projekata iz sektora energetike. Važno je naglasiti kako program predviđa i posebna sredstva namijenjena za tehničku pripremu i izradu projektne dokumentacije kojom bi se stvorila baza pripremljenih projekata za sufinanciranje.</w:t>
      </w:r>
    </w:p>
    <w:p w14:paraId="5C98B2F9"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Razina sufinanciranja iz Strukturnih i Kohezijskog fonda može iznositi do 100% ukupno prihvatljivih troškova, pri čemu je važno naglasiti da ova stopa znatno ovisi o indeksu razvijenosti grada ili općine unutar koje se investicija realizira te njenoj financijskoj isplativosti. Pravila financiranja putem EU fondova nalažu da projekti koji su komercijalno isplativi, odnosno ostvaruju brz povrat početne investicije, nisu prihvatljivi za financiranje sredstvima EU fondova. S druge strane, projekti koji imaju nepovoljne financijske pokazatelje, ali stvaraju pozitivan društveni i ekološki učinak na širu zajednicu smatraju se podobnima za financiranje bespovratnim sredstvima EU.</w:t>
      </w:r>
    </w:p>
    <w:p w14:paraId="6916EC0C"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p>
    <w:p w14:paraId="2F6A7049"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Republika Hrvatska je za potrebe korištenja Strukturnih fondova podijeljena u dvije NUTS 2 regije, a Grad Zagreb pripada regiji Kontinentalna Hrvatska. </w:t>
      </w:r>
    </w:p>
    <w:p w14:paraId="599E115C"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U sedmogodišnjoj financijskoj perspektivi osigurana je znatno izdašnija financijska alokacija u odnosu na sredstva instrumenata pretpristupne pomoći (IPA) koja iznose 10,676 milijardi Eura. Europska komisija je donijela 11 tematskih ciljeva unutar kojih je svaka država definirala svoja prioritetna sektorska područja za financiranje putem ESI fondova. Kao jedan od glavnih tematskih ciljeva istaknuta </w:t>
      </w:r>
      <w:r w:rsidRPr="00296495">
        <w:rPr>
          <w:rFonts w:ascii="Calibri" w:eastAsia="Times New Roman" w:hAnsi="Calibri" w:cs="Times New Roman"/>
        </w:rPr>
        <w:lastRenderedPageBreak/>
        <w:t>je podrška prijelazu prema ekonomiji temeljenoj na niskoj razini emisije CO</w:t>
      </w:r>
      <w:r w:rsidRPr="00296495">
        <w:rPr>
          <w:rFonts w:ascii="Calibri" w:eastAsia="Times New Roman" w:hAnsi="Calibri" w:cs="Times New Roman"/>
          <w:vertAlign w:val="subscript"/>
        </w:rPr>
        <w:t>2</w:t>
      </w:r>
      <w:r w:rsidRPr="00296495">
        <w:rPr>
          <w:rFonts w:ascii="Calibri" w:eastAsia="Times New Roman" w:hAnsi="Calibri" w:cs="Times New Roman"/>
        </w:rPr>
        <w:t xml:space="preserve"> u svom sektorima. Vlada RH je tijekom izrade </w:t>
      </w:r>
      <w:r w:rsidRPr="00296495">
        <w:rPr>
          <w:rFonts w:ascii="Calibri" w:eastAsia="Times New Roman" w:hAnsi="Calibri" w:cs="Times New Roman"/>
          <w:i/>
        </w:rPr>
        <w:t>Operativnog programa Konkurentnost i kohezija</w:t>
      </w:r>
      <w:r w:rsidRPr="00296495">
        <w:rPr>
          <w:rFonts w:ascii="Calibri" w:eastAsia="Times New Roman" w:hAnsi="Calibri" w:cs="Times New Roman"/>
        </w:rPr>
        <w:t xml:space="preserve"> za razdoblje 2014.-2020. godine predvidjela značajnija financijska sredstava za projekte iz sektora energetike. Sufinanciranje projekata provodit će se kroz četvrtu prioritetnu os ovog operativnog programa nazvanom </w:t>
      </w:r>
      <w:r w:rsidRPr="00296495">
        <w:rPr>
          <w:rFonts w:ascii="Calibri" w:eastAsia="Times New Roman" w:hAnsi="Calibri" w:cs="Times New Roman"/>
          <w:i/>
        </w:rPr>
        <w:t>Promicanje energetske učinkovitosti i obnovljivih izvora energije</w:t>
      </w:r>
      <w:r w:rsidRPr="00296495">
        <w:rPr>
          <w:rFonts w:ascii="Calibri" w:eastAsia="Times New Roman" w:hAnsi="Calibri" w:cs="Times New Roman"/>
        </w:rPr>
        <w:t>, za koju ukupna sedmogodišnja alokacija iznosi 531.810.805 Eura. Ova prioritetna os sastoji se od sljedećih specifičnih ciljeva:</w:t>
      </w:r>
    </w:p>
    <w:p w14:paraId="200CE4B8" w14:textId="77777777" w:rsidR="00296495" w:rsidRPr="00296495" w:rsidRDefault="00296495" w:rsidP="00EE7021">
      <w:pPr>
        <w:numPr>
          <w:ilvl w:val="0"/>
          <w:numId w:val="54"/>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Podupiranje energetske učinkovitosti i korištenje obnovljivih izvora energije u poduzetništvu. Financijska alokacija za ovu mjeru iznosi 100 milijuna Eura, a namijenjena je projektima povećanja energetske učinkovitosti i primjene OIE u industrijskom i uslužnom sektoru. </w:t>
      </w:r>
    </w:p>
    <w:p w14:paraId="29AF28B5" w14:textId="77777777" w:rsidR="00296495" w:rsidRPr="00296495" w:rsidRDefault="00296495" w:rsidP="00EE7021">
      <w:pPr>
        <w:numPr>
          <w:ilvl w:val="0"/>
          <w:numId w:val="54"/>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Podupiranje energetske učinkovitosti, pametnog upravljanja energijom i korištenje obnovljivih izvora energije u javnoj infrastrukturi, uključujući javne zgrade i u stambenom sektoru. Financijska alokacija za ovu mjeru iznosi 411.810.805 Eura. Energetskoj obnovi infrastrukture javnog sektora namijenjeno je 211.810.805 Eura, dok je za obnovu višestambenih zgrada i obiteljskih kuća predviđeno 100 milijuna Eura. Ostatak alokacije od 100 milijuna Eura predviđen je za projekte povećanja učinkovitosti sustava toplinarstva i javne rasvjete.</w:t>
      </w:r>
    </w:p>
    <w:p w14:paraId="3FB974A1" w14:textId="77777777" w:rsidR="00296495" w:rsidRPr="00296495" w:rsidRDefault="00296495" w:rsidP="00EE7021">
      <w:pPr>
        <w:numPr>
          <w:ilvl w:val="0"/>
          <w:numId w:val="54"/>
        </w:num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Razvoj i provedba pametnih sustava distribucije električne energije. Financijska alokacija za ovu mjeru kojom će se demonstrirati uvođenje pametnih mreža u dva tipa gradova (veći od 100 tisuća stanovnika i između 40-60 tisuća stanovnika) iznosi 20 milijuna Eura. </w:t>
      </w:r>
    </w:p>
    <w:p w14:paraId="75FAF621"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Osim provedbe na nacionalnoj razini, uveden je i dodatan sustav provođenja projekata podržanih operativnim programima s ciljem jačanja uloge gradova kao pokretača gospodarskog razvoja u razdoblju od 2014. – 2020. godine - mehanizam Integriranih teritorijalnih ulaganja (ITU). ITU mehanizam je osmišljen kako bi olakšao provedbu aktivnosti koje imaju naglašenu teritorijalnu dimenziju, a koje se mogu financirati iz tri različita ESI fonda: Europskog fonda za regionalni razvoj, Kohezijskog fonda te Europskog socijalnog fonda. </w:t>
      </w:r>
    </w:p>
    <w:p w14:paraId="0E39B909"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U svrhu planiranja i usklađivanja održivog urbanog razvoja, sukladno Zakonu o regionalnom razvoju Republike Hrvatske, u ožujku 2016.  godine ustrojena je Urbana aglomeracija Zagreb, sa sjedištem u Zagrebu. Usvajanjem Strategije razvoja Urbane aglomeracije Zagreb omogućeno je financiranje aktivnosti koje pridonose sljedećim tematskim područjima:</w:t>
      </w:r>
    </w:p>
    <w:p w14:paraId="577C37C7" w14:textId="77777777" w:rsidR="00296495" w:rsidRPr="00296495" w:rsidRDefault="00296495" w:rsidP="00EE7021">
      <w:pPr>
        <w:numPr>
          <w:ilvl w:val="0"/>
          <w:numId w:val="66"/>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Gradovi kao pokretači gospodarskog razvoja;</w:t>
      </w:r>
    </w:p>
    <w:p w14:paraId="5374BF42" w14:textId="77777777" w:rsidR="00296495" w:rsidRPr="00296495" w:rsidRDefault="00296495" w:rsidP="00EE7021">
      <w:pPr>
        <w:numPr>
          <w:ilvl w:val="0"/>
          <w:numId w:val="66"/>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Čisti gradovi, odnosno, gradovi u borbi protiv klimatskih promjena;</w:t>
      </w:r>
    </w:p>
    <w:p w14:paraId="40DA2B61" w14:textId="77777777" w:rsidR="00296495" w:rsidRPr="00296495" w:rsidRDefault="00296495" w:rsidP="00EE7021">
      <w:pPr>
        <w:numPr>
          <w:ilvl w:val="0"/>
          <w:numId w:val="66"/>
        </w:num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Uključivi gradovi, odnosno, gradovi u borbi protiv siromaštva.</w:t>
      </w:r>
    </w:p>
    <w:p w14:paraId="2D5E5446" w14:textId="22F43770" w:rsid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Ukupna financijska alokacija za provedbu projekata Urbane aglomeracije Zagreb putem ITU mehanizma iznosi 91,9 milijuna Eura.</w:t>
      </w:r>
      <w:r>
        <w:rPr>
          <w:rFonts w:ascii="Calibri" w:eastAsia="Times New Roman" w:hAnsi="Calibri" w:cs="Times New Roman"/>
        </w:rPr>
        <w:br w:type="page"/>
      </w:r>
    </w:p>
    <w:p w14:paraId="16D3CF5C" w14:textId="77777777" w:rsidR="00296495" w:rsidRPr="00296495" w:rsidRDefault="00296495" w:rsidP="00296495">
      <w:pPr>
        <w:pStyle w:val="Heading2"/>
        <w:spacing w:after="240"/>
      </w:pPr>
      <w:bookmarkStart w:id="459" w:name="_Toc251920823"/>
      <w:bookmarkStart w:id="460" w:name="_Toc404268133"/>
      <w:bookmarkStart w:id="461" w:name="_Toc467589730"/>
      <w:bookmarkStart w:id="462" w:name="_Toc468345407"/>
      <w:r w:rsidRPr="00296495">
        <w:lastRenderedPageBreak/>
        <w:t>Hrvatska banka za obnovu i razv</w:t>
      </w:r>
      <w:bookmarkEnd w:id="459"/>
      <w:r w:rsidRPr="00296495">
        <w:t>itak (HBOR)</w:t>
      </w:r>
      <w:bookmarkEnd w:id="460"/>
      <w:bookmarkEnd w:id="461"/>
      <w:bookmarkEnd w:id="462"/>
    </w:p>
    <w:p w14:paraId="56C6AC4D"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Hrvatska banka za obnovu i razvitak (HBOR) osnovana je 12. lipnja 1992. godine donošenjem Zakona o Hrvatskoj kreditnoj banci za obnovu (HKBO) (NN 33/92) s osnovnim ciljem kreditiranja obnove i razvitka hrvatskog gospodarstva. Osnivač i 100%-tni vlasnik HBOR-a je Republika Hrvatska koja jamči za sve nastale obaveze. Temeljni kapital utvrđen je Zakonom o HBOR-u (NN 138/06) u visini od 7 milijardi kuna čiju dinamiku uplate iz Državnog proračuna određuje Vlada Republike Hrvatske. </w:t>
      </w:r>
    </w:p>
    <w:p w14:paraId="35179BB5"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Posebna linija HBOR-a pod nazivom Program kreditiranja projekata zaštite okoliša, energetske učinkovitosti i obnovljivih izvora energije namijenjena je privatnim i javnim subjektima. Putem ove linije moguće je financirati ulaganja u osnovna sredstva koja ne uključuju izradu projektne dokumentacije. HBOR u pravilu kreditira do 75% predračunske vrijednosti investicije bez PDV-a. Najmanji iznos kredita je ograničen na 100.000 kuna dok najveći iznos nije ograničen. Rok otplate iznosi maksimalno 14 godina, uz mogući poček od 2 godine. Kredite je moguće realizirati izravno ili putem poslovnih banaka koje surađuju s HBOR-om. </w:t>
      </w:r>
    </w:p>
    <w:p w14:paraId="2AE711C3" w14:textId="0F0DC243"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HBOR također sudjeluje u nacionalnom Programu energetske obnove zg</w:t>
      </w:r>
      <w:r>
        <w:rPr>
          <w:rFonts w:ascii="Calibri" w:eastAsia="Times New Roman" w:hAnsi="Calibri" w:cs="Times New Roman"/>
        </w:rPr>
        <w:t xml:space="preserve">rada javnog sektora i to putem </w:t>
      </w:r>
      <w:r w:rsidRPr="00296495">
        <w:rPr>
          <w:rFonts w:ascii="Calibri" w:eastAsia="Times New Roman" w:hAnsi="Calibri" w:cs="Times New Roman"/>
        </w:rPr>
        <w:t>vlastitog programa kreditiranja, direktno ili putem poslovnih banaka.</w:t>
      </w:r>
    </w:p>
    <w:p w14:paraId="2ABF0E4B" w14:textId="77777777" w:rsidR="00296495" w:rsidRPr="00296495" w:rsidRDefault="00296495" w:rsidP="00296495">
      <w:pPr>
        <w:pStyle w:val="Heading2"/>
        <w:spacing w:after="240"/>
      </w:pPr>
      <w:bookmarkStart w:id="463" w:name="_Toc404268131"/>
      <w:bookmarkStart w:id="464" w:name="_Toc467589731"/>
      <w:bookmarkStart w:id="465" w:name="_Toc468345408"/>
      <w:bookmarkStart w:id="466" w:name="_Toc251920821"/>
      <w:r w:rsidRPr="00296495">
        <w:t>Europska investicijska banka (EIB)</w:t>
      </w:r>
      <w:bookmarkEnd w:id="463"/>
      <w:bookmarkEnd w:id="464"/>
      <w:bookmarkEnd w:id="465"/>
    </w:p>
    <w:p w14:paraId="7E942909"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Europska investicijska banka (EIB), osnovana Rimskim ugovorima 1958. godine je financijska institucija u vlasništvu zemalja članica EU specijalizirana za dugoročno financiranje projekata koji podupiru razvojnu politiku EU. </w:t>
      </w:r>
    </w:p>
    <w:p w14:paraId="6C04DB0D"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EIB ima za cilj financirati projekte koji doprinose ekonomskom napretku i smanjenju regionalnih razlika  a glavni prioriteti banke su sljedeći:</w:t>
      </w:r>
    </w:p>
    <w:p w14:paraId="11546215" w14:textId="2F1E7CDE" w:rsidR="00296495" w:rsidRPr="00296495" w:rsidRDefault="00296495" w:rsidP="00EE7021">
      <w:pPr>
        <w:numPr>
          <w:ilvl w:val="0"/>
          <w:numId w:val="57"/>
        </w:numPr>
        <w:tabs>
          <w:tab w:val="left" w:pos="6912"/>
        </w:tabs>
        <w:spacing w:after="0" w:line="240" w:lineRule="auto"/>
        <w:jc w:val="both"/>
        <w:rPr>
          <w:rFonts w:ascii="Calibri" w:eastAsia="Times New Roman" w:hAnsi="Calibri" w:cs="Times New Roman"/>
        </w:rPr>
      </w:pPr>
      <w:r>
        <w:rPr>
          <w:rFonts w:ascii="Calibri" w:eastAsia="Times New Roman" w:hAnsi="Calibri" w:cs="Times New Roman"/>
        </w:rPr>
        <w:t>P</w:t>
      </w:r>
      <w:r w:rsidRPr="00296495">
        <w:rPr>
          <w:rFonts w:ascii="Calibri" w:eastAsia="Times New Roman" w:hAnsi="Calibri" w:cs="Times New Roman"/>
        </w:rPr>
        <w:t>odrška ekonomskoj i kohezijskoj politici EU;</w:t>
      </w:r>
    </w:p>
    <w:p w14:paraId="6D4389E1" w14:textId="52FFE87E" w:rsidR="00296495" w:rsidRPr="00296495" w:rsidRDefault="00296495" w:rsidP="00EE7021">
      <w:pPr>
        <w:numPr>
          <w:ilvl w:val="0"/>
          <w:numId w:val="57"/>
        </w:numPr>
        <w:tabs>
          <w:tab w:val="left" w:pos="6912"/>
        </w:tabs>
        <w:spacing w:after="0" w:line="240" w:lineRule="auto"/>
        <w:jc w:val="both"/>
        <w:rPr>
          <w:rFonts w:ascii="Calibri" w:eastAsia="Times New Roman" w:hAnsi="Calibri" w:cs="Times New Roman"/>
        </w:rPr>
      </w:pPr>
      <w:r>
        <w:rPr>
          <w:rFonts w:ascii="Calibri" w:eastAsia="Times New Roman" w:hAnsi="Calibri" w:cs="Times New Roman"/>
        </w:rPr>
        <w:t>R</w:t>
      </w:r>
      <w:r w:rsidRPr="00296495">
        <w:rPr>
          <w:rFonts w:ascii="Calibri" w:eastAsia="Times New Roman" w:hAnsi="Calibri" w:cs="Times New Roman"/>
        </w:rPr>
        <w:t>azvoj Transeuropske mreže (TEN);</w:t>
      </w:r>
    </w:p>
    <w:p w14:paraId="530D7D2A" w14:textId="5C94105A" w:rsidR="00296495" w:rsidRPr="00296495" w:rsidRDefault="00296495" w:rsidP="00EE7021">
      <w:pPr>
        <w:numPr>
          <w:ilvl w:val="0"/>
          <w:numId w:val="57"/>
        </w:numPr>
        <w:tabs>
          <w:tab w:val="left" w:pos="6912"/>
        </w:tabs>
        <w:spacing w:after="0" w:line="240" w:lineRule="auto"/>
        <w:jc w:val="both"/>
        <w:rPr>
          <w:rFonts w:ascii="Calibri" w:eastAsia="Times New Roman" w:hAnsi="Calibri" w:cs="Times New Roman"/>
        </w:rPr>
      </w:pPr>
      <w:r>
        <w:rPr>
          <w:rFonts w:ascii="Calibri" w:eastAsia="Times New Roman" w:hAnsi="Calibri" w:cs="Times New Roman"/>
        </w:rPr>
        <w:t>P</w:t>
      </w:r>
      <w:r w:rsidRPr="00296495">
        <w:rPr>
          <w:rFonts w:ascii="Calibri" w:eastAsia="Times New Roman" w:hAnsi="Calibri" w:cs="Times New Roman"/>
        </w:rPr>
        <w:t>otpora razvoju malog i srednjeg poduzetništva;</w:t>
      </w:r>
    </w:p>
    <w:p w14:paraId="47879AFC" w14:textId="4F8C64A7" w:rsidR="00296495" w:rsidRPr="00296495" w:rsidRDefault="00296495" w:rsidP="00EE7021">
      <w:pPr>
        <w:numPr>
          <w:ilvl w:val="0"/>
          <w:numId w:val="57"/>
        </w:numPr>
        <w:tabs>
          <w:tab w:val="left" w:pos="6912"/>
        </w:tabs>
        <w:spacing w:after="0" w:line="240" w:lineRule="auto"/>
        <w:jc w:val="both"/>
        <w:rPr>
          <w:rFonts w:ascii="Calibri" w:eastAsia="Times New Roman" w:hAnsi="Calibri" w:cs="Times New Roman"/>
        </w:rPr>
      </w:pPr>
      <w:r>
        <w:rPr>
          <w:rFonts w:ascii="Calibri" w:eastAsia="Times New Roman" w:hAnsi="Calibri" w:cs="Times New Roman"/>
        </w:rPr>
        <w:t>Z</w:t>
      </w:r>
      <w:r w:rsidRPr="00296495">
        <w:rPr>
          <w:rFonts w:ascii="Calibri" w:eastAsia="Times New Roman" w:hAnsi="Calibri" w:cs="Times New Roman"/>
        </w:rPr>
        <w:t>aštita okoliša;</w:t>
      </w:r>
    </w:p>
    <w:p w14:paraId="38519083" w14:textId="4EB84AD2" w:rsidR="00296495" w:rsidRPr="00296495" w:rsidRDefault="00296495" w:rsidP="00EE7021">
      <w:pPr>
        <w:numPr>
          <w:ilvl w:val="0"/>
          <w:numId w:val="57"/>
        </w:numPr>
        <w:tabs>
          <w:tab w:val="left" w:pos="6912"/>
        </w:tabs>
        <w:spacing w:line="240" w:lineRule="auto"/>
        <w:jc w:val="both"/>
        <w:rPr>
          <w:rFonts w:ascii="Calibri" w:eastAsia="Times New Roman" w:hAnsi="Calibri" w:cs="Times New Roman"/>
        </w:rPr>
      </w:pPr>
      <w:r>
        <w:rPr>
          <w:rFonts w:ascii="Calibri" w:eastAsia="Times New Roman" w:hAnsi="Calibri" w:cs="Times New Roman"/>
        </w:rPr>
        <w:t>P</w:t>
      </w:r>
      <w:r w:rsidRPr="00296495">
        <w:rPr>
          <w:rFonts w:ascii="Calibri" w:eastAsia="Times New Roman" w:hAnsi="Calibri" w:cs="Times New Roman"/>
        </w:rPr>
        <w:t>otpora održivom razvoju sektoru energetike.</w:t>
      </w:r>
    </w:p>
    <w:p w14:paraId="24B76CF7"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O financijskoj snazi institucije svjedoči vrhunski kreditni rejting (AAA) uslijed čega je EIB u mogućnosti pribavljati sredstva po vrlo povoljnim uvjetima. EIB posluje prema neprofitnim načelima, stoga korisnici zajmova mogu računati na niske troškove kapitala i duge rokove otplate uz mogućnost počeka. </w:t>
      </w:r>
    </w:p>
    <w:p w14:paraId="34E7D20F"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Usluge EIB za korisnike iz javnog i privatnog sektora se dijele u 4 osnovne grupe:</w:t>
      </w:r>
    </w:p>
    <w:p w14:paraId="3C725341" w14:textId="77777777" w:rsidR="00296495" w:rsidRPr="00296495" w:rsidRDefault="00296495" w:rsidP="00EE7021">
      <w:pPr>
        <w:numPr>
          <w:ilvl w:val="0"/>
          <w:numId w:val="57"/>
        </w:numPr>
        <w:tabs>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davanje individualnih, posrednih ili skupnih zajmova;</w:t>
      </w:r>
    </w:p>
    <w:p w14:paraId="08F0BB3C" w14:textId="77777777" w:rsidR="00296495" w:rsidRPr="00296495" w:rsidRDefault="00296495" w:rsidP="00EE7021">
      <w:pPr>
        <w:numPr>
          <w:ilvl w:val="0"/>
          <w:numId w:val="57"/>
        </w:numPr>
        <w:tabs>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izdavanje garancija na zajmove;</w:t>
      </w:r>
    </w:p>
    <w:p w14:paraId="164B9F60" w14:textId="77777777" w:rsidR="00296495" w:rsidRPr="00296495" w:rsidRDefault="00296495" w:rsidP="00EE7021">
      <w:pPr>
        <w:numPr>
          <w:ilvl w:val="0"/>
          <w:numId w:val="57"/>
        </w:numPr>
        <w:tabs>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pružanje tehničke pomoći putem specijaliziranih instrumenata: ELENA, JASPERS;</w:t>
      </w:r>
    </w:p>
    <w:p w14:paraId="6E2DF0A7" w14:textId="77777777" w:rsidR="00296495" w:rsidRPr="00296495" w:rsidRDefault="00296495" w:rsidP="00EE7021">
      <w:pPr>
        <w:numPr>
          <w:ilvl w:val="0"/>
          <w:numId w:val="57"/>
        </w:numPr>
        <w:tabs>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financiranje projekata putem fondova i posebnih instrumenata: EIF, JEREMIE, JASMINE, JESSICA.</w:t>
      </w:r>
    </w:p>
    <w:p w14:paraId="14FC4A9D"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Individualni zajmovi se dodjeljuju za infrastrukturne projekte na području transporta, energetike, zaštite okoliša, industrije, uslužnih djelatnosti, zdravstva i školstva, financirane direktno preko EIB,  vrijednosti investicije  veće od 25 milijuna Eura. Visine kredita nisu ograničene, razdoblje povrata se kreće od 5 do 12 godina za industrijske projekte, te 15 - 25 godina za investicije u infrastrukturu i energetiku, pri čemu EIB  standardno financira do 50% investicije. Kamatne stope mogu biti fiksne ili </w:t>
      </w:r>
      <w:r w:rsidRPr="00296495">
        <w:rPr>
          <w:rFonts w:ascii="Calibri" w:eastAsia="Times New Roman" w:hAnsi="Calibri" w:cs="Times New Roman"/>
        </w:rPr>
        <w:lastRenderedPageBreak/>
        <w:t>varijabilne, uz mogućnost počeka otplate glavnice uz obavezno osiguranje zajma  bankarskom garancijom ili nekim drugim prvoklasnim instrumentom osiguranja.</w:t>
      </w:r>
    </w:p>
    <w:p w14:paraId="04664753" w14:textId="76C5052C"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Posredni zajam se uglavnom dodjeljuju malim i srednjim poduzećima i jedinicama lokalne uprave uz posredovanje banke partnera u zemlji samog investitora. Visina zajma kreće se u rasponu od 40.000 do 25 milijuna Eura, a financira se 100% vrijednosti investicije za projekte u industriji i uslužni djelatnostima, modernizaciju tehnologije, energetske uštede, zaštitu okoliša i poboljšanje infrastrukture. U slučajevima kada investitori ne mogu zadovoljiti uvjet o minimalnoj visini investicije od 25 milijuna Eura, postoji mogućnost grupiranja većeg broja individualnih projekata i dodjele skupnih zajmova.</w:t>
      </w:r>
    </w:p>
    <w:p w14:paraId="62CAF9A4" w14:textId="7777777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Prilikom apliciranja projekta za zajam od EIB ne postoji standardna dokumentacija niti upitnik koji treba popuniti. Međutim, za svaki projekt potrebno je izraditi studiju isplativosti, pribaviti potrebne zakonske dozvole, navesti detaljne tehničke specifikacije projekta, relevantne podatke o investitoru, kreirati plan troškova i financijsku analizu, te napraviti studiju utjecaja na okoliš. Postoji mogućnost kombiniranja zajmova EIB sa sredstvima dobivenim iz ESI fondova. </w:t>
      </w:r>
    </w:p>
    <w:p w14:paraId="6E16BA8D" w14:textId="7F6451F5"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Suradnja EIB-a i Hrvatske banke za obnovu i razvitak (HBOR)  započela je 2001. godine te je do   2014. godine zaključeno 12 ugovora o financiranju u ukupnom iznosu od 1,79 milijardi Eura čime je financirano više od 2.100 projekata i otvoreno preko 8.500 novih radnih mjesta. U ožujku 2014. godine EIB je odobrio HBOR-u zajam u iznosu od 800 milijuna Eura koji predstavlja dosad najveći iznos zaduženja HBOR-a. Prva tranša zajma u iznosu od 400 milijuna eura zaključena je 24. ožujka 2014. godine. Sredstva u iznosu 250 milijuna eura namijenjena su za financiranje malog i srednjeg poduzetništva iz sektora industrije, usluga, turizma i drugih prihvatljivih sektora, dok je 150 milijuna eura namijenjeno za financiranje projekata srednje kapitaliziranih poduzeća iz sektora industrije, usluga, turizma i drugih prihvatljivih sektora, kao i javnih te privatnih poduzeća koja ulažu u projekte bazirane na znanju, infrastrukturi i zaštiti okoliša.</w:t>
      </w:r>
    </w:p>
    <w:p w14:paraId="78FF9261"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Uloga EIB na polju energetske učinkovitosti i obnovljivih izvora energije posebno se intenzivirala posljednjih nekoliko godina kada se bilježi značajno povećanje investiranja u ovaj sektor. 2009. godine EIB je uložio 25 milijuna Eura u osnivanje novog fonda specijaliziranog za projekte energetske učinkovitosti i obnovljive izvore energije (Green for Growth Fund Southeast Europe) te proširio suradnju s Hrvatskom bankom za obnovu i razvitak. Glavni cilj suradnje je prevladavanje krizne situacije na kreditnom tržištu koja je posebno pogodila poduzetnički sektor. </w:t>
      </w:r>
    </w:p>
    <w:p w14:paraId="261C3C7E" w14:textId="77777777" w:rsidR="00296495" w:rsidRPr="00296495" w:rsidRDefault="00296495" w:rsidP="00296495">
      <w:pPr>
        <w:pStyle w:val="Heading2"/>
        <w:spacing w:after="240"/>
      </w:pPr>
      <w:bookmarkStart w:id="467" w:name="_Toc404268132"/>
      <w:bookmarkStart w:id="468" w:name="_Toc467589732"/>
      <w:bookmarkStart w:id="469" w:name="_Toc468345409"/>
      <w:r w:rsidRPr="00296495">
        <w:t>Europska banka za obnovu i razvoj (EBRD)</w:t>
      </w:r>
      <w:bookmarkEnd w:id="467"/>
      <w:bookmarkEnd w:id="468"/>
      <w:bookmarkEnd w:id="469"/>
    </w:p>
    <w:p w14:paraId="30358E21" w14:textId="306E6C97"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Europska banka za obnovu i razvoj (EBRD) osnovana je 1991. godine kao međunarodna financijska institucija za pomoć tranzicijskim zemljama pri prelasku na tržišnu ekonomiju i demokratsko uređenje. Sjedište banke je u Londonu, a nalazi se u vlasništvu 61 zemlje i dvije međunarodne institucije: EU i EIB. Investiranje se provodi u 29 zemalja Europe i Azije, među kojima je i Hrvatska.</w:t>
      </w:r>
    </w:p>
    <w:p w14:paraId="662FC728" w14:textId="1748B905" w:rsidR="00296495" w:rsidRPr="00296495" w:rsidRDefault="00296495" w:rsidP="00296495">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Korisnici sredstava primarno dolaze iz privatnog sektora i nisu u mogućnosti pronaći odgovarajuće izvore financiranja na tržištu. EBRD također usko surađuje s regionalnim bankama pri financiranju projekata u javnom sektoru.</w:t>
      </w:r>
    </w:p>
    <w:p w14:paraId="51F83FD8"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Uvjeti za financiranje projekta od strane EBRD banke su sljedeći: </w:t>
      </w:r>
    </w:p>
    <w:p w14:paraId="3BB6140A" w14:textId="77777777" w:rsidR="00296495" w:rsidRPr="00296495" w:rsidRDefault="00296495" w:rsidP="00EE7021">
      <w:pPr>
        <w:numPr>
          <w:ilvl w:val="0"/>
          <w:numId w:val="58"/>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Projekt se mora odvijati u zemlji članici EBRD-a;</w:t>
      </w:r>
    </w:p>
    <w:p w14:paraId="532BA3EA" w14:textId="77777777" w:rsidR="00296495" w:rsidRPr="00296495" w:rsidRDefault="00296495" w:rsidP="00EE7021">
      <w:pPr>
        <w:numPr>
          <w:ilvl w:val="0"/>
          <w:numId w:val="57"/>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Projekt treba imati značajnu tržišnu perspektivu;</w:t>
      </w:r>
    </w:p>
    <w:p w14:paraId="4C3C3182" w14:textId="6C47935C" w:rsidR="00296495" w:rsidRPr="00296495" w:rsidRDefault="00296495" w:rsidP="00EE7021">
      <w:pPr>
        <w:numPr>
          <w:ilvl w:val="0"/>
          <w:numId w:val="57"/>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F</w:t>
      </w:r>
      <w:r w:rsidR="00EE7021">
        <w:rPr>
          <w:rFonts w:ascii="Calibri" w:eastAsia="Times New Roman" w:hAnsi="Calibri" w:cs="Times New Roman"/>
        </w:rPr>
        <w:t>i</w:t>
      </w:r>
      <w:r w:rsidRPr="00296495">
        <w:rPr>
          <w:rFonts w:ascii="Calibri" w:eastAsia="Times New Roman" w:hAnsi="Calibri" w:cs="Times New Roman"/>
        </w:rPr>
        <w:t>nancijski doprinos investitora mora biti znatno veći nego EBRD-a;</w:t>
      </w:r>
    </w:p>
    <w:p w14:paraId="3C44187A" w14:textId="77777777" w:rsidR="00296495" w:rsidRPr="00296495" w:rsidRDefault="00296495" w:rsidP="00EE7021">
      <w:pPr>
        <w:numPr>
          <w:ilvl w:val="0"/>
          <w:numId w:val="57"/>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lastRenderedPageBreak/>
        <w:t>Projekt treba  doprinositi lokalnom gospodarstvu i razvitku privatnog sektora;</w:t>
      </w:r>
    </w:p>
    <w:p w14:paraId="1B6BC867" w14:textId="77777777" w:rsidR="00296495" w:rsidRPr="00296495" w:rsidRDefault="00296495" w:rsidP="00EE7021">
      <w:pPr>
        <w:numPr>
          <w:ilvl w:val="0"/>
          <w:numId w:val="57"/>
        </w:num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Projekt treba zadovoljavati stroge financijske i ekološke kriterije.</w:t>
      </w:r>
    </w:p>
    <w:p w14:paraId="77FA13FA"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EBRD standardno financira projekte na području poljoprivrede, energetske efikasnosti i opskrbe energijom, industrijske proizvodnje, infrastrukture lokalne zajednice, turizma, telekomunikacija i transporta. Financiranje EBRD-a vrši se putem zajmova i vrijednosnih papira u vrijednosti od 5 - 230 milijuna Eura. Manje vrijedni projekti mogu se financirati posredno preko privatnih banaka ili posebnih razvojnih programa. Razdoblje otplate zajma kreće se od jedne do 15 godina. EBRD prilagođava uvjete financiranja ovisno o stanju regije i sektora u kojem se odvija projekt. Doprinos EBRD-a u projektu iznosi do 35%, ali može biti i veći.</w:t>
      </w:r>
    </w:p>
    <w:p w14:paraId="1E9FF802" w14:textId="77777777" w:rsidR="00296495" w:rsidRPr="00296495" w:rsidRDefault="00296495" w:rsidP="00EE7021">
      <w:pPr>
        <w:pStyle w:val="Heading2"/>
        <w:spacing w:after="240"/>
      </w:pPr>
      <w:bookmarkStart w:id="470" w:name="_Toc404268135"/>
      <w:bookmarkStart w:id="471" w:name="_Toc467589733"/>
      <w:bookmarkStart w:id="472" w:name="_Toc468345410"/>
      <w:r w:rsidRPr="00296495">
        <w:t>Europski fond za energetsku učinkovitost (EEEF)</w:t>
      </w:r>
      <w:bookmarkEnd w:id="470"/>
      <w:bookmarkEnd w:id="471"/>
      <w:bookmarkEnd w:id="472"/>
    </w:p>
    <w:p w14:paraId="0D6AB2F1" w14:textId="66C685C4"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Europska komisija osnovala je 1. srpnja 2008. Europski fond za energetsku učinkovitost kao dio nastavka paketa mjera za ekonomski oporavak zemalja Unije (European Energy Programme for Recovery). Fond je namijenjen podupiranju projekata energetske učinkovitosti i obnovljivih izvora energije, s posebnim naglaskom na projekte u gradskim sredinama. Fond nudi sve vrste financijskih usluga uključujući srednjoročno i dugoročno kreditiranje, izdavanje garancija, dužničkih vrijednosnih papira i akreditiva te sredstva tehničke pomoći. Prihvatljiva veličina investicije kreće se između 5-25 milijuna Eura, uz omjer iznosa tehničke pomoći i kapitalne investicije od 1:20. Udio sufinanciranja tehničke pomoći za</w:t>
      </w:r>
      <w:r w:rsidR="00EE7021">
        <w:rPr>
          <w:rFonts w:ascii="Calibri" w:eastAsia="Times New Roman" w:hAnsi="Calibri" w:cs="Times New Roman"/>
        </w:rPr>
        <w:t xml:space="preserve"> pripremu projekta iznosi 100%.</w:t>
      </w:r>
    </w:p>
    <w:p w14:paraId="515F7D6C"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Korisnici su primarno jedinice lokalne, odnosno regionalne uprave, ali na fond se mogu javljati i privatna poduzeća i ESCO tvrtke. Inicijalni proračun fonda iznosi 265 milijuna Eura, uz udjel EU od 125 milijuna Eura, Europske investicijske banke od 75 milijuna Eura, Cassa Depositi e Prestiti SpA od 60 milijuna Eura i doprinosom Deutsche Bank koja upravlja samim fondom od 5 milijuna Eura. Krediti putem ovog fonda ne smiju biti veći od 25 milijuna Eura, a s realizacijom investicije mora se započeti unutar roka od tri godine. Pretpostavlja se da će uz doprinos privatnih investitora i banaka inicijalni proračun fonda eventualno narasti do 800 milijuna Eura.</w:t>
      </w:r>
    </w:p>
    <w:p w14:paraId="6DA68CDE" w14:textId="77777777" w:rsidR="00296495" w:rsidRPr="00296495" w:rsidRDefault="00296495" w:rsidP="00EE7021">
      <w:pPr>
        <w:pStyle w:val="Heading2"/>
        <w:spacing w:after="240"/>
      </w:pPr>
      <w:bookmarkStart w:id="473" w:name="_Toc404268137"/>
      <w:bookmarkStart w:id="474" w:name="_Toc467589734"/>
      <w:bookmarkStart w:id="475" w:name="_Toc468345411"/>
      <w:r w:rsidRPr="00296495">
        <w:t>Program financijske podrške projektima obnovljive energije za Zapadni Balkan II (WeBSEFF II)</w:t>
      </w:r>
      <w:bookmarkEnd w:id="473"/>
      <w:bookmarkEnd w:id="474"/>
      <w:bookmarkEnd w:id="475"/>
    </w:p>
    <w:p w14:paraId="5A427C38" w14:textId="3B749376"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Na temelju uspješnog fonda WeBSEDFF osnovanog 2009. godine od strane Europske banke za obnovu i razvoj pokrenut je 2013. godine novi program pod nazivom Program financijske podrške projektima obnovljive energije za Zapadni Balkan II (WeBSEFF II). Program je namijenjen kreditiranju projekata energetski održivog razvitka u zemljama tzv. Zapadnog Balkana, a provodi se putem regionalnih partnerskih banaka (Zagrebačka banka d.d.). Proračun fonda iznosi 75 milijuna Eura, a otvoren je podjednako investitorima iz privatnog i javnog sektora. Europska unija podupire WeBSEFF II sa 11,5 milijuna Eura bespovratnih sredstava koji su namijenjeni za tehničku, konzultantsku pomoć investitorima, ali i za projekte koji ost</w:t>
      </w:r>
      <w:r w:rsidR="00EE7021">
        <w:rPr>
          <w:rFonts w:ascii="Calibri" w:eastAsia="Times New Roman" w:hAnsi="Calibri" w:cs="Times New Roman"/>
        </w:rPr>
        <w:t xml:space="preserve">vare značajne uštede energije. </w:t>
      </w:r>
    </w:p>
    <w:p w14:paraId="43A45B7E"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Naime, poticaji u obliku smanjenja glavnice kredita odobravaju se ako projekt ostvari minimalne uštede od:</w:t>
      </w:r>
    </w:p>
    <w:p w14:paraId="1356C0E0" w14:textId="77777777" w:rsidR="00296495" w:rsidRPr="00296495" w:rsidRDefault="00296495" w:rsidP="00EE7021">
      <w:pPr>
        <w:numPr>
          <w:ilvl w:val="0"/>
          <w:numId w:val="59"/>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20% smanjenja emisije CO</w:t>
      </w:r>
      <w:r w:rsidRPr="00296495">
        <w:rPr>
          <w:rFonts w:ascii="Calibri" w:eastAsia="Times New Roman" w:hAnsi="Calibri" w:cs="Times New Roman"/>
          <w:vertAlign w:val="subscript"/>
        </w:rPr>
        <w:t xml:space="preserve">2 </w:t>
      </w:r>
      <w:r w:rsidRPr="00296495">
        <w:rPr>
          <w:rFonts w:ascii="Calibri" w:eastAsia="Times New Roman" w:hAnsi="Calibri" w:cs="Times New Roman"/>
        </w:rPr>
        <w:t>za investiranje u novu, energetski učinkovitiju opremu;</w:t>
      </w:r>
    </w:p>
    <w:p w14:paraId="02320B86" w14:textId="77777777" w:rsidR="00296495" w:rsidRPr="00296495" w:rsidRDefault="00296495" w:rsidP="00EE7021">
      <w:pPr>
        <w:numPr>
          <w:ilvl w:val="0"/>
          <w:numId w:val="59"/>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30% smanjenja potrošnje energije za rekonstrukciju postojećih zgrada;</w:t>
      </w:r>
    </w:p>
    <w:p w14:paraId="54F0C55B" w14:textId="77777777" w:rsidR="00296495" w:rsidRPr="00296495" w:rsidRDefault="00296495" w:rsidP="00EE7021">
      <w:pPr>
        <w:numPr>
          <w:ilvl w:val="0"/>
          <w:numId w:val="59"/>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Projekti obnovljivih izvora energije moraju ostvariti povrat investicije unutar 15 godina te imati internu stopu rentabilnosti veću od 10%.</w:t>
      </w:r>
    </w:p>
    <w:p w14:paraId="33D01E4F"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p>
    <w:p w14:paraId="52279CE8"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lastRenderedPageBreak/>
        <w:t>Procjenu isplativosti ulaganja provode  projektni konzultanti, a odabrani će biti samo dugoročno financijski održivi projekti. Uloga konzultanata svodi se na provjeru sukladnosti projekta sa zadanim kriterijima, procjenu potencijalnog smanjenja emisije CO</w:t>
      </w:r>
      <w:r w:rsidRPr="00296495">
        <w:rPr>
          <w:rFonts w:ascii="Calibri" w:eastAsia="Times New Roman" w:hAnsi="Calibri" w:cs="Times New Roman"/>
          <w:vertAlign w:val="subscript"/>
        </w:rPr>
        <w:t>2</w:t>
      </w:r>
      <w:r w:rsidRPr="00296495">
        <w:rPr>
          <w:rFonts w:ascii="Calibri" w:eastAsia="Times New Roman" w:hAnsi="Calibri" w:cs="Times New Roman"/>
        </w:rPr>
        <w:t>, kao i pružanje savjetodavne pomoći.</w:t>
      </w:r>
    </w:p>
    <w:p w14:paraId="3164C9EF" w14:textId="77777777" w:rsidR="00296495" w:rsidRPr="00296495" w:rsidRDefault="00296495" w:rsidP="00EE7021">
      <w:pPr>
        <w:pStyle w:val="Heading2"/>
      </w:pPr>
      <w:r w:rsidRPr="00296495">
        <w:t xml:space="preserve"> </w:t>
      </w:r>
      <w:bookmarkStart w:id="476" w:name="_Toc404268139"/>
      <w:r w:rsidRPr="00296495">
        <w:t xml:space="preserve"> </w:t>
      </w:r>
      <w:bookmarkStart w:id="477" w:name="_Toc467589735"/>
      <w:bookmarkStart w:id="478" w:name="_Toc468345412"/>
      <w:r w:rsidRPr="00296495">
        <w:t>Programi i posebni instrumenti potpore Europske unije</w:t>
      </w:r>
      <w:bookmarkEnd w:id="476"/>
      <w:bookmarkEnd w:id="477"/>
      <w:bookmarkEnd w:id="478"/>
      <w:r w:rsidRPr="00296495">
        <w:t xml:space="preserve"> </w:t>
      </w:r>
    </w:p>
    <w:p w14:paraId="02A39D89" w14:textId="77777777" w:rsidR="00296495" w:rsidRPr="00296495" w:rsidRDefault="00296495" w:rsidP="00EE7021">
      <w:pPr>
        <w:pStyle w:val="Heading3"/>
        <w:spacing w:after="240"/>
      </w:pPr>
      <w:bookmarkStart w:id="479" w:name="_Toc404268140"/>
      <w:bookmarkStart w:id="480" w:name="_Toc467589736"/>
      <w:bookmarkStart w:id="481" w:name="_Toc468345413"/>
      <w:r w:rsidRPr="00296495">
        <w:t>Obzor 2020</w:t>
      </w:r>
      <w:bookmarkEnd w:id="479"/>
      <w:bookmarkEnd w:id="480"/>
      <w:bookmarkEnd w:id="481"/>
    </w:p>
    <w:p w14:paraId="59DF3DBA" w14:textId="77777777"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Obzor 2020 je novi okvirni program za razdoblje 2014.-2020. namijenjen financiranju istraživačkih i inovacijskih projekata koji su se do 2013. godine provodili putem programa Inteligentna energija za Europu (IEE) i Sedmog okvirnog programa (FP7). Temeljni cilj programa Obzor 2020 jest smanjivanje inovacijskog i istraživačkog jaza u usporedbi sa SAD, Japanom i Kinom te reduciranje daljnje fragmentacije istraživanja i inovacija u Europi kroz učinkovitije upravljanje financijskim sredstvima. Program bi također trebao riješiti neke od najvećih zamjerki iz aktualnih FP7 i IEE programa poput pojednostavljivanja birokratske procedure u administriranju i financijskom praćenju projekta. Također, dat će se snažna podrška fokusiranju istraživanja na tzv. društvene izazove (eng. societal challanges) u EU poput klimatskih promjena, energetske sigurnosti i efikasnosti, starenja stanovništva i efikasnog korištenja resursa bez štetnih posljedica po okoliš.</w:t>
      </w:r>
    </w:p>
    <w:p w14:paraId="6796BFDA"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Proračun Obzor 2020 u sedmogodišnjem razdoblju iznosi 80 milijardi Eura i podijeljen je u skladu s prioritetima programa:</w:t>
      </w:r>
    </w:p>
    <w:p w14:paraId="1D4AFF7D" w14:textId="77777777" w:rsidR="00296495" w:rsidRPr="00296495" w:rsidRDefault="00296495" w:rsidP="00EE7021">
      <w:pPr>
        <w:numPr>
          <w:ilvl w:val="0"/>
          <w:numId w:val="60"/>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Jačanje istraživanja i znanstvenih kapaciteta EU (ukupno 24,6 milijardi Eura);</w:t>
      </w:r>
    </w:p>
    <w:p w14:paraId="61382A76" w14:textId="77777777" w:rsidR="00296495" w:rsidRPr="00296495" w:rsidRDefault="00296495" w:rsidP="00EE7021">
      <w:pPr>
        <w:numPr>
          <w:ilvl w:val="0"/>
          <w:numId w:val="60"/>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Tehnološki razvoj i inovacije u industrijskom sektoru te olakšavanje pristupa izvorima financiranja za male i srednje poduzetnike (ukupno 13,7 milijardi Eura);</w:t>
      </w:r>
    </w:p>
    <w:p w14:paraId="42C1D8B8" w14:textId="77777777" w:rsidR="00296495" w:rsidRPr="00296495" w:rsidRDefault="00296495" w:rsidP="00EE7021">
      <w:pPr>
        <w:numPr>
          <w:ilvl w:val="0"/>
          <w:numId w:val="60"/>
        </w:num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Rješavanje društvenih problema koji se odnose na klimatske promjene, sigurnost opskrbe energijom, održivi transport, poljoprivredu i zdravlje građana (ukupno 31,8 milijardi Eura).</w:t>
      </w:r>
    </w:p>
    <w:p w14:paraId="261EAF8B"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Kombiniranjem znanstveno-istraživačkih aktivnosti te potpora industriji i poduzetnicima, po prvi put su se pod istim programom našli projekti razvoja i komercijalizacije, čime se želi stvoriti svojevrsna premosnica između ova dva sektora.</w:t>
      </w:r>
    </w:p>
    <w:p w14:paraId="19B6F179" w14:textId="77777777" w:rsidR="00296495" w:rsidRPr="00296495" w:rsidRDefault="00296495" w:rsidP="00EE7021">
      <w:pPr>
        <w:pStyle w:val="Heading3"/>
        <w:spacing w:after="240"/>
        <w:jc w:val="both"/>
      </w:pPr>
      <w:bookmarkStart w:id="482" w:name="_Toc404268142"/>
      <w:bookmarkStart w:id="483" w:name="_Toc467589737"/>
      <w:bookmarkStart w:id="484" w:name="_Toc468345414"/>
      <w:r w:rsidRPr="00296495">
        <w:t>Europski programi teritorijalne suradnje</w:t>
      </w:r>
      <w:bookmarkEnd w:id="482"/>
      <w:bookmarkEnd w:id="483"/>
      <w:bookmarkEnd w:id="484"/>
    </w:p>
    <w:p w14:paraId="1A5A6A15"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Europski programi teritorijalne suradnje pokrenuti su s ciljem razvoja partnerstva u sektorima od strateške važnosti kako bi se unaprijedio proces teritorijalne, ekonomske i socijalne integracije i postigla kohezija, stabilnost i konkurentnost na regionalnom planu. Programi se financiraju iz Europskog fonda za regionalni razvoj (EFRR) i Instrumenta pretpristupne pomoći (IPA), ovisno o tome dolazi li prijavitelj iz zemlje članice Europske unije ili ne. Programi teritorijalne suradnje dijele se na:</w:t>
      </w:r>
    </w:p>
    <w:p w14:paraId="19A457CF" w14:textId="77777777" w:rsidR="00296495" w:rsidRPr="00296495" w:rsidRDefault="00296495" w:rsidP="00EE7021">
      <w:pPr>
        <w:numPr>
          <w:ilvl w:val="0"/>
          <w:numId w:val="55"/>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Programe prekogranične suradnje</w:t>
      </w:r>
    </w:p>
    <w:p w14:paraId="50C9722C" w14:textId="77777777" w:rsidR="00296495" w:rsidRPr="00296495" w:rsidRDefault="00296495" w:rsidP="00EE7021">
      <w:pPr>
        <w:numPr>
          <w:ilvl w:val="0"/>
          <w:numId w:val="55"/>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Programe transnacionalne suradnje</w:t>
      </w:r>
    </w:p>
    <w:p w14:paraId="07B35236" w14:textId="6A3950EC" w:rsidR="00296495" w:rsidRPr="00EE7021" w:rsidRDefault="00296495" w:rsidP="00EE7021">
      <w:pPr>
        <w:numPr>
          <w:ilvl w:val="0"/>
          <w:numId w:val="55"/>
        </w:num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Inter-regionalne programe</w:t>
      </w:r>
    </w:p>
    <w:p w14:paraId="05658882"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Do 2013. godine partneri iz Grada Zagreba bili su u mogućnosti sudjelovati na dva transnacionalna programa: Mediteran i Jugoistočna Europa. U novom programskom razdoblju (2014.-2020.) aktualna su četiri transnacionalna programa: </w:t>
      </w:r>
    </w:p>
    <w:p w14:paraId="2332A11F" w14:textId="77777777" w:rsidR="00296495" w:rsidRPr="00296495" w:rsidRDefault="00296495" w:rsidP="00EE7021">
      <w:pPr>
        <w:numPr>
          <w:ilvl w:val="0"/>
          <w:numId w:val="61"/>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Središnja Europa</w:t>
      </w:r>
    </w:p>
    <w:p w14:paraId="685BD716" w14:textId="77777777" w:rsidR="00296495" w:rsidRPr="00296495" w:rsidRDefault="00296495" w:rsidP="00EE7021">
      <w:pPr>
        <w:numPr>
          <w:ilvl w:val="0"/>
          <w:numId w:val="61"/>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Mediteran (MED)</w:t>
      </w:r>
    </w:p>
    <w:p w14:paraId="26574302" w14:textId="77777777" w:rsidR="00296495" w:rsidRPr="00296495" w:rsidRDefault="00296495" w:rsidP="00EE7021">
      <w:pPr>
        <w:numPr>
          <w:ilvl w:val="0"/>
          <w:numId w:val="61"/>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Dunav</w:t>
      </w:r>
    </w:p>
    <w:p w14:paraId="7CB2594C" w14:textId="77777777" w:rsidR="00296495" w:rsidRPr="00296495" w:rsidRDefault="00296495" w:rsidP="00EE7021">
      <w:pPr>
        <w:numPr>
          <w:ilvl w:val="0"/>
          <w:numId w:val="61"/>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Jadransko-jonski program </w:t>
      </w:r>
    </w:p>
    <w:p w14:paraId="6118B3F1"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p>
    <w:p w14:paraId="0BBBFDCB"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lastRenderedPageBreak/>
        <w:t xml:space="preserve">Također su te dva nastavljena i dva inter-regionalna programa: </w:t>
      </w:r>
    </w:p>
    <w:p w14:paraId="46041509" w14:textId="77777777" w:rsidR="00296495" w:rsidRPr="00296495" w:rsidRDefault="00296495" w:rsidP="00EE7021">
      <w:pPr>
        <w:numPr>
          <w:ilvl w:val="0"/>
          <w:numId w:val="61"/>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URBACT III </w:t>
      </w:r>
    </w:p>
    <w:p w14:paraId="31A0D1EF" w14:textId="48DC0E6E" w:rsidR="00296495" w:rsidRPr="00EE7021" w:rsidRDefault="00296495" w:rsidP="00EE7021">
      <w:pPr>
        <w:numPr>
          <w:ilvl w:val="0"/>
          <w:numId w:val="61"/>
        </w:num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INTEREG EUROPE</w:t>
      </w:r>
    </w:p>
    <w:p w14:paraId="01A27F64"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Prekograničnim programom suradnje obuhvaćene su susjedne zemlje: Slovenija, Bosna i Hercegovina, Mađarska, Srbija, Crna Gora i Italija. Grad Zagreb može sudjelovati u prekograničnom programu Slovenija-Hrvatska. Prema dosadašnjim pravilima programa sufinancirale su se aktivnosti na području zaštite okoliša, promocije energetske učinkovitosti i korištenja obnovljivih izvora energije te manji pilot projekti. Projektni konzorcij obavezno mora uključivati više partnera iz različitih zemalja programskog područja pri čemu koordinator projekta može dolaziti samo iz zemlje članice EU. Sufinanciranje projektnih aktivnosti maksimalno može iznositi do 85% prihvatljivih troškova.</w:t>
      </w:r>
    </w:p>
    <w:p w14:paraId="112E1EC8" w14:textId="77777777" w:rsidR="00296495" w:rsidRPr="00296495" w:rsidRDefault="00296495" w:rsidP="00EE7021">
      <w:pPr>
        <w:pStyle w:val="Heading3"/>
        <w:spacing w:after="240"/>
        <w:jc w:val="both"/>
      </w:pPr>
      <w:bookmarkStart w:id="485" w:name="_Toc404268143"/>
      <w:bookmarkStart w:id="486" w:name="_Toc467589738"/>
      <w:bookmarkStart w:id="487" w:name="_Toc468345415"/>
      <w:r w:rsidRPr="00296495">
        <w:t>European Local Energy Assistance (ELENA)</w:t>
      </w:r>
      <w:bookmarkEnd w:id="485"/>
      <w:bookmarkEnd w:id="486"/>
      <w:bookmarkEnd w:id="487"/>
    </w:p>
    <w:p w14:paraId="315F8BB0"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ELENA je usluga tehničke pomoći pokrenuta u suradnji Europske komisije i Europske investicijske banke krajem 2009. godine. Tehnička pomoć pruža se gradovima i regijama pri razvoju projekata energetske učinkovitosti i privlačenju dodatnih investicija, pri čemu su obuhvaćene sve vrste tehničke podrške potrebne za pripremu, provedbu i financiranje investicijskog programa. Ključan kriterij pri selekciji projekata je njihov utjecaj na ukupno smanjenje emisije CO</w:t>
      </w:r>
      <w:r w:rsidRPr="00296495">
        <w:rPr>
          <w:rFonts w:ascii="Calibri" w:eastAsia="Times New Roman" w:hAnsi="Calibri" w:cs="Times New Roman"/>
          <w:vertAlign w:val="subscript"/>
        </w:rPr>
        <w:t>2</w:t>
      </w:r>
      <w:r w:rsidRPr="00296495">
        <w:rPr>
          <w:rFonts w:ascii="Calibri" w:eastAsia="Times New Roman" w:hAnsi="Calibri" w:cs="Times New Roman"/>
        </w:rPr>
        <w:t>, a prihvatljivi projekti uključuju izgradnju energetski efikasnih sustava grijanja i hlađenja, investicije u čišći javni prijevoz, održivu gradnju i sl. Minimalna investicije iznosi 50 milijuna Eura, uz omjer iznosa tehničke pomoći i kapitalne investicije od 1:20. Udio bespovratnog sufinanciranja iznosi 90%. Obzirom na vrlo visoku minimalnu investiciju Europska komisija osnovala je i druge ELENA fondove namijenjene manjim projektima (između 30 i 50 milijuna Eura), a kojima upravljaju razvojne banke KfW (Njemačka razvojna banka) i CEB (Banka vijeća Europe).</w:t>
      </w:r>
    </w:p>
    <w:p w14:paraId="4E77D0F9" w14:textId="77777777" w:rsidR="00296495" w:rsidRPr="00296495" w:rsidRDefault="00296495" w:rsidP="00EE7021">
      <w:pPr>
        <w:pStyle w:val="Heading3"/>
        <w:spacing w:after="240"/>
        <w:jc w:val="both"/>
      </w:pPr>
      <w:bookmarkStart w:id="488" w:name="_Toc404268144"/>
      <w:bookmarkStart w:id="489" w:name="_Toc467589739"/>
      <w:bookmarkStart w:id="490" w:name="_Toc468345416"/>
      <w:r w:rsidRPr="00296495">
        <w:t>Zajednička europska potpora održivom ulaganju u gradska područja (JESSICA)</w:t>
      </w:r>
      <w:bookmarkEnd w:id="488"/>
      <w:bookmarkEnd w:id="489"/>
      <w:bookmarkEnd w:id="490"/>
    </w:p>
    <w:p w14:paraId="6598B4D3"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Inicijativom JESSICA promiče se održivi urbani razvoj podupiranjem projekata u sljedećim područjima:</w:t>
      </w:r>
    </w:p>
    <w:p w14:paraId="2E5DF0B9" w14:textId="2752734B" w:rsidR="00296495" w:rsidRPr="00296495" w:rsidRDefault="00EE7021" w:rsidP="00EE7021">
      <w:pPr>
        <w:numPr>
          <w:ilvl w:val="0"/>
          <w:numId w:val="62"/>
        </w:numPr>
        <w:tabs>
          <w:tab w:val="left" w:pos="720"/>
          <w:tab w:val="left" w:pos="6912"/>
        </w:tabs>
        <w:spacing w:after="0" w:line="240" w:lineRule="auto"/>
        <w:jc w:val="both"/>
        <w:rPr>
          <w:rFonts w:ascii="Calibri" w:eastAsia="Times New Roman" w:hAnsi="Calibri" w:cs="Times New Roman"/>
        </w:rPr>
      </w:pPr>
      <w:r>
        <w:rPr>
          <w:rFonts w:ascii="Calibri" w:eastAsia="Times New Roman" w:hAnsi="Calibri" w:cs="Times New Roman"/>
        </w:rPr>
        <w:t>G</w:t>
      </w:r>
      <w:r w:rsidR="00296495" w:rsidRPr="00296495">
        <w:rPr>
          <w:rFonts w:ascii="Calibri" w:eastAsia="Times New Roman" w:hAnsi="Calibri" w:cs="Times New Roman"/>
        </w:rPr>
        <w:t>radska infrastruktura – uključujući promet, vodu/otpadne vode, energetiku;</w:t>
      </w:r>
    </w:p>
    <w:p w14:paraId="64E8BC86" w14:textId="0E3D4D71" w:rsidR="00296495" w:rsidRPr="00296495" w:rsidRDefault="00EE7021" w:rsidP="00EE7021">
      <w:pPr>
        <w:numPr>
          <w:ilvl w:val="0"/>
          <w:numId w:val="62"/>
        </w:numPr>
        <w:tabs>
          <w:tab w:val="left" w:pos="720"/>
          <w:tab w:val="left" w:pos="6912"/>
        </w:tabs>
        <w:spacing w:after="0" w:line="240" w:lineRule="auto"/>
        <w:jc w:val="both"/>
        <w:rPr>
          <w:rFonts w:ascii="Calibri" w:eastAsia="Times New Roman" w:hAnsi="Calibri" w:cs="Times New Roman"/>
        </w:rPr>
      </w:pPr>
      <w:r>
        <w:rPr>
          <w:rFonts w:ascii="Calibri" w:eastAsia="Times New Roman" w:hAnsi="Calibri" w:cs="Times New Roman"/>
        </w:rPr>
        <w:t>K</w:t>
      </w:r>
      <w:r w:rsidR="00296495" w:rsidRPr="00296495">
        <w:rPr>
          <w:rFonts w:ascii="Calibri" w:eastAsia="Times New Roman" w:hAnsi="Calibri" w:cs="Times New Roman"/>
        </w:rPr>
        <w:t>ulturna baština ili kulturne znamenitosti – za turizam i ostale održive načine uporabe;</w:t>
      </w:r>
    </w:p>
    <w:p w14:paraId="4F956048" w14:textId="3C1C9089" w:rsidR="00296495" w:rsidRPr="00296495" w:rsidRDefault="00EE7021" w:rsidP="00EE7021">
      <w:pPr>
        <w:numPr>
          <w:ilvl w:val="0"/>
          <w:numId w:val="62"/>
        </w:numPr>
        <w:tabs>
          <w:tab w:val="left" w:pos="720"/>
          <w:tab w:val="left" w:pos="6912"/>
        </w:tabs>
        <w:spacing w:after="0" w:line="240" w:lineRule="auto"/>
        <w:jc w:val="both"/>
        <w:rPr>
          <w:rFonts w:ascii="Calibri" w:eastAsia="Times New Roman" w:hAnsi="Calibri" w:cs="Times New Roman"/>
        </w:rPr>
      </w:pPr>
      <w:r>
        <w:rPr>
          <w:rFonts w:ascii="Calibri" w:eastAsia="Times New Roman" w:hAnsi="Calibri" w:cs="Times New Roman"/>
        </w:rPr>
        <w:t>P</w:t>
      </w:r>
      <w:r w:rsidR="00296495" w:rsidRPr="00296495">
        <w:rPr>
          <w:rFonts w:ascii="Calibri" w:eastAsia="Times New Roman" w:hAnsi="Calibri" w:cs="Times New Roman"/>
        </w:rPr>
        <w:t>onovni razvoj napuštenih ili neiskorištenih industrijskih područja – uključujući čišćenje područja i dekontaminacija;</w:t>
      </w:r>
    </w:p>
    <w:p w14:paraId="309B90CF" w14:textId="25084C98" w:rsidR="00296495" w:rsidRPr="00296495" w:rsidRDefault="00EE7021" w:rsidP="00EE7021">
      <w:pPr>
        <w:numPr>
          <w:ilvl w:val="0"/>
          <w:numId w:val="62"/>
        </w:numPr>
        <w:tabs>
          <w:tab w:val="left" w:pos="720"/>
          <w:tab w:val="left" w:pos="6912"/>
        </w:tabs>
        <w:spacing w:after="0" w:line="240" w:lineRule="auto"/>
        <w:jc w:val="both"/>
        <w:rPr>
          <w:rFonts w:ascii="Calibri" w:eastAsia="Times New Roman" w:hAnsi="Calibri" w:cs="Times New Roman"/>
        </w:rPr>
      </w:pPr>
      <w:r>
        <w:rPr>
          <w:rFonts w:ascii="Calibri" w:eastAsia="Times New Roman" w:hAnsi="Calibri" w:cs="Times New Roman"/>
        </w:rPr>
        <w:t>S</w:t>
      </w:r>
      <w:r w:rsidR="00296495" w:rsidRPr="00296495">
        <w:rPr>
          <w:rFonts w:ascii="Calibri" w:eastAsia="Times New Roman" w:hAnsi="Calibri" w:cs="Times New Roman"/>
        </w:rPr>
        <w:t>tvaranje novog gospodarskog prostora za mala i srednja poduzeća i sektor IT-a i/ili sektor istraživanja i razvoja;</w:t>
      </w:r>
    </w:p>
    <w:p w14:paraId="5B0F2931" w14:textId="2525010D" w:rsidR="00296495" w:rsidRPr="00296495" w:rsidRDefault="00EE7021" w:rsidP="00EE7021">
      <w:pPr>
        <w:numPr>
          <w:ilvl w:val="0"/>
          <w:numId w:val="62"/>
        </w:numPr>
        <w:tabs>
          <w:tab w:val="left" w:pos="720"/>
          <w:tab w:val="left" w:pos="6912"/>
        </w:tabs>
        <w:spacing w:after="0" w:line="240" w:lineRule="auto"/>
        <w:jc w:val="both"/>
        <w:rPr>
          <w:rFonts w:ascii="Calibri" w:eastAsia="Times New Roman" w:hAnsi="Calibri" w:cs="Times New Roman"/>
        </w:rPr>
      </w:pPr>
      <w:r>
        <w:rPr>
          <w:rFonts w:ascii="Calibri" w:eastAsia="Times New Roman" w:hAnsi="Calibri" w:cs="Times New Roman"/>
        </w:rPr>
        <w:t>S</w:t>
      </w:r>
      <w:r w:rsidR="00296495" w:rsidRPr="00296495">
        <w:rPr>
          <w:rFonts w:ascii="Calibri" w:eastAsia="Times New Roman" w:hAnsi="Calibri" w:cs="Times New Roman"/>
        </w:rPr>
        <w:t>veučilišne zgrade – zgrade za medicinske, biotehnološke i druge specijalizirane namjene;</w:t>
      </w:r>
    </w:p>
    <w:p w14:paraId="6FAC2E64" w14:textId="58AFD7DC" w:rsidR="00296495" w:rsidRPr="00296495" w:rsidRDefault="00EE7021" w:rsidP="00EE7021">
      <w:pPr>
        <w:numPr>
          <w:ilvl w:val="0"/>
          <w:numId w:val="62"/>
        </w:numPr>
        <w:tabs>
          <w:tab w:val="left" w:pos="720"/>
          <w:tab w:val="left" w:pos="6912"/>
        </w:tabs>
        <w:spacing w:line="240" w:lineRule="auto"/>
        <w:jc w:val="both"/>
        <w:rPr>
          <w:rFonts w:ascii="Calibri" w:eastAsia="Times New Roman" w:hAnsi="Calibri" w:cs="Times New Roman"/>
        </w:rPr>
      </w:pPr>
      <w:r>
        <w:rPr>
          <w:rFonts w:ascii="Calibri" w:eastAsia="Times New Roman" w:hAnsi="Calibri" w:cs="Times New Roman"/>
        </w:rPr>
        <w:t>P</w:t>
      </w:r>
      <w:r w:rsidR="00296495" w:rsidRPr="00296495">
        <w:rPr>
          <w:rFonts w:ascii="Calibri" w:eastAsia="Times New Roman" w:hAnsi="Calibri" w:cs="Times New Roman"/>
        </w:rPr>
        <w:t>oboljšanja u području energetske učinkovitosti.</w:t>
      </w:r>
    </w:p>
    <w:p w14:paraId="64E7FCF3" w14:textId="2623D50E"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Inicijativa se provodi u suradnji s Europskom investicijskom bankom, Razvojnom bankom Vijeća Europe te komercijalnim bankama. Države članice EU mogu odlučiti uložiti dio njima dodijeljenih sredstava iz ESI fondova u tzv. revolving fondove kako bi pridonijele ponovnoj uporabi financijskih sredstava i na taj način ubrzale ulaganja u urbana područja Europe. Doprinosi iz Europskog fonda za regionalni razvoj (EFRR) dodjeljuju se fondovima za urbani razvoj (FUR) koji ih ulažu u javno-privatna partnerstva ili u druge projekte uključene u integrirani plan za održivi urbani razvoj. Ta ulaganja mogu biti u obliku vlasničkog kapitala, zajmova i/ili jamstava. Upravna tijela mogu se odlučiti da sredstva preusmjere fondovima za urbani razvoj koristeći holding fondove (HF) namijenjene ulaganju u nekoliko fondova za urbani razvoj. S obzirom na to da se radi o obnovljivim instrumentima, prinosi od ulaganja ponovno se ulažu u nove projekte urbanog razvoja pri čemu se ponovno koriste javna sredstva te se potiče </w:t>
      </w:r>
      <w:r w:rsidRPr="00296495">
        <w:rPr>
          <w:rFonts w:ascii="Calibri" w:eastAsia="Times New Roman" w:hAnsi="Calibri" w:cs="Times New Roman"/>
        </w:rPr>
        <w:lastRenderedPageBreak/>
        <w:t>održivost i učinak javnih sredstava EU i nacionalnih javnih sredstava. Korisnici zajmova uključuju lokalne i regionalne uprave, agencije, državnu uprav</w:t>
      </w:r>
      <w:r w:rsidR="00EE7021">
        <w:rPr>
          <w:rFonts w:ascii="Calibri" w:eastAsia="Times New Roman" w:hAnsi="Calibri" w:cs="Times New Roman"/>
        </w:rPr>
        <w:t xml:space="preserve">u, ali i privatne investitore. </w:t>
      </w:r>
    </w:p>
    <w:p w14:paraId="32DFE074"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Za svaku zemlju članicu zainteresiranu za osnivanje JESSICA fonda priprema se posebna studija na temelju koje se određuju karakteristike budućeg fonda i instrumenti financiranja. Kroz 19 JESSICA programa ukupno je mobilizirano oko 1,6 milijardi Eura investicija, a Hrvatska je ulaskom u EU i potpisivanjem memoranduma ostvarila pravo na uspostavu fonda prema JESSICA arhitekturi.</w:t>
      </w:r>
    </w:p>
    <w:p w14:paraId="488D4698" w14:textId="77777777" w:rsidR="00296495" w:rsidRPr="00296495" w:rsidRDefault="00296495" w:rsidP="00EE7021">
      <w:pPr>
        <w:pStyle w:val="Heading3"/>
        <w:spacing w:after="240"/>
        <w:jc w:val="both"/>
      </w:pPr>
      <w:bookmarkStart w:id="491" w:name="_Toc404268145"/>
      <w:bookmarkStart w:id="492" w:name="_Toc467589740"/>
      <w:bookmarkStart w:id="493" w:name="_Toc468345417"/>
      <w:r w:rsidRPr="00296495">
        <w:t>Zajednička pomoć za potporu projektima u europskim regijama (JASPERS)</w:t>
      </w:r>
      <w:bookmarkEnd w:id="491"/>
      <w:bookmarkEnd w:id="492"/>
      <w:bookmarkEnd w:id="493"/>
    </w:p>
    <w:p w14:paraId="6EDA0863" w14:textId="77777777"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Cilj JASPERS inicijative, pokrenute 2006. godine od strane Europske komisije, EBRD i EIB  u suradnji s KfW bankom je pomoći zemljama članicama EU koje su pristupile nakon 2004. godine u pripremi kapitalnih projekata za financiranje putem EU fondova. </w:t>
      </w:r>
    </w:p>
    <w:p w14:paraId="0CDEA276"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Program JASPERS provode visokokvalificirani stručnjaci sa sjedištem u Luksemburgu te u regionalnim uredima centralne i istočne Europe, koji osiguravaju tehničku pomoć za sljedeća područja: </w:t>
      </w:r>
    </w:p>
    <w:p w14:paraId="540B3CB7" w14:textId="2E71F22E" w:rsidR="00296495" w:rsidRPr="00296495" w:rsidRDefault="00EE7021" w:rsidP="00EE7021">
      <w:pPr>
        <w:numPr>
          <w:ilvl w:val="0"/>
          <w:numId w:val="57"/>
        </w:numPr>
        <w:tabs>
          <w:tab w:val="left" w:pos="6912"/>
        </w:tabs>
        <w:spacing w:after="0" w:line="240" w:lineRule="auto"/>
        <w:jc w:val="both"/>
        <w:rPr>
          <w:rFonts w:ascii="Calibri" w:eastAsia="Times New Roman" w:hAnsi="Calibri" w:cs="Times New Roman"/>
        </w:rPr>
      </w:pPr>
      <w:r>
        <w:rPr>
          <w:rFonts w:ascii="Calibri" w:eastAsia="Times New Roman" w:hAnsi="Calibri" w:cs="Times New Roman"/>
        </w:rPr>
        <w:t>U</w:t>
      </w:r>
      <w:r w:rsidR="00296495" w:rsidRPr="00296495">
        <w:rPr>
          <w:rFonts w:ascii="Calibri" w:eastAsia="Times New Roman" w:hAnsi="Calibri" w:cs="Times New Roman"/>
        </w:rPr>
        <w:t>napređenje prometne infrastrukture unutar i izvan Transeuropske mreže: željeznički, cestovni i riječni promet;</w:t>
      </w:r>
    </w:p>
    <w:p w14:paraId="4E252CFE" w14:textId="03DF83B1" w:rsidR="00296495" w:rsidRPr="00296495" w:rsidRDefault="00EE7021" w:rsidP="00EE7021">
      <w:pPr>
        <w:numPr>
          <w:ilvl w:val="0"/>
          <w:numId w:val="57"/>
        </w:numPr>
        <w:tabs>
          <w:tab w:val="left" w:pos="6912"/>
        </w:tabs>
        <w:spacing w:after="0" w:line="240" w:lineRule="auto"/>
        <w:jc w:val="both"/>
        <w:rPr>
          <w:rFonts w:ascii="Calibri" w:eastAsia="Times New Roman" w:hAnsi="Calibri" w:cs="Times New Roman"/>
        </w:rPr>
      </w:pPr>
      <w:r>
        <w:rPr>
          <w:rFonts w:ascii="Calibri" w:eastAsia="Times New Roman" w:hAnsi="Calibri" w:cs="Times New Roman"/>
        </w:rPr>
        <w:t>I</w:t>
      </w:r>
      <w:r w:rsidR="00296495" w:rsidRPr="00296495">
        <w:rPr>
          <w:rFonts w:ascii="Calibri" w:eastAsia="Times New Roman" w:hAnsi="Calibri" w:cs="Times New Roman"/>
        </w:rPr>
        <w:t>ntermodalni prometni sustavi i njihova interoperabilnost;</w:t>
      </w:r>
    </w:p>
    <w:p w14:paraId="033BF76D" w14:textId="17C46092" w:rsidR="00296495" w:rsidRPr="00296495" w:rsidRDefault="00EE7021" w:rsidP="00EE7021">
      <w:pPr>
        <w:numPr>
          <w:ilvl w:val="0"/>
          <w:numId w:val="57"/>
        </w:numPr>
        <w:tabs>
          <w:tab w:val="left" w:pos="6912"/>
        </w:tabs>
        <w:spacing w:after="0" w:line="240" w:lineRule="auto"/>
        <w:jc w:val="both"/>
        <w:rPr>
          <w:rFonts w:ascii="Calibri" w:eastAsia="Times New Roman" w:hAnsi="Calibri" w:cs="Times New Roman"/>
        </w:rPr>
      </w:pPr>
      <w:r>
        <w:rPr>
          <w:rFonts w:ascii="Calibri" w:eastAsia="Times New Roman" w:hAnsi="Calibri" w:cs="Times New Roman"/>
        </w:rPr>
        <w:t>Č</w:t>
      </w:r>
      <w:r w:rsidR="00296495" w:rsidRPr="00296495">
        <w:rPr>
          <w:rFonts w:ascii="Calibri" w:eastAsia="Times New Roman" w:hAnsi="Calibri" w:cs="Times New Roman"/>
        </w:rPr>
        <w:t>isti gradski i javni promet;</w:t>
      </w:r>
    </w:p>
    <w:p w14:paraId="2E8FBA56" w14:textId="5BFFC5E7" w:rsidR="00296495" w:rsidRPr="00296495" w:rsidRDefault="00EE7021" w:rsidP="00EE7021">
      <w:pPr>
        <w:numPr>
          <w:ilvl w:val="0"/>
          <w:numId w:val="57"/>
        </w:numPr>
        <w:tabs>
          <w:tab w:val="left" w:pos="6912"/>
        </w:tabs>
        <w:spacing w:after="0" w:line="240" w:lineRule="auto"/>
        <w:jc w:val="both"/>
        <w:rPr>
          <w:rFonts w:ascii="Calibri" w:eastAsia="Times New Roman" w:hAnsi="Calibri" w:cs="Times New Roman"/>
        </w:rPr>
      </w:pPr>
      <w:r>
        <w:rPr>
          <w:rFonts w:ascii="Calibri" w:eastAsia="Times New Roman" w:hAnsi="Calibri" w:cs="Times New Roman"/>
        </w:rPr>
        <w:t>P</w:t>
      </w:r>
      <w:r w:rsidR="00296495" w:rsidRPr="00296495">
        <w:rPr>
          <w:rFonts w:ascii="Calibri" w:eastAsia="Times New Roman" w:hAnsi="Calibri" w:cs="Times New Roman"/>
        </w:rPr>
        <w:t>rojekti zaštite okoliša, energetske učinkovitosti i korištenja obnovljivih izvora energije;</w:t>
      </w:r>
    </w:p>
    <w:p w14:paraId="5AEC2F63" w14:textId="118B9534" w:rsidR="00296495" w:rsidRPr="00296495" w:rsidRDefault="00EE7021" w:rsidP="00EE7021">
      <w:pPr>
        <w:numPr>
          <w:ilvl w:val="0"/>
          <w:numId w:val="57"/>
        </w:numPr>
        <w:tabs>
          <w:tab w:val="left" w:pos="6912"/>
        </w:tabs>
        <w:spacing w:line="240" w:lineRule="auto"/>
        <w:jc w:val="both"/>
        <w:rPr>
          <w:rFonts w:ascii="Calibri" w:eastAsia="Times New Roman" w:hAnsi="Calibri" w:cs="Times New Roman"/>
        </w:rPr>
      </w:pPr>
      <w:r>
        <w:rPr>
          <w:rFonts w:ascii="Calibri" w:eastAsia="Times New Roman" w:hAnsi="Calibri" w:cs="Times New Roman"/>
        </w:rPr>
        <w:t>P</w:t>
      </w:r>
      <w:r w:rsidR="00296495" w:rsidRPr="00296495">
        <w:rPr>
          <w:rFonts w:ascii="Calibri" w:eastAsia="Times New Roman" w:hAnsi="Calibri" w:cs="Times New Roman"/>
        </w:rPr>
        <w:t xml:space="preserve">rovedba projekata kroz javno-privatna partnerstva. </w:t>
      </w:r>
    </w:p>
    <w:p w14:paraId="303AA5AD" w14:textId="7DC50931"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Tehnička pomoć u sklopu JASPERS inicijative se zajedničkom suradnjom zainteresiranih država članica i  Europske komisije priprema u obliku godišnjeg akcijskog plana, pri čemu je  fokus na projektima zaštite okoliša čija vrijednost prelazi 25 milijuna Eura te projektima prometne infrastrukture vr</w:t>
      </w:r>
      <w:r w:rsidR="00EE7021">
        <w:rPr>
          <w:rFonts w:ascii="Calibri" w:eastAsia="Times New Roman" w:hAnsi="Calibri" w:cs="Times New Roman"/>
        </w:rPr>
        <w:t xml:space="preserve">jednijima od 50 milijuna Eura. </w:t>
      </w:r>
    </w:p>
    <w:p w14:paraId="54F2A301"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Hrvatska koristi mogućnosti JASPERS inicijative od 2012. godine.</w:t>
      </w:r>
    </w:p>
    <w:p w14:paraId="52698C3D" w14:textId="19E408DB" w:rsidR="00296495" w:rsidRPr="00296495" w:rsidRDefault="004F23EA" w:rsidP="00EE7021">
      <w:pPr>
        <w:pStyle w:val="Heading2"/>
        <w:spacing w:after="240"/>
      </w:pPr>
      <w:bookmarkStart w:id="494" w:name="_Toc404268147"/>
      <w:bookmarkStart w:id="495" w:name="_Toc467589741"/>
      <w:r>
        <w:t xml:space="preserve"> </w:t>
      </w:r>
      <w:bookmarkStart w:id="496" w:name="_Toc468345418"/>
      <w:r w:rsidR="00296495" w:rsidRPr="00296495">
        <w:t>European Economic Area (EEA) and Norway Grants (hrv.  Darovnice članica Europske Ekonomske Zone i Norveške)</w:t>
      </w:r>
      <w:bookmarkEnd w:id="494"/>
      <w:bookmarkEnd w:id="495"/>
      <w:bookmarkEnd w:id="496"/>
    </w:p>
    <w:p w14:paraId="3635DA26"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Program Bespovratnih poticaja članica Europske Ekonomske Zone i Norveške (eng. European Economic Area (EEA) and Norway Grants) predstavlja doprinos 3 zemlje – Islanda, Lihtenštajna i Norveške smanjenju ekonomskih i socijalnih nejednakosti te jačanju bilateralnih odnosa sa 15 zemalja Središnje i Južne Europe među kojima je i Hrvatska .</w:t>
      </w:r>
    </w:p>
    <w:p w14:paraId="4AFEC36A"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p>
    <w:p w14:paraId="2A9B8AA8"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Bespovratnu pomoć zemlje EEA zajednički financiraju razmjerno svojoj gospodarskoj snazi, a ukupna alokacija namijenjena Republici Hrvatskoj iznosi 103,4 mil Eura za razdoblje od 2014.-2021. Operativni program za korištenje ovih sredstava je trenutno u izradi, a prioriteti financiranja odražavaju glavne izazove s kojima se Europa suočava:</w:t>
      </w:r>
    </w:p>
    <w:p w14:paraId="2C231E02"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p>
    <w:p w14:paraId="5A42F76F" w14:textId="77777777" w:rsidR="00296495" w:rsidRPr="00296495" w:rsidRDefault="00296495" w:rsidP="00EE7021">
      <w:pPr>
        <w:numPr>
          <w:ilvl w:val="0"/>
          <w:numId w:val="63"/>
        </w:numPr>
        <w:tabs>
          <w:tab w:val="left" w:pos="720"/>
          <w:tab w:val="left" w:pos="6912"/>
        </w:tabs>
        <w:spacing w:after="0" w:line="240" w:lineRule="auto"/>
        <w:contextualSpacing/>
        <w:jc w:val="both"/>
        <w:rPr>
          <w:rFonts w:ascii="Calibri" w:eastAsia="Times New Roman" w:hAnsi="Calibri" w:cs="Times New Roman"/>
        </w:rPr>
      </w:pPr>
      <w:r w:rsidRPr="00296495">
        <w:rPr>
          <w:rFonts w:ascii="Calibri" w:eastAsia="Times New Roman" w:hAnsi="Calibri" w:cs="Times New Roman"/>
        </w:rPr>
        <w:t>Inovacije, istraživanje, obrazovanje i konkurentnost;</w:t>
      </w:r>
    </w:p>
    <w:p w14:paraId="561B4CD1" w14:textId="77777777" w:rsidR="00296495" w:rsidRPr="00296495" w:rsidRDefault="00296495" w:rsidP="00EE7021">
      <w:pPr>
        <w:numPr>
          <w:ilvl w:val="0"/>
          <w:numId w:val="63"/>
        </w:numPr>
        <w:tabs>
          <w:tab w:val="left" w:pos="720"/>
          <w:tab w:val="left" w:pos="6912"/>
        </w:tabs>
        <w:spacing w:after="0" w:line="240" w:lineRule="auto"/>
        <w:contextualSpacing/>
        <w:jc w:val="both"/>
        <w:rPr>
          <w:rFonts w:ascii="Calibri" w:eastAsia="Times New Roman" w:hAnsi="Calibri" w:cs="Times New Roman"/>
        </w:rPr>
      </w:pPr>
      <w:r w:rsidRPr="00296495">
        <w:rPr>
          <w:rFonts w:ascii="Calibri" w:eastAsia="Times New Roman" w:hAnsi="Calibri" w:cs="Times New Roman"/>
        </w:rPr>
        <w:t>Društvena uključenost, zapošljavanje mladih i smanjenje siromaštva;</w:t>
      </w:r>
    </w:p>
    <w:p w14:paraId="705ED28D" w14:textId="77777777" w:rsidR="00296495" w:rsidRPr="00296495" w:rsidRDefault="00296495" w:rsidP="00EE7021">
      <w:pPr>
        <w:numPr>
          <w:ilvl w:val="0"/>
          <w:numId w:val="63"/>
        </w:numPr>
        <w:tabs>
          <w:tab w:val="left" w:pos="720"/>
          <w:tab w:val="left" w:pos="6912"/>
        </w:tabs>
        <w:spacing w:after="0" w:line="240" w:lineRule="auto"/>
        <w:contextualSpacing/>
        <w:jc w:val="both"/>
        <w:rPr>
          <w:rFonts w:ascii="Calibri" w:eastAsia="Times New Roman" w:hAnsi="Calibri" w:cs="Times New Roman"/>
        </w:rPr>
      </w:pPr>
      <w:r w:rsidRPr="00296495">
        <w:rPr>
          <w:rFonts w:ascii="Calibri" w:eastAsia="Times New Roman" w:hAnsi="Calibri" w:cs="Times New Roman"/>
        </w:rPr>
        <w:t>Okoliš, energija, klimatske promjene i smanjenje stakleničkih plinova;</w:t>
      </w:r>
    </w:p>
    <w:p w14:paraId="00C06942" w14:textId="77777777" w:rsidR="00296495" w:rsidRPr="00296495" w:rsidRDefault="00296495" w:rsidP="00EE7021">
      <w:pPr>
        <w:numPr>
          <w:ilvl w:val="0"/>
          <w:numId w:val="63"/>
        </w:numPr>
        <w:tabs>
          <w:tab w:val="left" w:pos="720"/>
          <w:tab w:val="left" w:pos="6912"/>
        </w:tabs>
        <w:spacing w:after="0" w:line="240" w:lineRule="auto"/>
        <w:contextualSpacing/>
        <w:jc w:val="both"/>
        <w:rPr>
          <w:rFonts w:ascii="Calibri" w:eastAsia="Times New Roman" w:hAnsi="Calibri" w:cs="Times New Roman"/>
        </w:rPr>
      </w:pPr>
      <w:r w:rsidRPr="00296495">
        <w:rPr>
          <w:rFonts w:ascii="Calibri" w:eastAsia="Times New Roman" w:hAnsi="Calibri" w:cs="Times New Roman"/>
        </w:rPr>
        <w:t>Kultura, razvoj civilnog društva, dobro upravljanje i temeljna ljudska prava;</w:t>
      </w:r>
    </w:p>
    <w:p w14:paraId="7092AA2B" w14:textId="77777777" w:rsidR="00296495" w:rsidRPr="00296495" w:rsidRDefault="00296495" w:rsidP="00EE7021">
      <w:pPr>
        <w:numPr>
          <w:ilvl w:val="0"/>
          <w:numId w:val="63"/>
        </w:numPr>
        <w:tabs>
          <w:tab w:val="left" w:pos="720"/>
          <w:tab w:val="left" w:pos="6912"/>
        </w:tabs>
        <w:spacing w:after="0" w:line="240" w:lineRule="auto"/>
        <w:contextualSpacing/>
        <w:jc w:val="both"/>
        <w:rPr>
          <w:rFonts w:ascii="Calibri" w:eastAsia="Times New Roman" w:hAnsi="Calibri" w:cs="Times New Roman"/>
        </w:rPr>
      </w:pPr>
      <w:r w:rsidRPr="00296495">
        <w:rPr>
          <w:rFonts w:ascii="Calibri" w:eastAsia="Times New Roman" w:hAnsi="Calibri" w:cs="Times New Roman"/>
        </w:rPr>
        <w:t>Pravosuđe i unutarnji poslovi.</w:t>
      </w:r>
    </w:p>
    <w:p w14:paraId="45971F5E"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p>
    <w:p w14:paraId="519B462B"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lastRenderedPageBreak/>
        <w:t>Ovim fondom su u prethodnom razdoblju financirani projekti povezani sa energetskom učinkovitošću u stambenim zgradama u Češkoj, Bugarskoj, Mađarskoj, Poljskoj, Rumunjskoj, Slovačkoj i Sloveniji.</w:t>
      </w:r>
    </w:p>
    <w:p w14:paraId="3F814287" w14:textId="404CAE56" w:rsidR="00296495" w:rsidRPr="00296495" w:rsidRDefault="00296495" w:rsidP="00EE7021">
      <w:pPr>
        <w:pStyle w:val="Heading2"/>
        <w:spacing w:after="240"/>
      </w:pPr>
      <w:bookmarkStart w:id="497" w:name="_Toc404268149"/>
      <w:bookmarkStart w:id="498" w:name="_Toc467589742"/>
      <w:bookmarkStart w:id="499" w:name="_Toc468345419"/>
      <w:r w:rsidRPr="00296495">
        <w:t>ESCO model</w:t>
      </w:r>
      <w:bookmarkEnd w:id="466"/>
      <w:bookmarkEnd w:id="497"/>
      <w:bookmarkEnd w:id="498"/>
      <w:bookmarkEnd w:id="499"/>
    </w:p>
    <w:p w14:paraId="5CE21673" w14:textId="77777777"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ESCO je skraćenica od Energy Service Company i predstavlja generičko ime koncepta na tržištu usluga na području energetike. ESCO model obuhvaća razvoj, izvedbu i financiranje projekata s ciljem poboljšanja energetske učinkovitosti i smanjenja troškova za pogon i održavanje. Cilj svakog projekta je smanjenje troška za energiju i održavanje ugradnjom nove učinkovitije opreme i optimiziranjem energetskih sustava, čime se osigurava otplata investicije kroz ostvarene uštede u razdoblju od nekoliko godina ovisno o klijentu i projektu. </w:t>
      </w:r>
    </w:p>
    <w:p w14:paraId="2EB4DD47" w14:textId="77777777"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Rizik ostvarenja ušteda u pravilu preuzima ESCO tvrtka davanjem jamstava, a pored inovativnih projekata za poboljšanje energetske učinkovitosti i smanjenja potrošnje energije često se nude i financijska rješenja za njihovu realizaciju. Tijekom otplate investicije za energetsku učinkovitost, klijent plaća jednaki iznos za troškove energije kao prije provedbe projekta koji se dijeli na stvarni (smanjeni) trošak za energiju te trošak za otplatu investicije. Nakon otplate investicije, ESCO tvrtka izlazi iz projekta i sve pogodnosti predaje klijentu. Svi projekti su posebno prilagođeni klijentu te je moguće i proširenje projekta uključenjem novih mjera energetske učinkovitosti uz odgovarajuću podjelu investicije. Na taj način klijent je u mogućnosti modernizirati opremu bez rizika ulaganja, budući da rizik ostvarenja ušteda može preuzeti ESCO tvrtka. Uz to, nakon otplate investicije klijent ostvaruje pozitivne novčane tokove u razdoblju otplate i dugoročnih ušteda.</w:t>
      </w:r>
    </w:p>
    <w:p w14:paraId="03945B7A" w14:textId="77777777"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Dodatna prednost ESCO modela predstavlja činjenica da tijekom svih faza projekta korisnik usluge surađuje samo s jednom tvrtkom po principu sve na jednom mjestu, a ne sa više različitih subjekata, čime se u velikoj mjeri smanjuju troškovi projekata energetske učinkovitosti i rizik ulaganja u njih. Također, ESCO projekt obuhvaća sve energetske sustave na određenoj lokaciji što omogućava optimalan izbor mjera s povoljnim odnosom investicija i ušteda.</w:t>
      </w:r>
    </w:p>
    <w:p w14:paraId="4C97EBEA" w14:textId="77777777"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Korisnici ESCO usluge mogu biti privatna i javna poduzeća, ustanove te jedinice lokalne i regionalne samouprave. </w:t>
      </w:r>
    </w:p>
    <w:p w14:paraId="3C0339E1"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bCs/>
        </w:rPr>
      </w:pPr>
      <w:r w:rsidRPr="00296495">
        <w:rPr>
          <w:rFonts w:ascii="Calibri" w:eastAsia="Times New Roman" w:hAnsi="Calibri" w:cs="Times New Roman"/>
        </w:rPr>
        <w:t>U Europi postoje i razne varijacije ESCO poslova, poput ugovora na energetsku učinkovitost (EPC – Energy Perfomance Contracting) i ugovorne prodaje toplinske energije (tzv. Heat Contracting). Model ugovorne prodaje topline razvijen je i primijenjen u velikoj mjeri u Austriji, Finskoj, Švedskoj i drugim EU zemljama sa značajnim iskustvima u modernom iskorištavanju biomase iz privatnih šuma, dok u Hrvatskoj trenutno ne postoji niti jedan primjer primjene. Osnovni princip ovog modela sastoji se u tome da privatni poduzetnici prodaju toplinsku energiju krajnjim potrošačima (primjerice, zgradama javne namjene).</w:t>
      </w:r>
    </w:p>
    <w:p w14:paraId="6B8C694C" w14:textId="6043CAFE" w:rsidR="00296495" w:rsidRPr="00296495" w:rsidRDefault="00296495" w:rsidP="00EE7021">
      <w:pPr>
        <w:pStyle w:val="Heading2"/>
      </w:pPr>
      <w:bookmarkStart w:id="500" w:name="_Toc467589743"/>
      <w:bookmarkStart w:id="501" w:name="_Toc468345420"/>
      <w:r w:rsidRPr="00296495">
        <w:t>Javno-privatno partnerstvo</w:t>
      </w:r>
      <w:bookmarkEnd w:id="500"/>
      <w:bookmarkEnd w:id="501"/>
    </w:p>
    <w:p w14:paraId="04B07795"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Javno privatno partnerstvo (JPP) je zajedničko, kooperativno djelovanje javnog sektora s privatnim sektorom u proizvodnji javnih proizvoda ili pružanju javnih usluga. Javni sektor se javlja kao proizvođač i ponuđač suradnje – kao partner koji ugovorno definira vrste i obim poslova ili usluga koje namjerava prenijeti na privatni sektor i koji obavljanje javnih poslova nudi privatnom sektoru. Privatni sektor se javlja kao partner koji potražuje takvu suradnju, ukoliko može ostvariti poslovni interes (profit) i koji je dužan kvalitetno izvršavati ugovorno dobivene i definirane poslove.</w:t>
      </w:r>
    </w:p>
    <w:p w14:paraId="00E8430F"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p>
    <w:p w14:paraId="69614534" w14:textId="77777777"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Cilj javno privatnog partnerstva je ekonomičnija, djelotvornija i učinkovitija  proizvodnja javnih proizvoda ili usluga u odnosu na tradicionalan način pružanja javnih usluga. JPP javlja u različitim </w:t>
      </w:r>
      <w:r w:rsidRPr="00296495">
        <w:rPr>
          <w:rFonts w:ascii="Calibri" w:eastAsia="Times New Roman" w:hAnsi="Calibri" w:cs="Times New Roman"/>
        </w:rPr>
        <w:lastRenderedPageBreak/>
        <w:t>područjima javne uprave, u različitim oblicima, s različitim rokom trajanja i s različitim intenzitetom, a najčešće u slučajevima kada javna uprava nije u mogućnosti neposredno obavljati javne poslove u vlastitoj režiji iz dva razloga:</w:t>
      </w:r>
    </w:p>
    <w:p w14:paraId="53A8C2EB" w14:textId="77777777" w:rsidR="00296495" w:rsidRPr="00296495" w:rsidRDefault="00296495" w:rsidP="00EE7021">
      <w:pPr>
        <w:numPr>
          <w:ilvl w:val="0"/>
          <w:numId w:val="64"/>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zbog nedovoljne stručnosti djelatnika javne uprave, kada su u pitanju specifično stručni poslovi (npr. medicina, nafta i sl.); </w:t>
      </w:r>
    </w:p>
    <w:p w14:paraId="231BE4AC" w14:textId="170A1B9A" w:rsidR="00296495" w:rsidRPr="00EE7021" w:rsidRDefault="00296495" w:rsidP="00EE7021">
      <w:pPr>
        <w:numPr>
          <w:ilvl w:val="0"/>
          <w:numId w:val="64"/>
        </w:num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zbog velikih troškova izvedbe javnih poslova u vlastitoj režiji (npr. nabavka građevinske mehanizacije). </w:t>
      </w:r>
    </w:p>
    <w:p w14:paraId="00204D37" w14:textId="77777777" w:rsidR="00296495" w:rsidRPr="00296495" w:rsidRDefault="00296495" w:rsidP="00296495">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Karakteristike projekata JPP su:</w:t>
      </w:r>
    </w:p>
    <w:p w14:paraId="723EE954" w14:textId="77777777" w:rsidR="00296495" w:rsidRPr="00296495" w:rsidRDefault="00296495" w:rsidP="00EE7021">
      <w:pPr>
        <w:numPr>
          <w:ilvl w:val="0"/>
          <w:numId w:val="65"/>
        </w:num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 xml:space="preserve">dugoročna ugovorna suradnja (maksimalno 40 godina) između javnog i privatnog sektora, </w:t>
      </w:r>
    </w:p>
    <w:p w14:paraId="3C7DDDD7" w14:textId="62AB53CE" w:rsidR="00296495" w:rsidRPr="00EE7021" w:rsidRDefault="00296495" w:rsidP="00EE7021">
      <w:pPr>
        <w:numPr>
          <w:ilvl w:val="0"/>
          <w:numId w:val="65"/>
        </w:num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stvarna preraspodjela poslovnog rizika izgradnje, raspoloživosti i potražnje (dva od navedena tri rizika moraju biti na privatnom partneru)</w:t>
      </w:r>
      <w:r w:rsidR="00EE7021">
        <w:rPr>
          <w:rFonts w:ascii="Calibri" w:eastAsia="Times New Roman" w:hAnsi="Calibri" w:cs="Times New Roman"/>
        </w:rPr>
        <w:t>.</w:t>
      </w:r>
    </w:p>
    <w:p w14:paraId="76D2E173" w14:textId="7BB1FA4E" w:rsidR="00296495" w:rsidRPr="00296495" w:rsidRDefault="00296495" w:rsidP="00EE7021">
      <w:pPr>
        <w:tabs>
          <w:tab w:val="left" w:pos="720"/>
          <w:tab w:val="left" w:pos="6912"/>
        </w:tabs>
        <w:spacing w:line="240" w:lineRule="auto"/>
        <w:jc w:val="both"/>
        <w:rPr>
          <w:rFonts w:ascii="Calibri" w:eastAsia="Times New Roman" w:hAnsi="Calibri" w:cs="Times New Roman"/>
        </w:rPr>
      </w:pPr>
      <w:r w:rsidRPr="00296495">
        <w:rPr>
          <w:rFonts w:ascii="Calibri" w:eastAsia="Times New Roman" w:hAnsi="Calibri" w:cs="Times New Roman"/>
        </w:rPr>
        <w:t xml:space="preserve">Europska unija donijela je Zelenu knjigu o javno-privatnom partnerstvu Europske unije o javnim ugovorima i koncesijama. U tom se dokumentu analizira pojava JPP-a, i to ponajprije radi njihove klasifikacije, kako bi se utvrdilo koji oblici takvog povezivanja spadaju pod propise EU o javnim nabavama, a koji se mogu ugovarati na drugi način. Područje javno-privatnog partnerstva u Republici Hrvatskoj regulirano je Zakonom o JPP-u (NN 78/12 i NN 152/2014) i Uredbom o provedbi projekata javno-privatnog partnerstva (NN 88/12 i 15/15), Zakonom o koncesijama (NN 143/12) te Zakonom o javnoj nabavi (NN 90/11, 83/13 i 143/13) vezano na postupke dodjele ugovora o javnoj </w:t>
      </w:r>
      <w:r w:rsidR="00EE7021">
        <w:rPr>
          <w:rFonts w:ascii="Calibri" w:eastAsia="Times New Roman" w:hAnsi="Calibri" w:cs="Times New Roman"/>
        </w:rPr>
        <w:t>nabavi i ugovora o koncesijama.</w:t>
      </w:r>
    </w:p>
    <w:p w14:paraId="5E002C72" w14:textId="252D150A" w:rsidR="00F15E98" w:rsidRPr="00EE7021" w:rsidRDefault="00296495" w:rsidP="00EE7021">
      <w:pPr>
        <w:tabs>
          <w:tab w:val="left" w:pos="720"/>
          <w:tab w:val="left" w:pos="6912"/>
        </w:tabs>
        <w:spacing w:after="0" w:line="240" w:lineRule="auto"/>
        <w:jc w:val="both"/>
        <w:rPr>
          <w:rFonts w:ascii="Calibri" w:eastAsia="Times New Roman" w:hAnsi="Calibri" w:cs="Times New Roman"/>
        </w:rPr>
      </w:pPr>
      <w:r w:rsidRPr="00296495">
        <w:rPr>
          <w:rFonts w:ascii="Calibri" w:eastAsia="Times New Roman" w:hAnsi="Calibri" w:cs="Times New Roman"/>
        </w:rPr>
        <w:t>Prednost financiranja projekata putem javno-privatnog partnerstva je u činjenici da se takva investicija ne promatra kao povećanje javnog duga. Ključan uvjet nalazi se u klasifikaciji imovine koja se razmatra uz ugovor o partnerstvu. Imovina iz ugovora ne smatra se imovinom grada samo ako postoji čvrst dokaz da privatni partner snosi većinu rizika vezanog uz partnerstvo. U uvjetima prezaduženosti jedinica lokalne i regionalne samouprave te manjka javnih (bespovratnih) sredstava javno-privatno partnerstvo predstavlja model kojim je moguće pokrenuti značajno veći obujam projeka</w:t>
      </w:r>
      <w:r w:rsidR="00EE7021">
        <w:rPr>
          <w:rFonts w:ascii="Calibri" w:eastAsia="Times New Roman" w:hAnsi="Calibri" w:cs="Times New Roman"/>
        </w:rPr>
        <w:t>ta u sektoru energetske obnove.</w:t>
      </w:r>
      <w:r w:rsidR="00F15E98" w:rsidRPr="007C7920">
        <w:rPr>
          <w:rFonts w:eastAsia="Times New Roman"/>
          <w:b/>
          <w:highlight w:val="yellow"/>
        </w:rPr>
        <w:br w:type="page"/>
      </w:r>
    </w:p>
    <w:p w14:paraId="077D8AAA" w14:textId="7CC49802" w:rsidR="004160FA" w:rsidRPr="00833E83" w:rsidRDefault="004160FA" w:rsidP="00E92750">
      <w:pPr>
        <w:pStyle w:val="Heading1"/>
        <w:spacing w:before="240" w:after="240" w:line="240" w:lineRule="auto"/>
        <w:ind w:left="431" w:hanging="431"/>
        <w:jc w:val="both"/>
        <w:rPr>
          <w:rFonts w:eastAsia="Times New Roman"/>
          <w:b/>
        </w:rPr>
      </w:pPr>
      <w:bookmarkStart w:id="502" w:name="_Toc468345421"/>
      <w:r w:rsidRPr="00833E83">
        <w:rPr>
          <w:rFonts w:eastAsia="Times New Roman"/>
          <w:b/>
        </w:rPr>
        <w:lastRenderedPageBreak/>
        <w:t>ZAKONODAVNI OKVIR</w:t>
      </w:r>
      <w:bookmarkEnd w:id="502"/>
    </w:p>
    <w:p w14:paraId="763D4989" w14:textId="77777777" w:rsidR="00CD596A" w:rsidRPr="00833E83" w:rsidRDefault="00CD596A" w:rsidP="00E92750">
      <w:pPr>
        <w:pStyle w:val="Heading2"/>
        <w:spacing w:after="240"/>
        <w:rPr>
          <w:rFonts w:eastAsia="Calibri"/>
        </w:rPr>
      </w:pPr>
      <w:bookmarkStart w:id="503" w:name="_Toc438558875"/>
      <w:bookmarkStart w:id="504" w:name="_Toc468345422"/>
      <w:r w:rsidRPr="00833E83">
        <w:rPr>
          <w:rFonts w:eastAsia="Calibri"/>
        </w:rPr>
        <w:t>Metodologija</w:t>
      </w:r>
      <w:bookmarkEnd w:id="503"/>
      <w:bookmarkEnd w:id="504"/>
    </w:p>
    <w:p w14:paraId="283B0C4D" w14:textId="7369D242"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U ovom poglavlju dan je sažeti preg</w:t>
      </w:r>
      <w:r w:rsidR="001028A4" w:rsidRPr="00833E83">
        <w:rPr>
          <w:rFonts w:ascii="Calibri" w:eastAsia="Calibri" w:hAnsi="Calibri" w:cs="Times New Roman"/>
        </w:rPr>
        <w:t>led najrelevantnijih dokumenata</w:t>
      </w:r>
      <w:r w:rsidRPr="00833E83">
        <w:rPr>
          <w:rFonts w:ascii="Calibri" w:eastAsia="Calibri" w:hAnsi="Calibri" w:cs="Times New Roman"/>
        </w:rPr>
        <w:t xml:space="preserve"> na</w:t>
      </w:r>
      <w:r w:rsidR="001028A4" w:rsidRPr="00833E83">
        <w:rPr>
          <w:rFonts w:ascii="Calibri" w:eastAsia="Calibri" w:hAnsi="Calibri" w:cs="Times New Roman"/>
        </w:rPr>
        <w:t xml:space="preserve"> europskoj i nacionalnoj razini</w:t>
      </w:r>
      <w:r w:rsidRPr="00833E83">
        <w:rPr>
          <w:rFonts w:ascii="Calibri" w:eastAsia="Calibri" w:hAnsi="Calibri" w:cs="Times New Roman"/>
        </w:rPr>
        <w:t xml:space="preserve"> koji su vezani uz područje energetske učinkovitosti i obnovljivih izvora energije te strateških ciljeva kojima se nastoji postići racionalizacija potrošnje energije i smanjiti negativan utjecaj na okoliš.</w:t>
      </w:r>
    </w:p>
    <w:p w14:paraId="7C539F70" w14:textId="77777777" w:rsidR="00CD596A" w:rsidRPr="00833E83" w:rsidRDefault="00CD596A" w:rsidP="00E92750">
      <w:pPr>
        <w:pStyle w:val="Heading2"/>
        <w:spacing w:after="240"/>
        <w:rPr>
          <w:rFonts w:eastAsia="Calibri"/>
        </w:rPr>
      </w:pPr>
      <w:bookmarkStart w:id="505" w:name="_Toc438558876"/>
      <w:bookmarkStart w:id="506" w:name="_Toc468345423"/>
      <w:r w:rsidRPr="00833E83">
        <w:rPr>
          <w:rFonts w:eastAsia="Calibri"/>
        </w:rPr>
        <w:t>Relevantna regulativa i dokumenti Europske unije</w:t>
      </w:r>
      <w:bookmarkEnd w:id="505"/>
      <w:bookmarkEnd w:id="506"/>
    </w:p>
    <w:p w14:paraId="2F18981B" w14:textId="306E5997"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 xml:space="preserve">Zemlje EU, su se početkom </w:t>
      </w:r>
      <w:r w:rsidR="000F64C5" w:rsidRPr="00833E83">
        <w:rPr>
          <w:rFonts w:ascii="Calibri" w:eastAsia="Calibri" w:hAnsi="Calibri" w:cs="Times New Roman"/>
        </w:rPr>
        <w:t>2015</w:t>
      </w:r>
      <w:r w:rsidRPr="00833E83">
        <w:rPr>
          <w:rFonts w:ascii="Calibri" w:eastAsia="Calibri" w:hAnsi="Calibri" w:cs="Times New Roman"/>
        </w:rPr>
        <w:t>. godine, usuglasile oko nove Strategije 2030. (</w:t>
      </w:r>
      <w:r w:rsidRPr="00B343A3">
        <w:rPr>
          <w:rFonts w:ascii="Calibri" w:eastAsia="Calibri" w:hAnsi="Calibri" w:cs="Times New Roman"/>
          <w:i/>
        </w:rPr>
        <w:t>European Commision- A policy framework for climate and energy in the period from 2020 to 2030</w:t>
      </w:r>
      <w:r w:rsidRPr="00833E83">
        <w:rPr>
          <w:rFonts w:ascii="Calibri" w:eastAsia="Calibri" w:hAnsi="Calibri" w:cs="Times New Roman"/>
        </w:rPr>
        <w:t xml:space="preserve">, siječanj </w:t>
      </w:r>
      <w:r w:rsidR="000F64C5" w:rsidRPr="00833E83">
        <w:rPr>
          <w:rFonts w:ascii="Calibri" w:eastAsia="Calibri" w:hAnsi="Calibri" w:cs="Times New Roman"/>
        </w:rPr>
        <w:t>2015</w:t>
      </w:r>
      <w:r w:rsidRPr="00833E83">
        <w:rPr>
          <w:rFonts w:ascii="Calibri" w:eastAsia="Calibri" w:hAnsi="Calibri" w:cs="Times New Roman"/>
        </w:rPr>
        <w:t>.) kojom se definiraju ciljevi energetske politike za razdoblje između 2020. i 2030. godine. Ističe se usmjerenost na povećanje konkurentnosti EU te siguran i održiv energetski sustav kako bi se zadovoljili dugoročni ciljevi smanjenja stakleničkih plinova do 2050. godine.</w:t>
      </w:r>
    </w:p>
    <w:p w14:paraId="5D900691" w14:textId="77777777" w:rsidR="00CD596A" w:rsidRPr="00833E83" w:rsidRDefault="00CD596A" w:rsidP="00E92750">
      <w:pPr>
        <w:pStyle w:val="NoSpacing"/>
      </w:pPr>
      <w:r w:rsidRPr="00833E83">
        <w:t>Sukladno Strategiji, ciljevi do 2030. godine uključuju sljedeće:</w:t>
      </w:r>
    </w:p>
    <w:p w14:paraId="7958E2CE" w14:textId="77777777" w:rsidR="00CD596A" w:rsidRPr="00833E83" w:rsidRDefault="00CD596A" w:rsidP="00E92750">
      <w:pPr>
        <w:pStyle w:val="NoSpacing"/>
        <w:numPr>
          <w:ilvl w:val="0"/>
          <w:numId w:val="4"/>
        </w:numPr>
      </w:pPr>
      <w:r w:rsidRPr="00833E83">
        <w:t>40% smanjenja emisija stakleničkih plinova u odnosu na razine iz 1990. godine;</w:t>
      </w:r>
    </w:p>
    <w:p w14:paraId="6201FBE2" w14:textId="77777777" w:rsidR="00CD596A" w:rsidRPr="00833E83" w:rsidRDefault="00CD596A" w:rsidP="00E92750">
      <w:pPr>
        <w:pStyle w:val="NoSpacing"/>
        <w:numPr>
          <w:ilvl w:val="0"/>
          <w:numId w:val="4"/>
        </w:numPr>
      </w:pPr>
      <w:r w:rsidRPr="00833E83">
        <w:t>Udio potrošnje energije iz obnovljivih izvora od 27%;</w:t>
      </w:r>
    </w:p>
    <w:p w14:paraId="01290178" w14:textId="77777777" w:rsidR="00CD596A" w:rsidRPr="00833E83" w:rsidRDefault="00CD596A" w:rsidP="00E92750">
      <w:pPr>
        <w:pStyle w:val="NoSpacing"/>
        <w:numPr>
          <w:ilvl w:val="0"/>
          <w:numId w:val="4"/>
        </w:numPr>
        <w:spacing w:after="240"/>
      </w:pPr>
      <w:r w:rsidRPr="00833E83">
        <w:t xml:space="preserve">27% ušteda energije u usporedbi sa uobičajenom potrošnjom. </w:t>
      </w:r>
    </w:p>
    <w:p w14:paraId="1D2A0F72" w14:textId="77777777"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Obzirom da svi pokazatelji do 2020. godine upućuju na to da europski i nacionalni ciljevi, iako mogu potaknuti snažno djelovanje država članica i rast industrija u usponu, ne pridonose uvijek tržišnoj integraciji, ekonomičnosti i nenarušenom tržišnom natjecanju, kao glavni čimbenik uspjeha se navodi smanjenje emisije stakleničkih plinova prijelazom na niskougljično gospodarstvo čime bi se automatski potaknulo povećanje udjela obnovljivih izvora energije i ostvarile znatne energetske uštede u na čitavom području Europske unije.</w:t>
      </w:r>
    </w:p>
    <w:p w14:paraId="719F3A64" w14:textId="77777777" w:rsidR="00CD596A" w:rsidRPr="00833E83" w:rsidRDefault="00CD596A" w:rsidP="00E92750">
      <w:pPr>
        <w:pStyle w:val="NoSpacing"/>
        <w:spacing w:after="240"/>
      </w:pPr>
      <w:r w:rsidRPr="00833E83">
        <w:t>U travnju 2013. godine, Europska komisija je usvojila EU strategiju za borbu protiv klimatskih promjena (</w:t>
      </w:r>
      <w:r w:rsidRPr="00212A90">
        <w:rPr>
          <w:i/>
        </w:rPr>
        <w:t>European Commission - EU strategy on adaptation to climate change</w:t>
      </w:r>
      <w:r w:rsidRPr="00833E83">
        <w:t xml:space="preserve">, travanj 2013.). </w:t>
      </w:r>
    </w:p>
    <w:p w14:paraId="048FF998" w14:textId="1B6F42D6" w:rsidR="00CD596A" w:rsidRPr="00833E83" w:rsidRDefault="00CD596A" w:rsidP="00E92750">
      <w:pPr>
        <w:pStyle w:val="NoSpacing"/>
      </w:pPr>
      <w:r w:rsidRPr="00833E83">
        <w:t>Strategija postavlja okvir za jačanje europske otpornosti na utjec</w:t>
      </w:r>
      <w:r w:rsidR="00366E54" w:rsidRPr="00833E83">
        <w:t>aje klimatskih promjena</w:t>
      </w:r>
      <w:r w:rsidR="00212A90">
        <w:t>,</w:t>
      </w:r>
      <w:r w:rsidR="00366E54" w:rsidRPr="00833E83">
        <w:t xml:space="preserve"> a bazir</w:t>
      </w:r>
      <w:r w:rsidRPr="00833E83">
        <w:t>an je na tri ključna cilja:</w:t>
      </w:r>
    </w:p>
    <w:p w14:paraId="2266DD44" w14:textId="77777777" w:rsidR="00CD596A" w:rsidRPr="00833E83" w:rsidRDefault="00CD596A" w:rsidP="00E92750">
      <w:pPr>
        <w:pStyle w:val="NoSpacing"/>
        <w:numPr>
          <w:ilvl w:val="0"/>
          <w:numId w:val="5"/>
        </w:numPr>
      </w:pPr>
      <w:r w:rsidRPr="00833E83">
        <w:t>Poticanje djelovanja država članica (prihvaćanje strategija borbe protiv klimatskih promjena, osiguravanje potrebnih sredstava za provedbu aktivnosti, potpisivanje Sporazuma gradonačelnika);</w:t>
      </w:r>
    </w:p>
    <w:p w14:paraId="5F433126" w14:textId="77777777" w:rsidR="00CD596A" w:rsidRPr="00833E83" w:rsidRDefault="00CD596A" w:rsidP="00E92750">
      <w:pPr>
        <w:pStyle w:val="NoSpacing"/>
        <w:numPr>
          <w:ilvl w:val="0"/>
          <w:numId w:val="5"/>
        </w:numPr>
      </w:pPr>
      <w:r w:rsidRPr="00833E83">
        <w:t xml:space="preserve">Podizanje razine znanja donositelja odluka; </w:t>
      </w:r>
    </w:p>
    <w:p w14:paraId="2FC16888" w14:textId="77777777" w:rsidR="00CD596A" w:rsidRPr="00833E83" w:rsidRDefault="00CD596A" w:rsidP="00E92750">
      <w:pPr>
        <w:pStyle w:val="NoSpacing"/>
        <w:numPr>
          <w:ilvl w:val="0"/>
          <w:numId w:val="5"/>
        </w:numPr>
        <w:spacing w:after="240"/>
      </w:pPr>
      <w:r w:rsidRPr="00833E83">
        <w:t>Akcije i inicijative na europskoj razini (usmjeravanje na „osjetljive“ sektore kao što su poljoprivreda, ribarstvo te jačanje infrastrukture u borbi protiv prirodnih nepogoda i klimatskih promjena).</w:t>
      </w:r>
    </w:p>
    <w:p w14:paraId="29D3E833" w14:textId="77777777"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Početkom 2015. godine, Europska komisija je usvojila i Okvirnu strategiju za otpornu energetsku uniju s naprednom klimatskom politikom (</w:t>
      </w:r>
      <w:r w:rsidRPr="00212A90">
        <w:rPr>
          <w:rFonts w:ascii="Calibri" w:eastAsia="Calibri" w:hAnsi="Calibri" w:cs="Times New Roman"/>
          <w:i/>
        </w:rPr>
        <w:t>European Commision - A Framework Strategy for a Resilient Energy Union with a Forward-Looking Climate Change Policy</w:t>
      </w:r>
      <w:r w:rsidRPr="00833E83">
        <w:rPr>
          <w:rFonts w:ascii="Calibri" w:eastAsia="Calibri" w:hAnsi="Calibri" w:cs="Times New Roman"/>
        </w:rPr>
        <w:t xml:space="preserve">, veljača 2015.). Cilj Energetske unije je kroz ambicioznu klimatsku politiku pružiti potrošačima u EU, kućanstvima i poduzećima, sigurnu, održivu, konkurentnu i povoljnu energiju. Za postizanje tog cilja potrebna je temeljita transformacija energetskog sustava u Europi. </w:t>
      </w:r>
    </w:p>
    <w:p w14:paraId="417FA83F" w14:textId="6FC30B5D"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 xml:space="preserve">Vizija Energetske unije je usmjerena na neovisnost država članica jedne o drugoj za opskrbu građana sigurnom energijom, integrirani energetski sustav na cijelom kontinentu u kojem energija slobodno </w:t>
      </w:r>
      <w:r w:rsidRPr="00833E83">
        <w:rPr>
          <w:rFonts w:ascii="Calibri" w:eastAsia="Calibri" w:hAnsi="Calibri" w:cs="Times New Roman"/>
        </w:rPr>
        <w:lastRenderedPageBreak/>
        <w:t>prelazi granice, klimatski prihvatljivo gospodarstvo s niskim emisijama ugljika koje je osmišljeno da traje, snažne, inovativne i konkurentne europske tvrtke koje razvijaju industrijske proizvode i tehnologiju potrebnu za pružanje energetske učinkovitosti i tehnologija s niskom emisijom ugljika unutar i izvan Europe, europsku radnu snagu s vještinama za izgradnju i upravljanje energetskim sustavom budućnosti. Glavna odrednica Energetske unije je postavljanje građana u središte interesa – građani preuzimaju odgovornost za energetsku tranziciju, koriste nove tehnologije za štednju energije i smanjivanje energetskih troškova te aktivno sudjeluju na integriranom tržištu na kojem su osjetlji</w:t>
      </w:r>
      <w:r w:rsidR="005B71DA" w:rsidRPr="00833E83">
        <w:rPr>
          <w:rFonts w:ascii="Calibri" w:eastAsia="Calibri" w:hAnsi="Calibri" w:cs="Times New Roman"/>
        </w:rPr>
        <w:t>ve skupine potrošača zaštićene.</w:t>
      </w:r>
    </w:p>
    <w:p w14:paraId="596649CF" w14:textId="77777777" w:rsidR="00CD596A" w:rsidRPr="00833E83" w:rsidRDefault="00CD596A" w:rsidP="00E92750">
      <w:pPr>
        <w:pStyle w:val="NoSpacing"/>
      </w:pPr>
      <w:r w:rsidRPr="00833E83">
        <w:t>Kronološki slijed donošenja glavnih legislativnih dokumenata koji reguliraju razvitak energetskog sektora na razini Europske unije je slijedeći:</w:t>
      </w:r>
    </w:p>
    <w:p w14:paraId="442A6AA2" w14:textId="77777777" w:rsidR="00CD596A" w:rsidRPr="00833E83" w:rsidRDefault="00CD596A" w:rsidP="00E92750">
      <w:pPr>
        <w:pStyle w:val="NoSpacing"/>
        <w:numPr>
          <w:ilvl w:val="0"/>
          <w:numId w:val="6"/>
        </w:numPr>
      </w:pPr>
      <w:r w:rsidRPr="00833E83">
        <w:t>Bijela knjiga o energetskoj politici (</w:t>
      </w:r>
      <w:r w:rsidRPr="00212A90">
        <w:rPr>
          <w:i/>
        </w:rPr>
        <w:t>White Paper on an Energy Policy for the European Union, January 1996</w:t>
      </w:r>
      <w:r w:rsidRPr="00833E83">
        <w:t>), siječanj 1996.;</w:t>
      </w:r>
    </w:p>
    <w:p w14:paraId="2A4999ED" w14:textId="77777777" w:rsidR="00CD596A" w:rsidRPr="00833E83" w:rsidRDefault="00CD596A" w:rsidP="00E92750">
      <w:pPr>
        <w:pStyle w:val="NoSpacing"/>
        <w:numPr>
          <w:ilvl w:val="0"/>
          <w:numId w:val="6"/>
        </w:numPr>
      </w:pPr>
      <w:r w:rsidRPr="00833E83">
        <w:t>Bijela knjiga o obnovljivim izvorima energije (</w:t>
      </w:r>
      <w:r w:rsidRPr="00212A90">
        <w:rPr>
          <w:i/>
        </w:rPr>
        <w:t>Energy for the Future: Renewable Sources of Energy, White Paper for a Community Strategy and Action, November 1997</w:t>
      </w:r>
      <w:r w:rsidRPr="00833E83">
        <w:t>), studeni 1997.;</w:t>
      </w:r>
    </w:p>
    <w:p w14:paraId="64A2E11A" w14:textId="77777777" w:rsidR="00CD596A" w:rsidRPr="00833E83" w:rsidRDefault="00CD596A" w:rsidP="00E92750">
      <w:pPr>
        <w:pStyle w:val="NoSpacing"/>
        <w:numPr>
          <w:ilvl w:val="0"/>
          <w:numId w:val="6"/>
        </w:numPr>
      </w:pPr>
      <w:r w:rsidRPr="00833E83">
        <w:t>Zelena knjiga Prema Europskoj strategiji za sigurnost energetske opskrbe (</w:t>
      </w:r>
      <w:r w:rsidRPr="00212A90">
        <w:rPr>
          <w:i/>
        </w:rPr>
        <w:t>Green Paper „Towards a European Strategy for the Security of Energy Supply“, November 2000</w:t>
      </w:r>
      <w:r w:rsidRPr="00833E83">
        <w:t>), studeni 2000.;</w:t>
      </w:r>
    </w:p>
    <w:p w14:paraId="57A291A3" w14:textId="77777777" w:rsidR="00CD596A" w:rsidRPr="00833E83" w:rsidRDefault="00CD596A" w:rsidP="00E92750">
      <w:pPr>
        <w:pStyle w:val="NoSpacing"/>
        <w:numPr>
          <w:ilvl w:val="0"/>
          <w:numId w:val="6"/>
        </w:numPr>
      </w:pPr>
      <w:r w:rsidRPr="00833E83">
        <w:t>Zelena knjiga o energetskoj učinkovitosti ili kako učiniti više s manje (</w:t>
      </w:r>
      <w:r w:rsidRPr="00212A90">
        <w:rPr>
          <w:i/>
        </w:rPr>
        <w:t>Green Paper on Energy Efficiency or Doing More with Less, June 2005</w:t>
      </w:r>
      <w:r w:rsidRPr="00833E83">
        <w:t>), lipanj 2005.;</w:t>
      </w:r>
    </w:p>
    <w:p w14:paraId="12BA0956" w14:textId="77777777" w:rsidR="00CD596A" w:rsidRPr="00833E83" w:rsidRDefault="00CD596A" w:rsidP="00E92750">
      <w:pPr>
        <w:pStyle w:val="NoSpacing"/>
        <w:numPr>
          <w:ilvl w:val="0"/>
          <w:numId w:val="6"/>
        </w:numPr>
      </w:pPr>
      <w:r w:rsidRPr="00833E83">
        <w:t>Zelena knjiga o europskoj strategiji za održivu, konkurentnu i sigurnu opskrbu energijom (</w:t>
      </w:r>
      <w:r w:rsidRPr="00212A90">
        <w:rPr>
          <w:i/>
        </w:rPr>
        <w:t>Green Paper on an European Strategy for Sustainable, Competitive and Secure Energy Supply, March 2006</w:t>
      </w:r>
      <w:r w:rsidRPr="00833E83">
        <w:t>), ožujak 2006.;</w:t>
      </w:r>
    </w:p>
    <w:p w14:paraId="0604EA08" w14:textId="77777777" w:rsidR="00CD596A" w:rsidRPr="00833E83" w:rsidRDefault="00CD596A" w:rsidP="00E92750">
      <w:pPr>
        <w:pStyle w:val="NoSpacing"/>
        <w:numPr>
          <w:ilvl w:val="0"/>
          <w:numId w:val="6"/>
        </w:numPr>
      </w:pPr>
      <w:r w:rsidRPr="00833E83">
        <w:t>Akcijski plan o energetskoj učinkovitosti: Ostvariti potencijal - Uštedjeti 20% do 2020. godine (</w:t>
      </w:r>
      <w:r w:rsidRPr="00212A90">
        <w:rPr>
          <w:i/>
        </w:rPr>
        <w:t>Action plan for Energy Efficiency: Realising the potential - Saving 20% by 2020, October 2006</w:t>
      </w:r>
      <w:r w:rsidRPr="00833E83">
        <w:t>), listopad 2006.;</w:t>
      </w:r>
    </w:p>
    <w:p w14:paraId="0592FAD1" w14:textId="77777777" w:rsidR="00CD596A" w:rsidRPr="00833E83" w:rsidRDefault="00CD596A" w:rsidP="00E92750">
      <w:pPr>
        <w:pStyle w:val="NoSpacing"/>
        <w:numPr>
          <w:ilvl w:val="0"/>
          <w:numId w:val="6"/>
        </w:numPr>
      </w:pPr>
      <w:r w:rsidRPr="00833E83">
        <w:t>Zelena knjiga o sigurnoj, održivoj i konkurentnoj europskoj energetskoj mreži (</w:t>
      </w:r>
      <w:r w:rsidRPr="00212A90">
        <w:rPr>
          <w:i/>
        </w:rPr>
        <w:t>Green Paper - Towards a secure, sustainable and competitive European energy network</w:t>
      </w:r>
      <w:r w:rsidRPr="00833E83">
        <w:t>), studeni 2008.;</w:t>
      </w:r>
    </w:p>
    <w:p w14:paraId="72ACE975" w14:textId="77777777" w:rsidR="00CD596A" w:rsidRPr="00833E83" w:rsidRDefault="00CD596A" w:rsidP="00E92750">
      <w:pPr>
        <w:pStyle w:val="NoSpacing"/>
        <w:numPr>
          <w:ilvl w:val="0"/>
          <w:numId w:val="6"/>
        </w:numPr>
        <w:spacing w:after="240"/>
      </w:pPr>
      <w:r w:rsidRPr="00833E83">
        <w:t>Zelena knjiga - Strategija do 2030. godine za razvoj klimatskih i energetskih politika (</w:t>
      </w:r>
      <w:r w:rsidRPr="00212A90">
        <w:rPr>
          <w:i/>
        </w:rPr>
        <w:t>Green Paper - A 2030 framework for climate and energy policies</w:t>
      </w:r>
      <w:r w:rsidRPr="00833E83">
        <w:t>), ožujak 2013.</w:t>
      </w:r>
    </w:p>
    <w:p w14:paraId="6E851CEB" w14:textId="77777777" w:rsidR="00CD596A" w:rsidRPr="00833E83" w:rsidRDefault="00CD596A" w:rsidP="00E92750">
      <w:pPr>
        <w:pStyle w:val="NoSpacing"/>
      </w:pPr>
      <w:r w:rsidRPr="00833E83">
        <w:t>Bazirane na odrednicama glavnih legislativnih dokumenata EU, sljedeće direktive reguliraju područje korištenja obnovljivih izvora energije:</w:t>
      </w:r>
    </w:p>
    <w:p w14:paraId="03B36779" w14:textId="77777777" w:rsidR="00CD596A" w:rsidRPr="00833E83" w:rsidRDefault="00CD596A" w:rsidP="00E92750">
      <w:pPr>
        <w:pStyle w:val="NoSpacing"/>
        <w:numPr>
          <w:ilvl w:val="0"/>
          <w:numId w:val="7"/>
        </w:numPr>
      </w:pPr>
      <w:r w:rsidRPr="00833E83">
        <w:t>Direktiva o izmjeni Direktive 98/70/EZ o kakvoći benzinskih i dizelskih goriva i izmjeni Direktive 2009/28/EZ o promicanju uporabe energije iz obnovljivih izvora (Directive 2015/1513 amending Directive 98/70/EC relating to the quality of petrol and diesel fuels and amending Directive 2009/28/EC on the promotion of the use of energy from renewable source), rujan 2015.;</w:t>
      </w:r>
    </w:p>
    <w:p w14:paraId="1495496D" w14:textId="3C5A9D3B" w:rsidR="00CD596A" w:rsidRPr="00833E83" w:rsidRDefault="00CD596A" w:rsidP="00E92750">
      <w:pPr>
        <w:pStyle w:val="NoSpacing"/>
        <w:numPr>
          <w:ilvl w:val="0"/>
          <w:numId w:val="7"/>
        </w:numPr>
      </w:pPr>
      <w:r w:rsidRPr="00833E83">
        <w:t>Direktiva o uspostavi infrastrukture za alternativna goriva (</w:t>
      </w:r>
      <w:r w:rsidRPr="00212A90">
        <w:rPr>
          <w:i/>
        </w:rPr>
        <w:t xml:space="preserve">Directive </w:t>
      </w:r>
      <w:r w:rsidR="000F64C5" w:rsidRPr="00212A90">
        <w:rPr>
          <w:i/>
        </w:rPr>
        <w:t>2015</w:t>
      </w:r>
      <w:r w:rsidRPr="00212A90">
        <w:rPr>
          <w:i/>
        </w:rPr>
        <w:t>/94/EU on the deployment of alternative fuels infrastructure</w:t>
      </w:r>
      <w:r w:rsidRPr="00833E83">
        <w:t xml:space="preserve">), listopad </w:t>
      </w:r>
      <w:r w:rsidR="000F64C5" w:rsidRPr="00833E83">
        <w:t>2015</w:t>
      </w:r>
      <w:r w:rsidRPr="00833E83">
        <w:t>.;</w:t>
      </w:r>
    </w:p>
    <w:p w14:paraId="3E2EA47A" w14:textId="77777777" w:rsidR="00CD596A" w:rsidRPr="00833E83" w:rsidRDefault="00CD596A" w:rsidP="00E92750">
      <w:pPr>
        <w:pStyle w:val="NoSpacing"/>
        <w:numPr>
          <w:ilvl w:val="0"/>
          <w:numId w:val="7"/>
        </w:numPr>
      </w:pPr>
      <w:r w:rsidRPr="00833E83">
        <w:t>Direktiva o o promicanju čistih i energetski učinkovitih vozila u cestovnom prijevozu (</w:t>
      </w:r>
      <w:r w:rsidRPr="00212A90">
        <w:rPr>
          <w:i/>
        </w:rPr>
        <w:t>Directive 2009/33/EC on the promotion of clean and energy-efficient road transport vehicles</w:t>
      </w:r>
      <w:r w:rsidRPr="00833E83">
        <w:t>), travanj, 2009.;</w:t>
      </w:r>
    </w:p>
    <w:p w14:paraId="1E68B9E8" w14:textId="77777777" w:rsidR="00CD596A" w:rsidRPr="00833E83" w:rsidRDefault="00CD596A" w:rsidP="00E92750">
      <w:pPr>
        <w:pStyle w:val="NoSpacing"/>
        <w:numPr>
          <w:ilvl w:val="0"/>
          <w:numId w:val="7"/>
        </w:numPr>
      </w:pPr>
      <w:r w:rsidRPr="00833E83">
        <w:t>Direktiva o promociji korištenja biogoriva u prometu (</w:t>
      </w:r>
      <w:r w:rsidRPr="00212A90">
        <w:rPr>
          <w:i/>
        </w:rPr>
        <w:t>Directive 2003/30/EC on Promotion of the Use of Biofuels for Transport, May 2003</w:t>
      </w:r>
      <w:r w:rsidRPr="00833E83">
        <w:t>), svibanj 2003.</w:t>
      </w:r>
    </w:p>
    <w:p w14:paraId="32B0CE1A" w14:textId="77777777" w:rsidR="00CD596A" w:rsidRPr="00833E83" w:rsidRDefault="00CD596A" w:rsidP="00E92750">
      <w:pPr>
        <w:pStyle w:val="NoSpacing"/>
        <w:numPr>
          <w:ilvl w:val="0"/>
          <w:numId w:val="7"/>
        </w:numPr>
        <w:spacing w:after="240"/>
      </w:pPr>
      <w:r w:rsidRPr="00833E83">
        <w:t>Direktiva o promociji korištenja obnovljivih izvora energije, koja dopunjuje i naknadno ukida Direktive 2001/77/EC i 2003/30/EC (</w:t>
      </w:r>
      <w:r w:rsidRPr="00212A90">
        <w:rPr>
          <w:i/>
        </w:rPr>
        <w:t xml:space="preserve">Directive 2009/28/EC on the promotion of the use of </w:t>
      </w:r>
      <w:r w:rsidRPr="00212A90">
        <w:rPr>
          <w:i/>
        </w:rPr>
        <w:lastRenderedPageBreak/>
        <w:t>energy from renewable sources and amending and subsequently repealing Directives 2001/77/EC and 2003/30/EC</w:t>
      </w:r>
      <w:r w:rsidRPr="00833E83">
        <w:t>), 23. travanj 2009.</w:t>
      </w:r>
    </w:p>
    <w:p w14:paraId="4FE4B629" w14:textId="77777777" w:rsidR="004A27A8" w:rsidRPr="00833E83" w:rsidRDefault="004A27A8" w:rsidP="00E92750">
      <w:pPr>
        <w:pStyle w:val="NoSpacing"/>
      </w:pPr>
      <w:r w:rsidRPr="00833E83">
        <w:t>Direktive Europske unije koje direktno ili indirektno reguliraju područje energetske učinkovitosti su:</w:t>
      </w:r>
    </w:p>
    <w:p w14:paraId="142D213B" w14:textId="77777777" w:rsidR="004A27A8" w:rsidRPr="00833E83" w:rsidRDefault="004A27A8" w:rsidP="00E92750">
      <w:pPr>
        <w:pStyle w:val="NoSpacing"/>
        <w:numPr>
          <w:ilvl w:val="0"/>
          <w:numId w:val="8"/>
        </w:numPr>
      </w:pPr>
      <w:r w:rsidRPr="00833E83">
        <w:t>Direktiva o energetskoj učinkovitosti, izmjeni direktiva 2009/125/EZ i 2010/30/EU i stavljanju izvan snage direktiva 2004/8/EZ i 2006/32/EZ (</w:t>
      </w:r>
      <w:r w:rsidRPr="008A261E">
        <w:rPr>
          <w:i/>
        </w:rPr>
        <w:t>Directive 2012/27/EU on energy efficiency, amending Directives 2009/125/EC and 2010/30/EU and repealing Directives 2004/8/EC and 2006/32/EC</w:t>
      </w:r>
      <w:r w:rsidRPr="00833E83">
        <w:t xml:space="preserve">), listopad 2012.; </w:t>
      </w:r>
    </w:p>
    <w:p w14:paraId="2260A236" w14:textId="77777777" w:rsidR="004A27A8" w:rsidRPr="00833E83" w:rsidRDefault="004A27A8" w:rsidP="00E92750">
      <w:pPr>
        <w:pStyle w:val="NoSpacing"/>
        <w:numPr>
          <w:ilvl w:val="0"/>
          <w:numId w:val="8"/>
        </w:numPr>
      </w:pPr>
      <w:r w:rsidRPr="00833E83">
        <w:t>Direktiva o označivanju potrošnje energije i ostalih resursa proizvoda povezanih s energijom uz pomoć oznaka i standardiziranih informacija o proizvodu (</w:t>
      </w:r>
      <w:r w:rsidRPr="008A261E">
        <w:rPr>
          <w:i/>
        </w:rPr>
        <w:t>Directive 2010/30/EU on the indication by labelling and standard product information of the consumption of energy and other resources by energy-related products</w:t>
      </w:r>
      <w:r w:rsidRPr="00833E83">
        <w:t xml:space="preserve">), svibanj 2010.; </w:t>
      </w:r>
    </w:p>
    <w:p w14:paraId="703BB9EC" w14:textId="77777777" w:rsidR="004A27A8" w:rsidRPr="00833E83" w:rsidRDefault="004A27A8" w:rsidP="00E92750">
      <w:pPr>
        <w:pStyle w:val="NoSpacing"/>
        <w:numPr>
          <w:ilvl w:val="0"/>
          <w:numId w:val="8"/>
        </w:numPr>
      </w:pPr>
      <w:r w:rsidRPr="00833E83">
        <w:t>Direktiva o energetskim karakteristikama zgrada (</w:t>
      </w:r>
      <w:r w:rsidRPr="008A261E">
        <w:rPr>
          <w:i/>
        </w:rPr>
        <w:t>Directive 2010/31/EU on the energy performance of buildings</w:t>
      </w:r>
      <w:r w:rsidRPr="00833E83">
        <w:t>), svibanj 2010.;</w:t>
      </w:r>
    </w:p>
    <w:p w14:paraId="3E587770" w14:textId="77777777" w:rsidR="004A27A8" w:rsidRPr="00833E83" w:rsidRDefault="004A27A8" w:rsidP="00E92750">
      <w:pPr>
        <w:pStyle w:val="NoSpacing"/>
        <w:numPr>
          <w:ilvl w:val="0"/>
          <w:numId w:val="8"/>
        </w:numPr>
      </w:pPr>
      <w:r w:rsidRPr="00833E83">
        <w:t>Direktiva o označivanju potrošnje energije i ostalih resursa proizvoda povezanih s energijom uz pomoć oznaka i standardiziranih informacija o proizvodu (</w:t>
      </w:r>
      <w:r w:rsidRPr="008A261E">
        <w:rPr>
          <w:i/>
        </w:rPr>
        <w:t>Directive 2010/30/EU on the indication by labelling and standard product information of the consumption of energy and other resources by energy-related products</w:t>
      </w:r>
      <w:r w:rsidRPr="00833E83">
        <w:t>), svibanj 2010.;</w:t>
      </w:r>
    </w:p>
    <w:p w14:paraId="62EAE252" w14:textId="77777777" w:rsidR="004A27A8" w:rsidRPr="00833E83" w:rsidRDefault="004A27A8" w:rsidP="00E92750">
      <w:pPr>
        <w:pStyle w:val="NoSpacing"/>
        <w:numPr>
          <w:ilvl w:val="0"/>
          <w:numId w:val="8"/>
        </w:numPr>
      </w:pPr>
      <w:r w:rsidRPr="00833E83">
        <w:t>Direktiva o energetskoj učinkovitosti u krajnjoj potrošnji i energetskim uslugama te o stavljanju izvan snage Direktive Vijeća 93/76/EEZ (</w:t>
      </w:r>
      <w:r w:rsidRPr="008A261E">
        <w:rPr>
          <w:i/>
        </w:rPr>
        <w:t>Directive 2006/32/EU on energy end-use efficiency and energy services and repealing Council Directive 93/76/EEC</w:t>
      </w:r>
      <w:r w:rsidRPr="00833E83">
        <w:t>)</w:t>
      </w:r>
    </w:p>
    <w:p w14:paraId="67F94D70" w14:textId="77777777" w:rsidR="004A27A8" w:rsidRPr="00833E83" w:rsidRDefault="004A27A8" w:rsidP="00E92750">
      <w:pPr>
        <w:pStyle w:val="NoSpacing"/>
        <w:numPr>
          <w:ilvl w:val="0"/>
          <w:numId w:val="8"/>
        </w:numPr>
      </w:pPr>
      <w:r w:rsidRPr="00833E83">
        <w:t>Direktiva o promociji kogeneracije bazirane na korisnim toplinskim potrebama na unutarnjem tržištu energije (</w:t>
      </w:r>
      <w:r w:rsidRPr="008A261E">
        <w:rPr>
          <w:i/>
        </w:rPr>
        <w:t>Directive 2004/8/EC on the promotion of cogeneration based on a useful heat demand in the internal energy market</w:t>
      </w:r>
      <w:r w:rsidRPr="00833E83">
        <w:t>), veljača 2004.;</w:t>
      </w:r>
    </w:p>
    <w:p w14:paraId="621C9FDF" w14:textId="77777777" w:rsidR="004A27A8" w:rsidRPr="00833E83" w:rsidRDefault="004A27A8" w:rsidP="00E92750">
      <w:pPr>
        <w:pStyle w:val="NoSpacing"/>
        <w:numPr>
          <w:ilvl w:val="0"/>
          <w:numId w:val="8"/>
        </w:numPr>
      </w:pPr>
      <w:r w:rsidRPr="00833E83">
        <w:t>Direktiva o uspostavi sustava trgovanja dozvolama za emitiranje stakleničkih plinova u skladu s mehanizmima provedbe Protokola iz Kyota (</w:t>
      </w:r>
      <w:r w:rsidRPr="008A261E">
        <w:rPr>
          <w:i/>
        </w:rPr>
        <w:t>Directive 2004/101/EC for establishing a scheme for greenhouse gas emission allowance trading within the Community, in respect of the Kyoto Protocol’s project mechanisms</w:t>
      </w:r>
      <w:r w:rsidRPr="00833E83">
        <w:t>), prosinac 2004.</w:t>
      </w:r>
    </w:p>
    <w:p w14:paraId="7F2E1436" w14:textId="5DCCE912" w:rsidR="004A27A8" w:rsidRPr="00833E83" w:rsidRDefault="004A27A8" w:rsidP="00E92750">
      <w:pPr>
        <w:pStyle w:val="NoSpacing"/>
        <w:numPr>
          <w:ilvl w:val="0"/>
          <w:numId w:val="8"/>
        </w:numPr>
      </w:pPr>
      <w:r w:rsidRPr="00833E83">
        <w:t>Direktiva o uspostavi sustava trgovanja dozvolama za emitiranje stakleničkih plinova unutar EU (</w:t>
      </w:r>
      <w:r w:rsidRPr="008A261E">
        <w:rPr>
          <w:i/>
        </w:rPr>
        <w:t>Directive 2003/87/EC for establishing a scheme for greenhouse gas emission allowance trading within the Community</w:t>
      </w:r>
      <w:r w:rsidRPr="00833E83">
        <w:t>), studeni 2003.</w:t>
      </w:r>
    </w:p>
    <w:p w14:paraId="224491F2" w14:textId="77777777" w:rsidR="00CD596A" w:rsidRPr="00833E83" w:rsidRDefault="00CD596A" w:rsidP="00E92750">
      <w:pPr>
        <w:pStyle w:val="Heading2"/>
        <w:rPr>
          <w:rFonts w:eastAsia="Calibri"/>
        </w:rPr>
      </w:pPr>
      <w:bookmarkStart w:id="507" w:name="_Toc438558877"/>
      <w:bookmarkStart w:id="508" w:name="_Toc468345424"/>
      <w:r w:rsidRPr="00833E83">
        <w:rPr>
          <w:rFonts w:eastAsia="Calibri"/>
        </w:rPr>
        <w:t>Zakonodavni okvir i regulativa Republike Hrvatske</w:t>
      </w:r>
      <w:bookmarkEnd w:id="507"/>
      <w:bookmarkEnd w:id="508"/>
    </w:p>
    <w:p w14:paraId="3B9FA42A" w14:textId="77777777" w:rsidR="00CD596A" w:rsidRPr="00833E83" w:rsidRDefault="00CD596A" w:rsidP="00E92750">
      <w:pPr>
        <w:pStyle w:val="Heading3"/>
        <w:spacing w:after="240" w:line="240" w:lineRule="auto"/>
        <w:jc w:val="both"/>
        <w:rPr>
          <w:rFonts w:eastAsia="Calibri"/>
        </w:rPr>
      </w:pPr>
      <w:bookmarkStart w:id="509" w:name="_Toc438558878"/>
      <w:bookmarkStart w:id="510" w:name="_Toc468345425"/>
      <w:r w:rsidRPr="00833E83">
        <w:rPr>
          <w:rFonts w:eastAsia="Calibri"/>
        </w:rPr>
        <w:t>Strategija energetskog razvitka Republike Hrvatske</w:t>
      </w:r>
      <w:bookmarkEnd w:id="509"/>
      <w:bookmarkEnd w:id="510"/>
    </w:p>
    <w:p w14:paraId="7669C263" w14:textId="77777777"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 xml:space="preserve">Cilj Strategije energetskog razvitka Republike Hrvatske je dati glavne odrednice razvitka hrvatskog energetskog sektora do 2020. godine. </w:t>
      </w:r>
    </w:p>
    <w:p w14:paraId="525335B7" w14:textId="77777777" w:rsidR="00CD596A" w:rsidRPr="00833E83" w:rsidRDefault="00CD596A" w:rsidP="00E92750">
      <w:pPr>
        <w:pStyle w:val="NoSpacing"/>
      </w:pPr>
      <w:r w:rsidRPr="00833E83">
        <w:t>Strategija energetskog razvitka Republike Hrvatske postavlja sljedeće hrvatske strateške ciljeve za korištenje obnovljivih izvora energije do 2020. godine:</w:t>
      </w:r>
    </w:p>
    <w:p w14:paraId="5D40A118" w14:textId="77777777" w:rsidR="00CD596A" w:rsidRPr="00833E83" w:rsidRDefault="00CD596A" w:rsidP="00E92750">
      <w:pPr>
        <w:pStyle w:val="NoSpacing"/>
        <w:numPr>
          <w:ilvl w:val="0"/>
          <w:numId w:val="9"/>
        </w:numPr>
      </w:pPr>
      <w:r w:rsidRPr="00833E83">
        <w:t xml:space="preserve">Udio obnovljivih izvora u neposrednoj potrošnji energije – 20%; </w:t>
      </w:r>
    </w:p>
    <w:p w14:paraId="1370F9FA" w14:textId="77777777" w:rsidR="00CD596A" w:rsidRPr="00833E83" w:rsidRDefault="00CD596A" w:rsidP="00E92750">
      <w:pPr>
        <w:pStyle w:val="NoSpacing"/>
        <w:numPr>
          <w:ilvl w:val="0"/>
          <w:numId w:val="9"/>
        </w:numPr>
      </w:pPr>
      <w:r w:rsidRPr="00833E83">
        <w:t>Udio biogoriva u potrošnji benzina i dizelskog goriva u prometu – 10%;</w:t>
      </w:r>
    </w:p>
    <w:p w14:paraId="7032A0A4" w14:textId="77777777" w:rsidR="00CD596A" w:rsidRPr="00833E83" w:rsidRDefault="00CD596A" w:rsidP="00E92750">
      <w:pPr>
        <w:pStyle w:val="NoSpacing"/>
        <w:numPr>
          <w:ilvl w:val="0"/>
          <w:numId w:val="9"/>
        </w:numPr>
        <w:spacing w:after="240"/>
      </w:pPr>
      <w:r w:rsidRPr="00833E83">
        <w:t>Udio proizvodnje električne energije iz obnovljivih izvora energije, uključujući velike hidroelektrane, u ukupnoj proizvodnji električne energije – 35%.</w:t>
      </w:r>
    </w:p>
    <w:p w14:paraId="6149B5F4" w14:textId="77777777"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 xml:space="preserve">Strategija energetske učinkovitosti u Republici Hrvatskoj definirana je u Nacionalnom programu energetske učinkovitosti za razdoblje od 2008. do 2016. godine. Prema Programu koji nije legislativni, pravno obvezujući dokument, strateški cilj RH je provedbom mjera energetske učinkovitosti u </w:t>
      </w:r>
      <w:r w:rsidRPr="00833E83">
        <w:rPr>
          <w:rFonts w:ascii="Calibri" w:eastAsia="Calibri" w:hAnsi="Calibri" w:cs="Times New Roman"/>
        </w:rPr>
        <w:lastRenderedPageBreak/>
        <w:t xml:space="preserve">industriji, prometu, kućanstvima i uslugama, do kraja 2016. godine postići energetske uštede u apsolutnom iznosu od 19,77 PJ. </w:t>
      </w:r>
    </w:p>
    <w:p w14:paraId="63D62D93" w14:textId="4C0D33FA"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U Planu mjera i aktivnosti za smanjenje emisija CO</w:t>
      </w:r>
      <w:r w:rsidRPr="00833E83">
        <w:rPr>
          <w:rFonts w:ascii="Calibri" w:eastAsia="Calibri" w:hAnsi="Calibri" w:cs="Times New Roman"/>
          <w:vertAlign w:val="subscript"/>
        </w:rPr>
        <w:t>2</w:t>
      </w:r>
      <w:r w:rsidRPr="00833E83">
        <w:rPr>
          <w:rFonts w:ascii="Calibri" w:eastAsia="Calibri" w:hAnsi="Calibri" w:cs="Times New Roman"/>
        </w:rPr>
        <w:t xml:space="preserve"> za sektore zgradarstva i prometa </w:t>
      </w:r>
      <w:r w:rsidR="00366E54" w:rsidRPr="00833E83">
        <w:rPr>
          <w:rFonts w:ascii="Calibri" w:eastAsia="Calibri" w:hAnsi="Calibri" w:cs="Times New Roman"/>
        </w:rPr>
        <w:t xml:space="preserve">Grada </w:t>
      </w:r>
      <w:r w:rsidR="000F64C5" w:rsidRPr="00833E83">
        <w:rPr>
          <w:rFonts w:ascii="Calibri" w:eastAsia="Calibri" w:hAnsi="Calibri" w:cs="Times New Roman"/>
        </w:rPr>
        <w:t>Zagreba</w:t>
      </w:r>
      <w:r w:rsidRPr="00833E83">
        <w:rPr>
          <w:rFonts w:ascii="Calibri" w:eastAsia="Calibri" w:hAnsi="Calibri" w:cs="Times New Roman"/>
        </w:rPr>
        <w:t xml:space="preserve"> kao legislativne su navedene mjere predložene u Strategiji energetskog razvitka Republike Hrvatske.</w:t>
      </w:r>
    </w:p>
    <w:p w14:paraId="29C7E4A4" w14:textId="12276662" w:rsidR="00B37E6E" w:rsidRPr="00833E83" w:rsidRDefault="00CD596A" w:rsidP="00E92750">
      <w:pPr>
        <w:pStyle w:val="Heading3"/>
        <w:spacing w:after="240" w:line="240" w:lineRule="auto"/>
        <w:jc w:val="both"/>
        <w:rPr>
          <w:rFonts w:eastAsia="Calibri"/>
        </w:rPr>
      </w:pPr>
      <w:bookmarkStart w:id="511" w:name="_Toc438558879"/>
      <w:bookmarkStart w:id="512" w:name="_Toc468345426"/>
      <w:r w:rsidRPr="00833E83">
        <w:rPr>
          <w:rFonts w:eastAsia="Calibri"/>
        </w:rPr>
        <w:t>Energetski zakoni i podzakonska regulativa</w:t>
      </w:r>
      <w:bookmarkEnd w:id="511"/>
      <w:bookmarkEnd w:id="512"/>
    </w:p>
    <w:p w14:paraId="500A97A7" w14:textId="00700976" w:rsidR="004A27A8" w:rsidRPr="00833E83" w:rsidRDefault="00254431" w:rsidP="00E92750">
      <w:pPr>
        <w:pStyle w:val="NoSpacing"/>
        <w:spacing w:after="240"/>
      </w:pPr>
      <w:r>
        <w:t xml:space="preserve">Pregled </w:t>
      </w:r>
      <w:r w:rsidR="00B37E6E" w:rsidRPr="00833E83">
        <w:t>najvažnijih zakona</w:t>
      </w:r>
      <w:r w:rsidR="003F37B8" w:rsidRPr="00833E83">
        <w:t xml:space="preserve">, uredbi, </w:t>
      </w:r>
      <w:r w:rsidR="00B37E6E" w:rsidRPr="00833E83">
        <w:t>pravilnika</w:t>
      </w:r>
      <w:r w:rsidR="003F37B8" w:rsidRPr="00833E83">
        <w:t xml:space="preserve"> i tehničkih propisa</w:t>
      </w:r>
      <w:r w:rsidR="004A27A8" w:rsidRPr="00833E83">
        <w:t xml:space="preserve"> koji određuju zakono</w:t>
      </w:r>
      <w:r w:rsidR="00B37E6E" w:rsidRPr="00833E83">
        <w:t>davni okvir energetskog sektora dan je u nastavku.</w:t>
      </w:r>
    </w:p>
    <w:p w14:paraId="0E7A9C0F" w14:textId="6035C4E2" w:rsidR="00B37E6E" w:rsidRPr="00833E83" w:rsidRDefault="00B37E6E" w:rsidP="00E92750">
      <w:pPr>
        <w:pStyle w:val="NoSpacing"/>
        <w:rPr>
          <w:b/>
        </w:rPr>
      </w:pPr>
      <w:r w:rsidRPr="00833E83">
        <w:rPr>
          <w:b/>
        </w:rPr>
        <w:t>Zakoni</w:t>
      </w:r>
    </w:p>
    <w:p w14:paraId="4168CCF7" w14:textId="77777777" w:rsidR="004A27A8" w:rsidRPr="00833E83" w:rsidRDefault="004A27A8" w:rsidP="00E92750">
      <w:pPr>
        <w:pStyle w:val="NoSpacing"/>
        <w:numPr>
          <w:ilvl w:val="0"/>
          <w:numId w:val="10"/>
        </w:numPr>
      </w:pPr>
      <w:r w:rsidRPr="00833E83">
        <w:t>Zakon o obnovljivim izvorima energije i visokoučinkovitoj kogeneraciji (NN 100/15);</w:t>
      </w:r>
    </w:p>
    <w:p w14:paraId="6C8C093A" w14:textId="7298FBE8" w:rsidR="004A27A8" w:rsidRPr="00833E83" w:rsidRDefault="009D1558" w:rsidP="00E92750">
      <w:pPr>
        <w:pStyle w:val="NoSpacing"/>
        <w:numPr>
          <w:ilvl w:val="0"/>
          <w:numId w:val="10"/>
        </w:numPr>
      </w:pPr>
      <w:r w:rsidRPr="00833E83">
        <w:t>Zakon o energiji (Narodne Novine</w:t>
      </w:r>
      <w:r w:rsidR="004A27A8" w:rsidRPr="00833E83">
        <w:t xml:space="preserve"> 120/12, 14/14, 95/15, 102/15);</w:t>
      </w:r>
    </w:p>
    <w:p w14:paraId="534AECAE" w14:textId="15D40C89" w:rsidR="004A27A8" w:rsidRPr="00833E83" w:rsidRDefault="004A27A8" w:rsidP="00E92750">
      <w:pPr>
        <w:pStyle w:val="NoSpacing"/>
        <w:numPr>
          <w:ilvl w:val="0"/>
          <w:numId w:val="10"/>
        </w:numPr>
      </w:pPr>
      <w:r w:rsidRPr="00833E83">
        <w:t>Zakon o</w:t>
      </w:r>
      <w:r w:rsidR="009D1558" w:rsidRPr="00833E83">
        <w:t xml:space="preserve"> tržištu električne energije (Narodne Novine</w:t>
      </w:r>
      <w:r w:rsidRPr="00833E83">
        <w:t xml:space="preserve"> 22/13, 95/15, 102/15);</w:t>
      </w:r>
    </w:p>
    <w:p w14:paraId="7C66BDBA" w14:textId="5284C46E" w:rsidR="004A27A8" w:rsidRPr="00833E83" w:rsidRDefault="004A27A8" w:rsidP="00E92750">
      <w:pPr>
        <w:pStyle w:val="NoSpacing"/>
        <w:numPr>
          <w:ilvl w:val="0"/>
          <w:numId w:val="10"/>
        </w:numPr>
      </w:pPr>
      <w:r w:rsidRPr="00833E83">
        <w:t xml:space="preserve">Zakon </w:t>
      </w:r>
      <w:r w:rsidR="009D1558" w:rsidRPr="00833E83">
        <w:t>o tržištu toplinske energije (Narodne Novine</w:t>
      </w:r>
      <w:r w:rsidRPr="00833E83">
        <w:t xml:space="preserve"> 80/13, 14/14, 102/14, 95/15);</w:t>
      </w:r>
    </w:p>
    <w:p w14:paraId="0C8985B4" w14:textId="4455769D" w:rsidR="004A27A8" w:rsidRPr="00833E83" w:rsidRDefault="004A27A8" w:rsidP="00E92750">
      <w:pPr>
        <w:pStyle w:val="NoSpacing"/>
        <w:numPr>
          <w:ilvl w:val="0"/>
          <w:numId w:val="10"/>
        </w:numPr>
      </w:pPr>
      <w:r w:rsidRPr="00833E83">
        <w:t>Zakon</w:t>
      </w:r>
      <w:r w:rsidR="009D1558" w:rsidRPr="00833E83">
        <w:t xml:space="preserve"> o energetskoj učinkovitosti (Narodne Novine</w:t>
      </w:r>
      <w:r w:rsidRPr="00833E83">
        <w:t xml:space="preserve"> 127/14);</w:t>
      </w:r>
    </w:p>
    <w:p w14:paraId="12DB0AE8" w14:textId="2720C448" w:rsidR="004A27A8" w:rsidRPr="00833E83" w:rsidRDefault="004A27A8" w:rsidP="00E92750">
      <w:pPr>
        <w:pStyle w:val="NoSpacing"/>
        <w:numPr>
          <w:ilvl w:val="0"/>
          <w:numId w:val="10"/>
        </w:numPr>
      </w:pPr>
      <w:r w:rsidRPr="00833E83">
        <w:t>Zakon o trži</w:t>
      </w:r>
      <w:r w:rsidR="009D1558" w:rsidRPr="00833E83">
        <w:t>štu nafte i naftnih derivata (Narodne Novine</w:t>
      </w:r>
      <w:r w:rsidRPr="00833E83">
        <w:t xml:space="preserve"> 19/14);</w:t>
      </w:r>
    </w:p>
    <w:p w14:paraId="783E28D1" w14:textId="51DB9D5C" w:rsidR="004A27A8" w:rsidRPr="00833E83" w:rsidRDefault="009D1558" w:rsidP="00E92750">
      <w:pPr>
        <w:pStyle w:val="NoSpacing"/>
        <w:numPr>
          <w:ilvl w:val="0"/>
          <w:numId w:val="10"/>
        </w:numPr>
      </w:pPr>
      <w:r w:rsidRPr="00833E83">
        <w:t>Zakon o tržištu plina (Narodne Novine N</w:t>
      </w:r>
      <w:r w:rsidR="004A27A8" w:rsidRPr="00833E83">
        <w:t xml:space="preserve">28/13, 14/14); </w:t>
      </w:r>
    </w:p>
    <w:p w14:paraId="03B0BF28" w14:textId="0000A39E" w:rsidR="004A27A8" w:rsidRPr="00833E83" w:rsidRDefault="004A27A8" w:rsidP="00E92750">
      <w:pPr>
        <w:pStyle w:val="NoSpacing"/>
        <w:numPr>
          <w:ilvl w:val="0"/>
          <w:numId w:val="10"/>
        </w:numPr>
      </w:pPr>
      <w:r w:rsidRPr="00833E83">
        <w:t>Zak</w:t>
      </w:r>
      <w:r w:rsidR="009D1558" w:rsidRPr="00833E83">
        <w:t>on o biogorivima za prijevoz (Narodne Novine</w:t>
      </w:r>
      <w:r w:rsidRPr="00833E83">
        <w:t xml:space="preserve"> 65/09, 145/10, 26/11, 144/12, 14/14);</w:t>
      </w:r>
    </w:p>
    <w:p w14:paraId="2EA2244B" w14:textId="7ACBCEEF" w:rsidR="004A27A8" w:rsidRPr="00833E83" w:rsidRDefault="009D1558" w:rsidP="00E92750">
      <w:pPr>
        <w:pStyle w:val="NoSpacing"/>
        <w:numPr>
          <w:ilvl w:val="0"/>
          <w:numId w:val="10"/>
        </w:numPr>
      </w:pPr>
      <w:r w:rsidRPr="00833E83">
        <w:t>Zakon o gradnji (Narodne Novine</w:t>
      </w:r>
      <w:r w:rsidR="004A27A8" w:rsidRPr="00833E83">
        <w:t xml:space="preserve"> 153/13);</w:t>
      </w:r>
    </w:p>
    <w:p w14:paraId="1D572505" w14:textId="6D7F7F65" w:rsidR="004A27A8" w:rsidRPr="00833E83" w:rsidRDefault="004A27A8" w:rsidP="00E92750">
      <w:pPr>
        <w:pStyle w:val="NoSpacing"/>
        <w:numPr>
          <w:ilvl w:val="0"/>
          <w:numId w:val="10"/>
        </w:numPr>
      </w:pPr>
      <w:r w:rsidRPr="00833E83">
        <w:t>Zakon o regula</w:t>
      </w:r>
      <w:r w:rsidR="009D1558" w:rsidRPr="00833E83">
        <w:t>ciji energetskih djelatnosti (Narodne Novine</w:t>
      </w:r>
      <w:r w:rsidRPr="00833E83">
        <w:t xml:space="preserve"> 120/12);</w:t>
      </w:r>
    </w:p>
    <w:p w14:paraId="3333E724" w14:textId="3E6F9A21" w:rsidR="004A27A8" w:rsidRPr="00833E83" w:rsidRDefault="004A27A8" w:rsidP="00E92750">
      <w:pPr>
        <w:pStyle w:val="NoSpacing"/>
        <w:numPr>
          <w:ilvl w:val="0"/>
          <w:numId w:val="10"/>
        </w:numPr>
        <w:spacing w:after="240"/>
      </w:pPr>
      <w:r w:rsidRPr="00833E83">
        <w:t xml:space="preserve">Zakon o proizvodnji, distribuciji i </w:t>
      </w:r>
      <w:r w:rsidR="009D1558" w:rsidRPr="00833E83">
        <w:t>opskrbi toplinskom energijom (Narodne Novine</w:t>
      </w:r>
      <w:r w:rsidRPr="00833E83">
        <w:t xml:space="preserve"> 42/05, 20/10).</w:t>
      </w:r>
    </w:p>
    <w:p w14:paraId="7C40C287" w14:textId="13E64EC1" w:rsidR="009D1558" w:rsidRPr="00833E83" w:rsidRDefault="009D1558" w:rsidP="00E92750">
      <w:pPr>
        <w:spacing w:line="240" w:lineRule="auto"/>
        <w:ind w:left="360"/>
        <w:jc w:val="both"/>
        <w:rPr>
          <w:b/>
        </w:rPr>
      </w:pPr>
      <w:r w:rsidRPr="00833E83">
        <w:rPr>
          <w:b/>
        </w:rPr>
        <w:t>Uredbe</w:t>
      </w:r>
    </w:p>
    <w:p w14:paraId="5B73B000" w14:textId="37E304E5" w:rsidR="009D1558" w:rsidRPr="00833E83" w:rsidRDefault="009D1558" w:rsidP="00EE7021">
      <w:pPr>
        <w:pStyle w:val="ListParagraph"/>
        <w:numPr>
          <w:ilvl w:val="0"/>
          <w:numId w:val="35"/>
        </w:numPr>
        <w:spacing w:line="240" w:lineRule="auto"/>
        <w:jc w:val="both"/>
      </w:pPr>
      <w:r w:rsidRPr="00833E83">
        <w:t>Uredba o ugovaranju i provedbi energetske usluge u javnom sekto</w:t>
      </w:r>
      <w:r w:rsidR="00B37E6E" w:rsidRPr="00833E83">
        <w:t>ru (Narodne novine, broj 11/15).</w:t>
      </w:r>
    </w:p>
    <w:p w14:paraId="1B3F8D5A" w14:textId="3D70E184" w:rsidR="00B37E6E" w:rsidRPr="00833E83" w:rsidRDefault="00B37E6E" w:rsidP="00E92750">
      <w:pPr>
        <w:spacing w:line="240" w:lineRule="auto"/>
        <w:ind w:firstLine="360"/>
        <w:jc w:val="both"/>
        <w:rPr>
          <w:b/>
        </w:rPr>
      </w:pPr>
      <w:r w:rsidRPr="00833E83">
        <w:rPr>
          <w:b/>
        </w:rPr>
        <w:t>Pravilnici</w:t>
      </w:r>
    </w:p>
    <w:p w14:paraId="0033CCB1" w14:textId="77777777" w:rsidR="009D1558" w:rsidRPr="00833E83" w:rsidRDefault="009D1558" w:rsidP="00EE7021">
      <w:pPr>
        <w:pStyle w:val="ListParagraph"/>
        <w:numPr>
          <w:ilvl w:val="0"/>
          <w:numId w:val="35"/>
        </w:numPr>
        <w:spacing w:line="240" w:lineRule="auto"/>
        <w:jc w:val="both"/>
      </w:pPr>
      <w:r w:rsidRPr="00833E83">
        <w:t>Pravilnik o energetskim pregledima građevina i energetskom certificiranju zgrada (Narodne novine, broj 81/2012, 29/2013 i 78/2013)</w:t>
      </w:r>
      <w:r w:rsidRPr="00833E83">
        <w:rPr>
          <w:rStyle w:val="FootnoteReference"/>
        </w:rPr>
        <w:footnoteReference w:id="37"/>
      </w:r>
      <w:r w:rsidRPr="00833E83">
        <w:t>;</w:t>
      </w:r>
    </w:p>
    <w:p w14:paraId="5E4049DD" w14:textId="77777777" w:rsidR="009D1558" w:rsidRPr="00833E83" w:rsidRDefault="009D1558" w:rsidP="00EE7021">
      <w:pPr>
        <w:pStyle w:val="ListParagraph"/>
        <w:numPr>
          <w:ilvl w:val="0"/>
          <w:numId w:val="35"/>
        </w:numPr>
        <w:spacing w:line="240" w:lineRule="auto"/>
        <w:jc w:val="both"/>
      </w:pPr>
      <w:r w:rsidRPr="00833E83">
        <w:t>Pravilnik o uvjetima i mjerilima za utvrđivanje sustava kvalitete usluga i radova za certificiranje instalatera obnovljivih izvora energije - fotonaponskih sustava (Narodne novine broj 56/2015);</w:t>
      </w:r>
    </w:p>
    <w:p w14:paraId="635E7987" w14:textId="77777777" w:rsidR="009D1558" w:rsidRPr="00833E83" w:rsidRDefault="009D1558" w:rsidP="00EE7021">
      <w:pPr>
        <w:pStyle w:val="ListParagraph"/>
        <w:numPr>
          <w:ilvl w:val="0"/>
          <w:numId w:val="35"/>
        </w:numPr>
        <w:spacing w:line="240" w:lineRule="auto"/>
        <w:jc w:val="both"/>
      </w:pPr>
      <w:r w:rsidRPr="00833E83">
        <w:t>Pravilnik o uvjetima i mjerilima za utvrđivanje sustava kvalitete usluga i radova za certificiranje instalatera obnovljivih izvora energije - solarnih toplinskih sustava („Narodne novine“ broj 33/15, 56/2015);</w:t>
      </w:r>
    </w:p>
    <w:p w14:paraId="3A691AE4" w14:textId="77777777" w:rsidR="009D1558" w:rsidRPr="00833E83" w:rsidRDefault="009D1558" w:rsidP="00EE7021">
      <w:pPr>
        <w:pStyle w:val="ListParagraph"/>
        <w:numPr>
          <w:ilvl w:val="0"/>
          <w:numId w:val="35"/>
        </w:numPr>
        <w:spacing w:line="240" w:lineRule="auto"/>
        <w:jc w:val="both"/>
      </w:pPr>
      <w:r w:rsidRPr="00833E83">
        <w:t>Pravilnik o uvjetima i mjerilima za utvrđivanje sustava kvalitete usluga i radova za certificiranje instalatera obnovljivih izvora energije - manjih kotlova i peći na biomasu (Narodne novine broj 39/15, 56/2015);</w:t>
      </w:r>
    </w:p>
    <w:p w14:paraId="6D39776A" w14:textId="77777777" w:rsidR="009D1558" w:rsidRPr="00833E83" w:rsidRDefault="009D1558" w:rsidP="00EE7021">
      <w:pPr>
        <w:pStyle w:val="ListParagraph"/>
        <w:numPr>
          <w:ilvl w:val="0"/>
          <w:numId w:val="35"/>
        </w:numPr>
        <w:spacing w:line="240" w:lineRule="auto"/>
        <w:jc w:val="both"/>
      </w:pPr>
      <w:r w:rsidRPr="00833E83">
        <w:t>Pravilnik o uvjetima i mjerilima za utvrđivanje sustava kvalitete usluga i radova za certificiranje instalatera obnovljivih izvora energije - plitkih geotermalnih sustava i dizalica topline (Narodne novine, broj 56/2015);</w:t>
      </w:r>
    </w:p>
    <w:p w14:paraId="50A70E80" w14:textId="77777777" w:rsidR="009D1558" w:rsidRPr="00833E83" w:rsidRDefault="009D1558" w:rsidP="00EE7021">
      <w:pPr>
        <w:pStyle w:val="ListParagraph"/>
        <w:numPr>
          <w:ilvl w:val="0"/>
          <w:numId w:val="35"/>
        </w:numPr>
        <w:spacing w:line="240" w:lineRule="auto"/>
        <w:jc w:val="both"/>
      </w:pPr>
      <w:r w:rsidRPr="00833E83">
        <w:t>Pravilnik o energetskom pregledu zgrade i energetskom certificiranju (Narodne novine, broj 48/2014., 150/2014., 133/2015., 22/16., 49/2016., 87/2016);</w:t>
      </w:r>
    </w:p>
    <w:p w14:paraId="33E41B0B" w14:textId="77777777" w:rsidR="009D1558" w:rsidRPr="00833E83" w:rsidRDefault="009D1558" w:rsidP="00EE7021">
      <w:pPr>
        <w:pStyle w:val="ListParagraph"/>
        <w:numPr>
          <w:ilvl w:val="0"/>
          <w:numId w:val="35"/>
        </w:numPr>
        <w:spacing w:line="240" w:lineRule="auto"/>
        <w:jc w:val="both"/>
      </w:pPr>
      <w:r w:rsidRPr="00833E83">
        <w:lastRenderedPageBreak/>
        <w:t>Pravilnik o sustavnom gospodarenju energijom u javnom sektoru (Narodne novine, broj 18/15, 06/2016);</w:t>
      </w:r>
    </w:p>
    <w:p w14:paraId="50EE46F8" w14:textId="705E5A17" w:rsidR="009D1558" w:rsidRPr="00833E83" w:rsidRDefault="009D1558" w:rsidP="00EE7021">
      <w:pPr>
        <w:pStyle w:val="ListParagraph"/>
        <w:numPr>
          <w:ilvl w:val="0"/>
          <w:numId w:val="35"/>
        </w:numPr>
        <w:spacing w:line="240" w:lineRule="auto"/>
        <w:jc w:val="both"/>
      </w:pPr>
      <w:r w:rsidRPr="00833E83">
        <w:t>Pravilnik o kontroli energetskog certifikata zgrade i izvješća o redovitom pregledu sustava grijanja i sustava hlađenja ili klimatizacije u zgradi (Narodne novine, broj  73/15)</w:t>
      </w:r>
      <w:r w:rsidR="003F37B8" w:rsidRPr="00833E83">
        <w:t>.</w:t>
      </w:r>
    </w:p>
    <w:p w14:paraId="6EB30649" w14:textId="62580717" w:rsidR="003F37B8" w:rsidRPr="00833E83" w:rsidRDefault="003F37B8" w:rsidP="00E92750">
      <w:pPr>
        <w:spacing w:line="240" w:lineRule="auto"/>
        <w:ind w:left="360"/>
        <w:jc w:val="both"/>
        <w:rPr>
          <w:b/>
        </w:rPr>
      </w:pPr>
      <w:r w:rsidRPr="00833E83">
        <w:rPr>
          <w:b/>
        </w:rPr>
        <w:t>Tehnički propisi</w:t>
      </w:r>
    </w:p>
    <w:p w14:paraId="15ED0261" w14:textId="30BF67F7" w:rsidR="009D1558" w:rsidRPr="00833E83" w:rsidRDefault="009D1558" w:rsidP="00EE7021">
      <w:pPr>
        <w:pStyle w:val="ListParagraph"/>
        <w:numPr>
          <w:ilvl w:val="0"/>
          <w:numId w:val="35"/>
        </w:numPr>
        <w:spacing w:line="240" w:lineRule="auto"/>
        <w:jc w:val="both"/>
      </w:pPr>
      <w:r w:rsidRPr="00833E83">
        <w:t>Tehnički propis o racionalnoj uporabi energije i toplinskoj zaštiti u zgradama (Narodne novine, broj 128/20</w:t>
      </w:r>
      <w:r w:rsidR="00422664" w:rsidRPr="00833E83">
        <w:t>15).</w:t>
      </w:r>
    </w:p>
    <w:p w14:paraId="3A043098" w14:textId="6D3E30D0" w:rsidR="00422664" w:rsidRPr="00833E83" w:rsidRDefault="00422664" w:rsidP="00E92750">
      <w:pPr>
        <w:spacing w:line="240" w:lineRule="auto"/>
        <w:ind w:firstLine="360"/>
        <w:jc w:val="both"/>
        <w:rPr>
          <w:b/>
        </w:rPr>
      </w:pPr>
      <w:r w:rsidRPr="00833E83">
        <w:rPr>
          <w:b/>
        </w:rPr>
        <w:t>Ostali akti</w:t>
      </w:r>
    </w:p>
    <w:p w14:paraId="4081107D" w14:textId="77777777" w:rsidR="009D1558" w:rsidRPr="00833E83" w:rsidRDefault="009D1558" w:rsidP="00EE7021">
      <w:pPr>
        <w:pStyle w:val="ListParagraph"/>
        <w:numPr>
          <w:ilvl w:val="0"/>
          <w:numId w:val="35"/>
        </w:numPr>
        <w:spacing w:line="240" w:lineRule="auto"/>
        <w:jc w:val="both"/>
      </w:pPr>
      <w:r w:rsidRPr="00833E83">
        <w:t>Odluka o Metodologiji energetskog pregleda građevina;</w:t>
      </w:r>
    </w:p>
    <w:p w14:paraId="32626FAA" w14:textId="77777777" w:rsidR="009D1558" w:rsidRPr="00833E83" w:rsidRDefault="009D1558" w:rsidP="00EE7021">
      <w:pPr>
        <w:pStyle w:val="ListParagraph"/>
        <w:numPr>
          <w:ilvl w:val="0"/>
          <w:numId w:val="35"/>
        </w:numPr>
        <w:spacing w:line="240" w:lineRule="auto"/>
        <w:jc w:val="both"/>
      </w:pPr>
      <w:r w:rsidRPr="00833E83">
        <w:t>Metodologija provođenja energetskog pregleda građevina (primjenjuje se od 18. lipnja 2014);</w:t>
      </w:r>
    </w:p>
    <w:p w14:paraId="0562A7F3" w14:textId="77777777" w:rsidR="009D1558" w:rsidRPr="00833E83" w:rsidRDefault="009D1558" w:rsidP="00EE7021">
      <w:pPr>
        <w:pStyle w:val="ListParagraph"/>
        <w:numPr>
          <w:ilvl w:val="0"/>
          <w:numId w:val="35"/>
        </w:numPr>
        <w:spacing w:line="240" w:lineRule="auto"/>
        <w:jc w:val="both"/>
      </w:pPr>
      <w:r w:rsidRPr="00833E83">
        <w:t>Metodologija za provođenje energetskih pregleda građevina (primjenjuje se do 17. lipnja 2014) i</w:t>
      </w:r>
    </w:p>
    <w:p w14:paraId="34D1CAED" w14:textId="77777777" w:rsidR="009D1558" w:rsidRPr="00833E83" w:rsidRDefault="009D1558" w:rsidP="00EE7021">
      <w:pPr>
        <w:pStyle w:val="ListParagraph"/>
        <w:numPr>
          <w:ilvl w:val="0"/>
          <w:numId w:val="35"/>
        </w:numPr>
        <w:spacing w:line="240" w:lineRule="auto"/>
        <w:jc w:val="both"/>
      </w:pPr>
      <w:r w:rsidRPr="00833E83">
        <w:t>Odluka o načinu dostave izvješća o provedenim energetskim pregledima građevina odnosno izdanim energetskim certifikatima zgrade.</w:t>
      </w:r>
    </w:p>
    <w:p w14:paraId="6F62C208" w14:textId="77777777" w:rsidR="009D1558" w:rsidRPr="00833E83" w:rsidRDefault="009D1558" w:rsidP="00EE7021">
      <w:pPr>
        <w:pStyle w:val="ListParagraph"/>
        <w:numPr>
          <w:ilvl w:val="0"/>
          <w:numId w:val="35"/>
        </w:numPr>
        <w:spacing w:line="240" w:lineRule="auto"/>
        <w:jc w:val="both"/>
      </w:pPr>
      <w:r w:rsidRPr="00833E83">
        <w:t>Izvješće prema članku 5 (2) Direktive 2010/31/EU i članku 6 Uredbe (EU) 244/2012 od 16.1.2012.: Minimalni zahtjevi na energetsko svojstvo višestambene zgrade za kontinentalnu i primorsku Hrvatsku, za razdoblje do 1970., 1971. - 2005., iza 2006., i gotovo nula energetske zgrade;</w:t>
      </w:r>
    </w:p>
    <w:p w14:paraId="3ABAA83D" w14:textId="77777777" w:rsidR="009D1558" w:rsidRPr="00833E83" w:rsidRDefault="009D1558" w:rsidP="00EE7021">
      <w:pPr>
        <w:pStyle w:val="ListParagraph"/>
        <w:numPr>
          <w:ilvl w:val="0"/>
          <w:numId w:val="35"/>
        </w:numPr>
        <w:spacing w:line="240" w:lineRule="auto"/>
        <w:jc w:val="both"/>
      </w:pPr>
      <w:r w:rsidRPr="00833E83">
        <w:t>Izvještaj prema članku 5(2) Direktive 2010/31/EU i članku 6 Uredbe (EU) 244/2012 od 16.1.2012.: Minimalni zahtjevi na energetsko svojstvo jednoobiteljske zgrade za kontinentalnu i primorsku Hrvatsku, za razdoblje do 1970., 1970. - 1987., iza 1987., i gotovo nula energetske zgrade;</w:t>
      </w:r>
    </w:p>
    <w:p w14:paraId="25D50567" w14:textId="77777777" w:rsidR="009D1558" w:rsidRPr="00833E83" w:rsidRDefault="009D1558" w:rsidP="00EE7021">
      <w:pPr>
        <w:pStyle w:val="ListParagraph"/>
        <w:numPr>
          <w:ilvl w:val="0"/>
          <w:numId w:val="35"/>
        </w:numPr>
        <w:spacing w:line="240" w:lineRule="auto"/>
        <w:jc w:val="both"/>
      </w:pPr>
      <w:r w:rsidRPr="00833E83">
        <w:t>Izvještaj prema članku 5(2) Direktive 2010/31/EU i članku 6 Uredbe (EU) 244/2012 od 16.1.2012.: Minimalni zahtjevi na energetsko svojstvo uredske zgrade za kontinentalnu i primorsku Hrvatsku, za razdoblje do 1970., 1971. - 2005., iza 2006., i gotovo nula energetske zgrade;</w:t>
      </w:r>
    </w:p>
    <w:p w14:paraId="783D00B4" w14:textId="77777777" w:rsidR="009D1558" w:rsidRPr="00833E83" w:rsidRDefault="009D1558" w:rsidP="00EE7021">
      <w:pPr>
        <w:pStyle w:val="ListParagraph"/>
        <w:numPr>
          <w:ilvl w:val="0"/>
          <w:numId w:val="35"/>
        </w:numPr>
        <w:spacing w:line="240" w:lineRule="auto"/>
        <w:jc w:val="both"/>
      </w:pPr>
      <w:r w:rsidRPr="00833E83">
        <w:t>Izvješće prema članku 5(2) Direktive 2010/31/EU i članku 6 Uredbe (EU) 244/2012 od 16.1.2012.: Minimalni zahtjevi na energetsko svojstvo zgrada za obrazovanje za kontinentalnu i primorsku Hrvatsku, za razdoblje do 1970., 1971. - 2005., iza 2006., i gotovo nula energetske zgrade;</w:t>
      </w:r>
    </w:p>
    <w:p w14:paraId="5750F3BF" w14:textId="77777777" w:rsidR="009D1558" w:rsidRPr="00833E83" w:rsidRDefault="009D1558" w:rsidP="00EE7021">
      <w:pPr>
        <w:pStyle w:val="ListParagraph"/>
        <w:numPr>
          <w:ilvl w:val="0"/>
          <w:numId w:val="35"/>
        </w:numPr>
        <w:spacing w:line="240" w:lineRule="auto"/>
        <w:jc w:val="both"/>
      </w:pPr>
      <w:r w:rsidRPr="00833E83">
        <w:t>Izvješće prema članku 5(2) Direktive 2010/31/EU i članku 6 Uredbe (EU) 244/2012 od 16.1.2012.: Minimalni zahtjevi na energetsko svojstvo zgrada hotela i restorana za kontinentalnu i primorsku Hrvatsku, za razdoblje do 1970., 1971. - 2005., iza 2006., i gotovo nula energetske zgrade;</w:t>
      </w:r>
    </w:p>
    <w:p w14:paraId="57A3D80D" w14:textId="77777777" w:rsidR="009D1558" w:rsidRPr="00833E83" w:rsidRDefault="009D1558" w:rsidP="00EE7021">
      <w:pPr>
        <w:pStyle w:val="ListParagraph"/>
        <w:numPr>
          <w:ilvl w:val="0"/>
          <w:numId w:val="35"/>
        </w:numPr>
        <w:spacing w:line="240" w:lineRule="auto"/>
        <w:jc w:val="both"/>
      </w:pPr>
      <w:r w:rsidRPr="00833E83">
        <w:t>Izvješće prema članku 5(2) Direktive 2010/31/EU i članku 6 Uredbe (EU) 244/2012 od 16.1.2012.: Minimalni zahtjevi na energetsko svojstvo zgrade za maloprodaju i veleprodaju za kontinentalnu i primorsku Hrvatsku, za razdoblje do 1970., 1971. - 2005., iza 2006., i gotovo nula energetske zgrade;</w:t>
      </w:r>
    </w:p>
    <w:p w14:paraId="43A4599E" w14:textId="3C3D78CD" w:rsidR="009D1558" w:rsidRPr="00833E83" w:rsidRDefault="009D1558" w:rsidP="00EE7021">
      <w:pPr>
        <w:pStyle w:val="ListParagraph"/>
        <w:numPr>
          <w:ilvl w:val="0"/>
          <w:numId w:val="35"/>
        </w:numPr>
        <w:spacing w:line="240" w:lineRule="auto"/>
        <w:jc w:val="both"/>
      </w:pPr>
      <w:r w:rsidRPr="00833E83">
        <w:t>Izvješće prema članku 5(2) Direktive 2010/31/EU i članku 6 Uredbe (EU) 244/2012 od 16.1.2012.: Minimalni zahtjevi na ene</w:t>
      </w:r>
      <w:r w:rsidR="00254431">
        <w:t>rgetsko svojstvo zgrada bolnica</w:t>
      </w:r>
      <w:r w:rsidRPr="00833E83">
        <w:t xml:space="preserve"> za kontinentalnu i primorsku Hrvatsku, za razdoblje do 1970., 1971. - 2005., iza 2006., i gotovo nula energetske zgrade;</w:t>
      </w:r>
    </w:p>
    <w:p w14:paraId="130ED5A6" w14:textId="77777777" w:rsidR="009D1558" w:rsidRPr="00833E83" w:rsidRDefault="009D1558" w:rsidP="00EE7021">
      <w:pPr>
        <w:pStyle w:val="ListParagraph"/>
        <w:numPr>
          <w:ilvl w:val="0"/>
          <w:numId w:val="35"/>
        </w:numPr>
        <w:spacing w:line="240" w:lineRule="auto"/>
        <w:jc w:val="both"/>
      </w:pPr>
      <w:r w:rsidRPr="00833E83">
        <w:t xml:space="preserve">Izvješće prema članku 5(2) Direktive 2010/31/EU i članku 6 Uredbe (EU) 244/2012 od 16.1.2012.: Minimalni zahtjevi na energetsko svojstvo zgrada sportskih dvorana za </w:t>
      </w:r>
      <w:r w:rsidRPr="00833E83">
        <w:lastRenderedPageBreak/>
        <w:t>kontinentalnu i primorsku Hrvatsku, za razdoblje do 1970., 1971. - 2005., iza 2006., i gotovo nula energetske zgrade;</w:t>
      </w:r>
    </w:p>
    <w:p w14:paraId="3B26ED37" w14:textId="77777777" w:rsidR="009D1558" w:rsidRPr="00833E83" w:rsidRDefault="009D1558" w:rsidP="00EE7021">
      <w:pPr>
        <w:pStyle w:val="ListParagraph"/>
        <w:numPr>
          <w:ilvl w:val="0"/>
          <w:numId w:val="35"/>
        </w:numPr>
        <w:spacing w:line="240" w:lineRule="auto"/>
        <w:jc w:val="both"/>
      </w:pPr>
      <w:r w:rsidRPr="00833E83">
        <w:t>Plan za povećanje broja zgrada gotovo nulte energije do 2020. godine.</w:t>
      </w:r>
    </w:p>
    <w:p w14:paraId="3A4D2467" w14:textId="37BDF906" w:rsidR="00CD596A" w:rsidRPr="00833E83" w:rsidRDefault="00CD596A" w:rsidP="00E92750">
      <w:pPr>
        <w:pStyle w:val="NoSpacing"/>
        <w:spacing w:after="240"/>
      </w:pPr>
      <w:r w:rsidRPr="00833E83">
        <w:t>Zakon o energiji kao temeljni energetski zakon regulira razvitak energetskog sektora Hrvatske te definira Strategiju energetskog razvitka kao osnovni akt kojim se utvrđuje energetska politika i planira energetski razvitak Republike Hrvatske. Definiraju se mjere za sigurnu i pouzdanu opskrbu energijom i njezinu učinkovitu proizvodnju i korištenje, akti kojima se utvrđuje i na temelju kojih se provodi energetska politika i planiranje energetskog razvitka te osnovna pitanja obavljanja energetskih djelatnosti. Na temelju Strategije energetskog razvoja i Programa provedbe Strategije energetskog razvoja te planova i programa jedinica lokalne i područne (regionalne) samouprave, energetski subjekti donose programe i planove izgradnje, održavanja i korištenja energetskih objekata te drugih potreba u obavljanju energetske djelatnosti, uvažavajući obveze koje pro</w:t>
      </w:r>
      <w:r w:rsidR="00366E54" w:rsidRPr="00833E83">
        <w:t>izlaze iz međunarodnih ugovora.</w:t>
      </w:r>
    </w:p>
    <w:p w14:paraId="3C7A570A" w14:textId="12FCE741" w:rsidR="00CD596A" w:rsidRPr="00833E83" w:rsidRDefault="000F64C5" w:rsidP="00E92750">
      <w:pPr>
        <w:spacing w:line="240" w:lineRule="auto"/>
        <w:jc w:val="both"/>
        <w:rPr>
          <w:rFonts w:ascii="Calibri" w:eastAsia="Calibri" w:hAnsi="Calibri" w:cs="Times New Roman"/>
        </w:rPr>
      </w:pPr>
      <w:r w:rsidRPr="00833E83">
        <w:rPr>
          <w:rFonts w:ascii="Calibri" w:eastAsia="Calibri" w:hAnsi="Calibri" w:cs="Times New Roman"/>
        </w:rPr>
        <w:t>2015</w:t>
      </w:r>
      <w:r w:rsidR="00CD596A" w:rsidRPr="00833E83">
        <w:rPr>
          <w:rFonts w:ascii="Calibri" w:eastAsia="Calibri" w:hAnsi="Calibri" w:cs="Times New Roman"/>
        </w:rPr>
        <w:t xml:space="preserve">. godine Vlada Republike Hrvatske je donijela Zakon o energetskoj učinkovitosti kojim se uređuje područje učinkovitog korištenja energije, donošenje planova na lokalnoj, područnoj (regionalnoj) i nacionalnoj razini za poboljšanje energetske učinkovitosti te njihovo provođenje, mjere energetske učinkovitosti, obveze energetske učinkovitosti, obveze regulatornog tijela za energetiku, operatora prijenosnog sustava, operatora distribucijskog sustava i operatora tržišta energije u svezi s prijenosom, odnosno transportom i distribucijom energije, obveze distributera energije, opskrbljivača energije i/ili vode te posebice djelatnost energetske usluge, utvrđivanje ušteda energije i prava potrošača u primjeni mjera energetske učinkovitosti. </w:t>
      </w:r>
    </w:p>
    <w:p w14:paraId="0BB030C6" w14:textId="43020306" w:rsidR="004A27A8"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U pripremi i provođenju politike energetske učinkovitosti Ministarstvo izrađuje Nacionalni akcijski plan energetske učinkovitosti koji obuhvaća izvješće o ocjeni stanja provedbe politike energetske učinkovitosti, utvrđuje ostvarene uštede energije u prethodnom trogodišnjem razdoblju te daje smjernice za sljedeće razdoblje sa detaljnim raspisom planiranih mjera. Akcijski plan se dostavlja Europskoj komisiji koja pregledava akcijske planove svih država članica, uključujući i Hrvatsku, te analizira ostvarenje cilja na razini čitave Europske unije.</w:t>
      </w:r>
      <w:r w:rsidR="004A27A8" w:rsidRPr="00833E83">
        <w:rPr>
          <w:rFonts w:ascii="Calibri" w:eastAsia="Calibri" w:hAnsi="Calibri" w:cs="Times New Roman"/>
        </w:rPr>
        <w:t xml:space="preserve"> Trenutno je na snazi Treći </w:t>
      </w:r>
      <w:r w:rsidR="004A27A8" w:rsidRPr="00833E83">
        <w:t xml:space="preserve">Nacionalni akcijski plan energetske učinkovitosti RH za razdoblje od </w:t>
      </w:r>
      <w:r w:rsidR="000F64C5" w:rsidRPr="00833E83">
        <w:t>2015</w:t>
      </w:r>
      <w:r w:rsidR="004A27A8" w:rsidRPr="00833E83">
        <w:t xml:space="preserve">. do 2016. godine. </w:t>
      </w:r>
    </w:p>
    <w:p w14:paraId="462B2AC5" w14:textId="77777777"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 xml:space="preserve">Zakon o obnovljivim izvorima energije i visokoučinkovitoj kogeneraciji uređuje planiranje i poticanje proizvodnje i potrošnje električne energije proizvedene u proizvodnim postrojenjima koja koriste obnovljive izvore energije i visokoučinkovitu kogeneraciju, utvrđuje mjere poticanja za proizvodnju električne energije korištenjem obnovljivih izvora energije i visokoučinkovite kogeneracije, uređuje provedbu sustava poticanja proizvodnje električne energije iz obnovljivih izvora energije i visokoučinkovite kogeneracije, uređuje pitanja izgradnje postrojenja za proizvodnju električne energije iz obnovljivih izvora energije i visokoučinkovite kogeneracije na državnom zemljištu, i dr. </w:t>
      </w:r>
    </w:p>
    <w:p w14:paraId="01149D10" w14:textId="77777777"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Nacionalni cilj korištenja energije iz obnovljivih izvora energije je obavezan cilj u Republici Hrvatskoj u 2020. godini, a određuje se kao minimalni udjel energije iz obnovljivih izvora energije u ukupnoj neposrednoj potrošnji energije i iznosi 20%.</w:t>
      </w:r>
    </w:p>
    <w:p w14:paraId="0EDA2BF5" w14:textId="77777777"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Zakonom o gradnji uređuje se projektiranje, građenje, uporaba i održavanje građevina te provedba upravnih i drugih postupaka s tim u vezi radi osiguranja zaštite i uređenja prostora u skladu s propisima koji uređuju prostorno uređenje te osiguranja temeljnih zahtjeva za građevinu i drugih uvjeta propisanih za građevine ovim Zakonom i propisima donesenim na temelju ovoga Zakona i posebnim propisima.</w:t>
      </w:r>
    </w:p>
    <w:p w14:paraId="62D511DF" w14:textId="77777777"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lastRenderedPageBreak/>
        <w:t>Zakon definira kako građevine i njihove instalacije za grijanje, hlađenje, osvjetljenje i provjetravanje moraju biti projektirane i izgrađene tako da količina energije koju zahtijevaju ostane na niskoj razini, uzimajući u obzir korisnike i klimatske uvjete smještaja građevine. Građevine također moraju biti energetski učinkovite, tako da koriste što je moguće manje energije tijekom građenja i razgradnje.</w:t>
      </w:r>
    </w:p>
    <w:p w14:paraId="231B8260" w14:textId="77777777" w:rsidR="00CD596A" w:rsidRPr="00833E83" w:rsidRDefault="00CD596A" w:rsidP="00E92750">
      <w:pPr>
        <w:spacing w:line="240" w:lineRule="auto"/>
        <w:jc w:val="both"/>
        <w:rPr>
          <w:rFonts w:ascii="Calibri" w:eastAsia="Calibri" w:hAnsi="Calibri" w:cs="Times New Roman"/>
        </w:rPr>
      </w:pPr>
      <w:r w:rsidRPr="00833E83">
        <w:rPr>
          <w:rFonts w:ascii="Calibri" w:eastAsia="Calibri" w:hAnsi="Calibri" w:cs="Times New Roman"/>
        </w:rPr>
        <w:t>Zahtjevi energetske učinkovitosti pojedinih vrsta zgrada, koji uključuju minimalne zahtjeve za energetska svojstva zgrade i njezinih posebnih dijelova, način izračuna energetskog svojstva zgrade, minimalni obvezni udio obnovljivih izvora u ukupnoj potrošnji energije zgrade, kriterije za zgrade gotovo nulte energije, sadržaj elaborata alternativnih sustava opskrbe energijom te druge zahtjeve vezane uz energetsku učinkovitost zgrade, kao i dostavu izvješća Europskoj komisiji vezano za pretpostavke, izračune i rezultate troškovno optimalnih analiza propisuju se tehničkim propisom dok se energetskim certifikatom predočuju energetska svojstva zgrade, odnosno njezina posebnog dijela.</w:t>
      </w:r>
    </w:p>
    <w:p w14:paraId="71655D50" w14:textId="76C43AE4" w:rsidR="00CD596A" w:rsidRPr="00833E83" w:rsidRDefault="00CD596A" w:rsidP="00E92750">
      <w:pPr>
        <w:pStyle w:val="Heading2"/>
        <w:spacing w:after="240"/>
        <w:rPr>
          <w:rFonts w:eastAsia="Calibri"/>
        </w:rPr>
      </w:pPr>
      <w:bookmarkStart w:id="513" w:name="_Toc438558880"/>
      <w:bookmarkStart w:id="514" w:name="_Toc468345427"/>
      <w:r w:rsidRPr="00833E83">
        <w:rPr>
          <w:rFonts w:eastAsia="Calibri"/>
        </w:rPr>
        <w:t xml:space="preserve">Strateški dokumenti </w:t>
      </w:r>
      <w:bookmarkEnd w:id="513"/>
      <w:r w:rsidR="00FF1EEC" w:rsidRPr="00833E83">
        <w:rPr>
          <w:rFonts w:eastAsia="Calibri"/>
        </w:rPr>
        <w:t xml:space="preserve">Grada </w:t>
      </w:r>
      <w:r w:rsidR="000F64C5" w:rsidRPr="00833E83">
        <w:rPr>
          <w:rFonts w:eastAsia="Calibri"/>
        </w:rPr>
        <w:t>Zagreba</w:t>
      </w:r>
      <w:bookmarkEnd w:id="514"/>
    </w:p>
    <w:p w14:paraId="022D80B3" w14:textId="154EF795" w:rsidR="00B51CEF" w:rsidRPr="00833E83" w:rsidRDefault="00B51CEF" w:rsidP="00E92750">
      <w:pPr>
        <w:spacing w:line="240" w:lineRule="auto"/>
        <w:jc w:val="both"/>
        <w:rPr>
          <w:rFonts w:cs="Times New Roman"/>
        </w:rPr>
      </w:pPr>
      <w:r w:rsidRPr="00833E83">
        <w:rPr>
          <w:rFonts w:cs="Times New Roman"/>
        </w:rPr>
        <w:t>Akcijski plan energetski održivog razvitka Grada Zagreba</w:t>
      </w:r>
      <w:r w:rsidRPr="00833E83">
        <w:rPr>
          <w:rFonts w:cs="Times New Roman"/>
          <w:i/>
          <w:vertAlign w:val="superscript"/>
        </w:rPr>
        <w:footnoteReference w:id="38"/>
      </w:r>
      <w:r w:rsidRPr="00833E83">
        <w:rPr>
          <w:rFonts w:cs="Times New Roman"/>
          <w:i/>
        </w:rPr>
        <w:t xml:space="preserve"> </w:t>
      </w:r>
      <w:r w:rsidRPr="00833E83">
        <w:rPr>
          <w:rFonts w:cs="Times New Roman"/>
        </w:rPr>
        <w:t>prihvaćen od Gr</w:t>
      </w:r>
      <w:r w:rsidR="007E2A5E" w:rsidRPr="00833E83">
        <w:rPr>
          <w:rFonts w:cs="Times New Roman"/>
        </w:rPr>
        <w:t>adske skupštine Grada Zagreba 20</w:t>
      </w:r>
      <w:r w:rsidRPr="00833E83">
        <w:rPr>
          <w:rFonts w:cs="Times New Roman"/>
        </w:rPr>
        <w:t>. travnja 2010., koji slijedi iz potpisanog Sporazuma gra</w:t>
      </w:r>
      <w:r w:rsidR="00ED2A1B">
        <w:rPr>
          <w:rFonts w:cs="Times New Roman"/>
        </w:rPr>
        <w:t>donačelnika</w:t>
      </w:r>
      <w:r w:rsidRPr="00833E83">
        <w:rPr>
          <w:rFonts w:cs="Times New Roman"/>
        </w:rPr>
        <w:t xml:space="preserve"> prihvaćenog od Gradske skupštine Grada Zagreba 30. listopada 2008., potpisivanjem kojeg se gradonačelnici obvezuju na provedbu programa 20/20/20 i primjenu mnogobrojnih mjera energetske učinkovitosti kojima će u konačnici do 2020. pridonijeti ispunjavanju četiriju osnovnih ciljeva Europske energetske politike iz 2007.: smanjenju emisije stakleničkih plinova za 20%, povećanju energetske učinkovitosti za 20%, povećanju udjela obnovljivih izvora energije na 20%, povećanju udjela biogoriva u prometu na 10%.</w:t>
      </w:r>
    </w:p>
    <w:p w14:paraId="37D200C9" w14:textId="1AD5DF4B" w:rsidR="004A27A8" w:rsidRPr="00833E83" w:rsidRDefault="004A27A8" w:rsidP="00E92750">
      <w:pPr>
        <w:spacing w:line="240" w:lineRule="auto"/>
        <w:jc w:val="both"/>
        <w:rPr>
          <w:rFonts w:ascii="Calibri" w:eastAsia="Calibri" w:hAnsi="Calibri" w:cs="Times New Roman"/>
        </w:rPr>
      </w:pPr>
      <w:r w:rsidRPr="00833E83">
        <w:rPr>
          <w:rFonts w:ascii="Calibri" w:eastAsia="Calibri" w:hAnsi="Calibri" w:cs="Times New Roman"/>
        </w:rPr>
        <w:t>Sukladno odredbama Zakona o energetskoj učinkovitosti (NN 127/14), svaki veliki grad (pre</w:t>
      </w:r>
      <w:r w:rsidR="00B51CEF" w:rsidRPr="00833E83">
        <w:rPr>
          <w:rFonts w:ascii="Calibri" w:eastAsia="Calibri" w:hAnsi="Calibri" w:cs="Times New Roman"/>
        </w:rPr>
        <w:t xml:space="preserve">ma definiciji grad s više od 35 </w:t>
      </w:r>
      <w:r w:rsidRPr="00833E83">
        <w:rPr>
          <w:rFonts w:ascii="Calibri" w:eastAsia="Calibri" w:hAnsi="Calibri" w:cs="Times New Roman"/>
        </w:rPr>
        <w:t xml:space="preserve">000 stanovnika) u Republici Hrvatskoj obavezan je izraditi Akcijski plan energetske učinkovitosti za trogodišnje razdoblje i Godišnji plan energetske učinkovitosti. Slijedom zakonske obveze izrađen je Godišnji plan energetske učinkovitosti Grada </w:t>
      </w:r>
      <w:r w:rsidR="000F64C5" w:rsidRPr="00833E83">
        <w:rPr>
          <w:rFonts w:ascii="Calibri" w:eastAsia="Calibri" w:hAnsi="Calibri" w:cs="Times New Roman"/>
        </w:rPr>
        <w:t>Zagreba</w:t>
      </w:r>
      <w:r w:rsidR="00B51CEF" w:rsidRPr="00833E83">
        <w:rPr>
          <w:rFonts w:ascii="Calibri" w:eastAsia="Calibri" w:hAnsi="Calibri" w:cs="Times New Roman"/>
        </w:rPr>
        <w:t xml:space="preserve"> za 2015. i 2016. godinu dok je Akcijski p</w:t>
      </w:r>
      <w:r w:rsidR="004F23EA">
        <w:rPr>
          <w:rFonts w:ascii="Calibri" w:eastAsia="Calibri" w:hAnsi="Calibri" w:cs="Times New Roman"/>
        </w:rPr>
        <w:t xml:space="preserve">lan energetske učinkovitosti u </w:t>
      </w:r>
      <w:r w:rsidR="00B51CEF" w:rsidRPr="00833E83">
        <w:rPr>
          <w:rFonts w:ascii="Calibri" w:eastAsia="Calibri" w:hAnsi="Calibri" w:cs="Times New Roman"/>
        </w:rPr>
        <w:t>završnoj fazi izrade.</w:t>
      </w:r>
    </w:p>
    <w:p w14:paraId="0E74E083" w14:textId="77777777" w:rsidR="004A27A8" w:rsidRPr="00833E83" w:rsidRDefault="004A27A8" w:rsidP="00E92750">
      <w:pPr>
        <w:spacing w:line="240" w:lineRule="auto"/>
        <w:jc w:val="both"/>
        <w:rPr>
          <w:rFonts w:ascii="Calibri" w:eastAsia="Calibri" w:hAnsi="Calibri" w:cs="Times New Roman"/>
        </w:rPr>
      </w:pPr>
      <w:r w:rsidRPr="00833E83">
        <w:rPr>
          <w:rFonts w:ascii="Calibri" w:eastAsia="Calibri" w:hAnsi="Calibri" w:cs="Times New Roman"/>
        </w:rPr>
        <w:t>Akcijski plan je planski dokument koji se donosi za trogodišnje razdoblje u skladu s Nacionalnim akcijskim planom, a kojim se utvrđuje provedba politike za poboljšanje energetske učinkovitosti u jedinici područne (regionalne) samouprave, odnosno na području velikog grada. Godišnji plan je planski dokument koji se donosi do kraja tekuće godine za narednu godinu, a kojim se utvrđuje provedba politike za poboljšanje energetske učinkovitosti na području jedinice područne (regionalne) samouprave, odnosno velikoga grada u skladu s Nacionalnim akcijskim planom i Akcijskim planom.</w:t>
      </w:r>
    </w:p>
    <w:p w14:paraId="7DA12ACF" w14:textId="0655C895" w:rsidR="004160FA" w:rsidRPr="007C7920" w:rsidRDefault="00B51CEF" w:rsidP="00E92750">
      <w:pPr>
        <w:spacing w:line="240" w:lineRule="auto"/>
        <w:jc w:val="both"/>
        <w:rPr>
          <w:rFonts w:ascii="Calibri" w:eastAsia="Calibri" w:hAnsi="Calibri" w:cs="Times New Roman"/>
          <w:highlight w:val="yellow"/>
        </w:rPr>
      </w:pPr>
      <w:r w:rsidRPr="00833E83">
        <w:rPr>
          <w:rFonts w:ascii="Calibri" w:eastAsia="Calibri" w:hAnsi="Calibri" w:cs="Times New Roman"/>
        </w:rPr>
        <w:t>Grad Zagreb je dosadašnjom provedbom projekata i aktivnosti iz područja energetske učinkovitosti i obnovljivih izvora energije, kao i izradom strateških dokumenata energetskog razvitka Grada, pokazao usmjerenost ka ispunjavanju zahtjeva Europske unije vezanima uz racionalnu potrošnju energije, kao i strateških ciljeva Energetske unije i Strategije 2030.</w:t>
      </w:r>
      <w:r w:rsidR="004160FA" w:rsidRPr="007C7920">
        <w:rPr>
          <w:rFonts w:eastAsia="Times New Roman"/>
          <w:b/>
          <w:highlight w:val="yellow"/>
        </w:rPr>
        <w:br w:type="page"/>
      </w:r>
    </w:p>
    <w:p w14:paraId="2AF43EF0" w14:textId="0C8F2586" w:rsidR="00F7530A" w:rsidRPr="008B0DA6" w:rsidRDefault="000F7899" w:rsidP="00E92750">
      <w:pPr>
        <w:pStyle w:val="Heading1"/>
        <w:spacing w:before="240" w:after="240" w:line="240" w:lineRule="auto"/>
        <w:ind w:left="431" w:hanging="431"/>
        <w:jc w:val="both"/>
        <w:rPr>
          <w:rFonts w:eastAsia="Times New Roman"/>
          <w:b/>
        </w:rPr>
      </w:pPr>
      <w:bookmarkStart w:id="515" w:name="_Toc468345428"/>
      <w:r>
        <w:rPr>
          <w:rFonts w:eastAsia="Times New Roman"/>
          <w:b/>
        </w:rPr>
        <w:lastRenderedPageBreak/>
        <w:t>ZAKLJUČAK</w:t>
      </w:r>
      <w:r w:rsidR="004160FA" w:rsidRPr="008B0DA6">
        <w:rPr>
          <w:rFonts w:eastAsia="Times New Roman"/>
          <w:b/>
        </w:rPr>
        <w:t xml:space="preserve"> I PREPORUKE</w:t>
      </w:r>
      <w:bookmarkEnd w:id="515"/>
    </w:p>
    <w:p w14:paraId="64BCA402" w14:textId="40E0F56A" w:rsidR="00C06BF1" w:rsidRPr="008B0DA6" w:rsidRDefault="00C06BF1" w:rsidP="00E92750">
      <w:pPr>
        <w:spacing w:line="240" w:lineRule="auto"/>
        <w:jc w:val="both"/>
      </w:pPr>
      <w:r w:rsidRPr="008B0DA6">
        <w:t xml:space="preserve">Energetska politika Grada </w:t>
      </w:r>
      <w:r w:rsidR="000F64C5" w:rsidRPr="008B0DA6">
        <w:t>Zagreba</w:t>
      </w:r>
      <w:r w:rsidRPr="008B0DA6">
        <w:t xml:space="preserve"> </w:t>
      </w:r>
      <w:r w:rsidR="009E4A30" w:rsidRPr="008B0DA6">
        <w:t xml:space="preserve">već je </w:t>
      </w:r>
      <w:r w:rsidRPr="008B0DA6">
        <w:t>dugi niz godina usmjerena prema održivom energetskom razvitku gradskog područja baziranom na načelima zaštite okoliša, energetske učinkovitosti, korištenja obnovljivih izvora energije i održive gradnje.</w:t>
      </w:r>
    </w:p>
    <w:p w14:paraId="227FB2A3" w14:textId="10D0DAAB" w:rsidR="0030788B" w:rsidRDefault="00C06BF1" w:rsidP="0030788B">
      <w:pPr>
        <w:spacing w:line="240" w:lineRule="auto"/>
        <w:jc w:val="both"/>
        <w:rPr>
          <w:rFonts w:cstheme="minorHAnsi"/>
        </w:rPr>
      </w:pPr>
      <w:r w:rsidRPr="008B0DA6">
        <w:t xml:space="preserve">Grad </w:t>
      </w:r>
      <w:r w:rsidR="000F64C5" w:rsidRPr="008B0DA6">
        <w:t>Zagreb</w:t>
      </w:r>
      <w:r w:rsidRPr="008B0DA6">
        <w:t xml:space="preserve"> </w:t>
      </w:r>
      <w:r w:rsidRPr="007E2A5E">
        <w:t>pristupio je Spora</w:t>
      </w:r>
      <w:r w:rsidR="00866CF5" w:rsidRPr="007E2A5E">
        <w:t xml:space="preserve">zumu gradonačelnika još </w:t>
      </w:r>
      <w:r w:rsidR="005D1B40" w:rsidRPr="007E2A5E">
        <w:t>30. listopada</w:t>
      </w:r>
      <w:r w:rsidR="007C1F4A" w:rsidRPr="007E2A5E">
        <w:t xml:space="preserve"> </w:t>
      </w:r>
      <w:r w:rsidR="005D1B40" w:rsidRPr="007E2A5E">
        <w:t>2008</w:t>
      </w:r>
      <w:r w:rsidRPr="007E2A5E">
        <w:t xml:space="preserve">. godine preuzevši time obvezu izrade, provedbe i izvještavanja o provedbi Akcijskog plana energetski održivog razvitka Grada. Akcijski plan </w:t>
      </w:r>
      <w:r w:rsidR="009E4A30" w:rsidRPr="007E2A5E">
        <w:t xml:space="preserve">Grada </w:t>
      </w:r>
      <w:r w:rsidR="000F64C5" w:rsidRPr="007E2A5E">
        <w:t>Zagreba</w:t>
      </w:r>
      <w:r w:rsidR="009E4A30" w:rsidRPr="007E2A5E">
        <w:t xml:space="preserve"> izrađen je </w:t>
      </w:r>
      <w:r w:rsidRPr="007E2A5E">
        <w:t>u skladu sa smjernicama Europske komisije, a isti j</w:t>
      </w:r>
      <w:r w:rsidR="00866CF5" w:rsidRPr="007E2A5E">
        <w:t xml:space="preserve">e prihvaćen na Gradskom vijeću </w:t>
      </w:r>
      <w:r w:rsidR="008B0DA6" w:rsidRPr="007E2A5E">
        <w:t>20</w:t>
      </w:r>
      <w:r w:rsidR="005D1B40" w:rsidRPr="007E2A5E">
        <w:t>. travnja</w:t>
      </w:r>
      <w:r w:rsidR="00866CF5" w:rsidRPr="007E2A5E">
        <w:t xml:space="preserve"> 2010</w:t>
      </w:r>
      <w:r w:rsidRPr="007E2A5E">
        <w:t xml:space="preserve">. godine kao službeni provedbeni dokument. U sklopu Akcijskog plana energetski </w:t>
      </w:r>
      <w:r w:rsidRPr="00DD6709">
        <w:t xml:space="preserve">održivog razvitka </w:t>
      </w:r>
      <w:r w:rsidR="00866CF5" w:rsidRPr="00DD6709">
        <w:t xml:space="preserve">Grada </w:t>
      </w:r>
      <w:r w:rsidR="000F64C5" w:rsidRPr="00DD6709">
        <w:t>Zagreba</w:t>
      </w:r>
      <w:r w:rsidR="00866CF5" w:rsidRPr="00DD6709">
        <w:t xml:space="preserve"> </w:t>
      </w:r>
      <w:r w:rsidRPr="00DD6709">
        <w:t>analizirana je energetska potrošnja tri sektora n</w:t>
      </w:r>
      <w:r w:rsidR="00287324" w:rsidRPr="00DD6709">
        <w:t>eposredne potrošnje</w:t>
      </w:r>
      <w:r w:rsidR="002D74A6">
        <w:t xml:space="preserve"> energije: z</w:t>
      </w:r>
      <w:r w:rsidR="00866CF5" w:rsidRPr="00DD6709">
        <w:t>gradarstva</w:t>
      </w:r>
      <w:r w:rsidR="002D74A6">
        <w:t>, p</w:t>
      </w:r>
      <w:r w:rsidRPr="00DD6709">
        <w:t>romet</w:t>
      </w:r>
      <w:r w:rsidR="002D74A6">
        <w:t>a i j</w:t>
      </w:r>
      <w:r w:rsidR="00866CF5" w:rsidRPr="00DD6709">
        <w:t>avne rasvjete</w:t>
      </w:r>
      <w:r w:rsidRPr="00DD6709">
        <w:t xml:space="preserve"> te je izrađen </w:t>
      </w:r>
      <w:r w:rsidRPr="00B90ABF">
        <w:t>pripadajući Ref</w:t>
      </w:r>
      <w:r w:rsidR="00866CF5" w:rsidRPr="00B90ABF">
        <w:t xml:space="preserve">erentni inventar emisija </w:t>
      </w:r>
      <w:r w:rsidR="007E2A5E" w:rsidRPr="00B90ABF">
        <w:t>CO</w:t>
      </w:r>
      <w:r w:rsidR="007E2A5E" w:rsidRPr="00B90ABF">
        <w:rPr>
          <w:vertAlign w:val="subscript"/>
        </w:rPr>
        <w:t>2</w:t>
      </w:r>
      <w:r w:rsidR="007E2A5E" w:rsidRPr="00B90ABF">
        <w:t xml:space="preserve"> </w:t>
      </w:r>
      <w:r w:rsidR="00866CF5" w:rsidRPr="00B90ABF">
        <w:t>za 2008</w:t>
      </w:r>
      <w:r w:rsidRPr="00B90ABF">
        <w:t>. godinu. Na os</w:t>
      </w:r>
      <w:r w:rsidR="00864F6A" w:rsidRPr="00B90ABF">
        <w:t>novu provedenih rezultata ukupan Referentni inventar</w:t>
      </w:r>
      <w:r w:rsidRPr="00B90ABF">
        <w:t xml:space="preserve"> emisija</w:t>
      </w:r>
      <w:r w:rsidR="00864F6A" w:rsidRPr="00B90ABF">
        <w:t xml:space="preserve"> CO</w:t>
      </w:r>
      <w:r w:rsidR="00864F6A" w:rsidRPr="00B90ABF">
        <w:rPr>
          <w:vertAlign w:val="subscript"/>
        </w:rPr>
        <w:t>2</w:t>
      </w:r>
      <w:r w:rsidR="00864F6A" w:rsidRPr="00B90ABF">
        <w:t xml:space="preserve"> za </w:t>
      </w:r>
      <w:r w:rsidR="004912C1" w:rsidRPr="00B90ABF">
        <w:t>2</w:t>
      </w:r>
      <w:r w:rsidR="00864F6A" w:rsidRPr="00B90ABF">
        <w:t>008. godinu</w:t>
      </w:r>
      <w:r w:rsidRPr="00B90ABF">
        <w:t xml:space="preserve"> </w:t>
      </w:r>
      <w:r w:rsidR="00864F6A" w:rsidRPr="00B90ABF">
        <w:t>iznosio</w:t>
      </w:r>
      <w:r w:rsidR="003860BD" w:rsidRPr="00B90ABF">
        <w:rPr>
          <w:lang w:eastAsia="hr-HR"/>
        </w:rPr>
        <w:t xml:space="preserve"> </w:t>
      </w:r>
      <w:r w:rsidR="00DD6709" w:rsidRPr="00B90ABF">
        <w:rPr>
          <w:lang w:eastAsia="hr-HR"/>
        </w:rPr>
        <w:t>je 2 794</w:t>
      </w:r>
      <w:r w:rsidR="003860BD" w:rsidRPr="00B90ABF">
        <w:rPr>
          <w:lang w:eastAsia="hr-HR"/>
        </w:rPr>
        <w:t xml:space="preserve"> kt CO</w:t>
      </w:r>
      <w:r w:rsidR="003860BD" w:rsidRPr="00B90ABF">
        <w:rPr>
          <w:vertAlign w:val="subscript"/>
          <w:lang w:eastAsia="hr-HR"/>
        </w:rPr>
        <w:t>2</w:t>
      </w:r>
      <w:r w:rsidR="003860BD" w:rsidRPr="00B90ABF">
        <w:rPr>
          <w:lang w:eastAsia="hr-HR"/>
        </w:rPr>
        <w:t>, od čega</w:t>
      </w:r>
      <w:r w:rsidR="00DD6709" w:rsidRPr="00B90ABF">
        <w:rPr>
          <w:lang w:eastAsia="hr-HR"/>
        </w:rPr>
        <w:t xml:space="preserve"> emisija sektora zgradarstva 1 7</w:t>
      </w:r>
      <w:r w:rsidR="00B90ABF" w:rsidRPr="00B90ABF">
        <w:rPr>
          <w:lang w:eastAsia="hr-HR"/>
        </w:rPr>
        <w:t>60</w:t>
      </w:r>
      <w:r w:rsidR="003860BD" w:rsidRPr="00B90ABF">
        <w:rPr>
          <w:lang w:eastAsia="hr-HR"/>
        </w:rPr>
        <w:t xml:space="preserve"> kt CO</w:t>
      </w:r>
      <w:r w:rsidR="003860BD" w:rsidRPr="00B90ABF">
        <w:rPr>
          <w:vertAlign w:val="subscript"/>
          <w:lang w:eastAsia="hr-HR"/>
        </w:rPr>
        <w:t>2</w:t>
      </w:r>
      <w:r w:rsidR="00DD6709" w:rsidRPr="00B90ABF">
        <w:rPr>
          <w:lang w:eastAsia="hr-HR"/>
        </w:rPr>
        <w:t>, sektora prometa 1 005</w:t>
      </w:r>
      <w:r w:rsidR="003860BD" w:rsidRPr="00B90ABF">
        <w:rPr>
          <w:lang w:eastAsia="hr-HR"/>
        </w:rPr>
        <w:t xml:space="preserve"> kt CO</w:t>
      </w:r>
      <w:r w:rsidR="003860BD" w:rsidRPr="00B90ABF">
        <w:rPr>
          <w:vertAlign w:val="subscript"/>
          <w:lang w:eastAsia="hr-HR"/>
        </w:rPr>
        <w:t>2</w:t>
      </w:r>
      <w:r w:rsidR="00E068DF" w:rsidRPr="00B90ABF">
        <w:rPr>
          <w:lang w:eastAsia="hr-HR"/>
        </w:rPr>
        <w:t xml:space="preserve"> te javne rasvjete</w:t>
      </w:r>
      <w:r w:rsidR="003860BD" w:rsidRPr="00B90ABF">
        <w:rPr>
          <w:lang w:eastAsia="hr-HR"/>
        </w:rPr>
        <w:t xml:space="preserve"> </w:t>
      </w:r>
      <w:r w:rsidR="00DD6709" w:rsidRPr="00B90ABF">
        <w:rPr>
          <w:rFonts w:eastAsia="Times New Roman" w:cs="Times New Roman"/>
          <w:bCs/>
          <w:color w:val="000000"/>
          <w:lang w:eastAsia="hr-HR"/>
        </w:rPr>
        <w:t>29</w:t>
      </w:r>
      <w:r w:rsidR="00E068DF" w:rsidRPr="00B90ABF">
        <w:rPr>
          <w:rFonts w:eastAsia="Times New Roman" w:cs="Times New Roman"/>
          <w:bCs/>
          <w:color w:val="000000"/>
          <w:lang w:eastAsia="hr-HR"/>
        </w:rPr>
        <w:t xml:space="preserve"> kt CO</w:t>
      </w:r>
      <w:r w:rsidR="00E068DF" w:rsidRPr="00B90ABF">
        <w:rPr>
          <w:rFonts w:eastAsia="Times New Roman" w:cs="Times New Roman"/>
          <w:bCs/>
          <w:color w:val="000000"/>
          <w:vertAlign w:val="subscript"/>
          <w:lang w:eastAsia="hr-HR"/>
        </w:rPr>
        <w:t>2</w:t>
      </w:r>
      <w:r w:rsidR="00E068DF" w:rsidRPr="00B90ABF">
        <w:rPr>
          <w:rFonts w:eastAsia="Times New Roman" w:cs="Times New Roman"/>
          <w:b/>
          <w:bCs/>
          <w:color w:val="000000"/>
          <w:sz w:val="20"/>
          <w:szCs w:val="20"/>
          <w:lang w:eastAsia="hr-HR"/>
        </w:rPr>
        <w:t>.</w:t>
      </w:r>
      <w:r w:rsidR="0030788B" w:rsidRPr="0030788B">
        <w:rPr>
          <w:rFonts w:cstheme="minorHAnsi"/>
        </w:rPr>
        <w:t xml:space="preserve"> </w:t>
      </w:r>
    </w:p>
    <w:p w14:paraId="4BA14A4F" w14:textId="1DC813C3" w:rsidR="0030788B" w:rsidRPr="004B626D" w:rsidRDefault="0030788B" w:rsidP="0030788B">
      <w:pPr>
        <w:spacing w:line="240" w:lineRule="auto"/>
        <w:jc w:val="both"/>
        <w:rPr>
          <w:rFonts w:cstheme="minorHAnsi"/>
        </w:rPr>
      </w:pPr>
      <w:r w:rsidRPr="00F87476">
        <w:rPr>
          <w:rFonts w:cstheme="minorHAnsi"/>
        </w:rPr>
        <w:t xml:space="preserve">Na temelju izrađenog Referentnog inventara </w:t>
      </w:r>
      <w:r>
        <w:rPr>
          <w:rFonts w:cstheme="minorHAnsi"/>
        </w:rPr>
        <w:t>emisije CO</w:t>
      </w:r>
      <w:r w:rsidRPr="0030788B">
        <w:rPr>
          <w:rFonts w:cstheme="minorHAnsi"/>
          <w:vertAlign w:val="subscript"/>
        </w:rPr>
        <w:t>2</w:t>
      </w:r>
      <w:r>
        <w:rPr>
          <w:rFonts w:cstheme="minorHAnsi"/>
        </w:rPr>
        <w:t xml:space="preserve"> </w:t>
      </w:r>
      <w:r w:rsidRPr="00F87476">
        <w:rPr>
          <w:rFonts w:cstheme="minorHAnsi"/>
        </w:rPr>
        <w:t xml:space="preserve">postavljen je indikativni cilj </w:t>
      </w:r>
      <w:r w:rsidRPr="004B626D">
        <w:rPr>
          <w:rFonts w:cstheme="minorHAnsi"/>
        </w:rPr>
        <w:t>smanjenja emisije CO</w:t>
      </w:r>
      <w:r w:rsidRPr="004B626D">
        <w:rPr>
          <w:rFonts w:cstheme="minorHAnsi"/>
          <w:vertAlign w:val="subscript"/>
        </w:rPr>
        <w:t>2</w:t>
      </w:r>
      <w:r w:rsidRPr="004B626D">
        <w:rPr>
          <w:rFonts w:cstheme="minorHAnsi"/>
        </w:rPr>
        <w:t xml:space="preserve"> od 21% do 2020. godine u odnosu na 2008. godinu. Postavljen indikativni cilj smanjenja emisije CO</w:t>
      </w:r>
      <w:r w:rsidRPr="004B626D">
        <w:rPr>
          <w:rFonts w:cstheme="minorHAnsi"/>
          <w:vertAlign w:val="subscript"/>
        </w:rPr>
        <w:t>2</w:t>
      </w:r>
      <w:r w:rsidRPr="004B626D">
        <w:rPr>
          <w:rFonts w:cstheme="minorHAnsi"/>
        </w:rPr>
        <w:t xml:space="preserve"> od 21% za Grad Zagreb iznosi </w:t>
      </w:r>
      <w:r w:rsidRPr="004B626D">
        <w:rPr>
          <w:rFonts w:cstheme="minorHAnsi"/>
          <w:b/>
        </w:rPr>
        <w:t>587 kt CO</w:t>
      </w:r>
      <w:r w:rsidRPr="004B626D">
        <w:rPr>
          <w:rFonts w:cstheme="minorHAnsi"/>
          <w:b/>
          <w:vertAlign w:val="subscript"/>
        </w:rPr>
        <w:t>2</w:t>
      </w:r>
      <w:r w:rsidRPr="004B626D">
        <w:rPr>
          <w:rFonts w:cstheme="minorHAnsi"/>
        </w:rPr>
        <w:t>.</w:t>
      </w:r>
    </w:p>
    <w:p w14:paraId="2F4FF274" w14:textId="53E6C06B" w:rsidR="0030788B" w:rsidRPr="004B626D" w:rsidRDefault="0030788B" w:rsidP="0030788B">
      <w:pPr>
        <w:spacing w:line="240" w:lineRule="auto"/>
        <w:jc w:val="both"/>
        <w:rPr>
          <w:rFonts w:cstheme="minorHAnsi"/>
        </w:rPr>
      </w:pPr>
      <w:r w:rsidRPr="004B626D">
        <w:rPr>
          <w:rFonts w:cstheme="minorHAnsi"/>
        </w:rPr>
        <w:t xml:space="preserve">U sklopu Akcijskog plana identificirane su i dane precizne i jasne odrednice za provedbu projekata energetskih ušteda, primjene mjera energetske učinkovitosti, korištenja obnovljivih izvora energije i ekološko prihvatljivih goriva na gradskoj razini, a čijom primjenom će se </w:t>
      </w:r>
      <w:r>
        <w:rPr>
          <w:rFonts w:cstheme="minorHAnsi"/>
        </w:rPr>
        <w:t>ostvariti postavljen</w:t>
      </w:r>
      <w:r w:rsidRPr="004B626D">
        <w:rPr>
          <w:rFonts w:cstheme="minorHAnsi"/>
        </w:rPr>
        <w:t xml:space="preserve"> </w:t>
      </w:r>
      <w:r>
        <w:rPr>
          <w:rFonts w:cstheme="minorHAnsi"/>
        </w:rPr>
        <w:t>indikativni cilj.</w:t>
      </w:r>
    </w:p>
    <w:p w14:paraId="6B79D9E7" w14:textId="1D263967" w:rsidR="0030788B" w:rsidRPr="004B626D" w:rsidRDefault="00C06BF1" w:rsidP="0030788B">
      <w:pPr>
        <w:spacing w:line="240" w:lineRule="auto"/>
        <w:jc w:val="both"/>
        <w:rPr>
          <w:rFonts w:cstheme="minorHAnsi"/>
        </w:rPr>
      </w:pPr>
      <w:r w:rsidRPr="00B90ABF">
        <w:t xml:space="preserve">Grad </w:t>
      </w:r>
      <w:r w:rsidR="000F64C5" w:rsidRPr="00B90ABF">
        <w:t>Zagreb</w:t>
      </w:r>
      <w:r w:rsidR="007C1F4A" w:rsidRPr="00B90ABF">
        <w:t xml:space="preserve"> </w:t>
      </w:r>
      <w:r w:rsidRPr="00B90ABF">
        <w:t xml:space="preserve">od donošenja dokumenta aktivno provodi </w:t>
      </w:r>
      <w:r w:rsidRPr="00B90ABF">
        <w:rPr>
          <w:rFonts w:ascii="Calibri" w:eastAsia="Calibri" w:hAnsi="Calibri" w:cs="Times New Roman"/>
        </w:rPr>
        <w:t>energetsku politiku i provedbu projekata</w:t>
      </w:r>
      <w:r w:rsidR="0030788B">
        <w:rPr>
          <w:rFonts w:ascii="Calibri" w:eastAsia="Calibri" w:hAnsi="Calibri" w:cs="Times New Roman"/>
        </w:rPr>
        <w:t xml:space="preserve"> s ciljem ostvarenja postavljenog indikativnog cilja smanjenja emisije CO</w:t>
      </w:r>
      <w:r w:rsidR="0030788B" w:rsidRPr="0030788B">
        <w:rPr>
          <w:rFonts w:ascii="Calibri" w:eastAsia="Calibri" w:hAnsi="Calibri" w:cs="Times New Roman"/>
          <w:vertAlign w:val="subscript"/>
        </w:rPr>
        <w:t>2</w:t>
      </w:r>
      <w:r w:rsidRPr="00B90ABF">
        <w:rPr>
          <w:rFonts w:ascii="Calibri" w:eastAsia="Calibri" w:hAnsi="Calibri" w:cs="Times New Roman"/>
        </w:rPr>
        <w:t xml:space="preserve">. </w:t>
      </w:r>
      <w:r w:rsidR="007C1F4A" w:rsidRPr="00B90ABF">
        <w:t>Energetsku politiku i provedbu pro</w:t>
      </w:r>
      <w:r w:rsidR="00B90ABF" w:rsidRPr="00B90ABF">
        <w:t>jekata energetske učinkovitosti</w:t>
      </w:r>
      <w:r w:rsidR="007C1F4A" w:rsidRPr="00B90ABF">
        <w:t xml:space="preserve"> sustavno vodi </w:t>
      </w:r>
      <w:r w:rsidR="00864F6A" w:rsidRPr="00B90ABF">
        <w:rPr>
          <w:rFonts w:ascii="Calibri" w:eastAsia="Calibri" w:hAnsi="Calibri" w:cs="Times New Roman"/>
        </w:rPr>
        <w:t>Gradski ured za energetiku, zaštitu okoliša i održivi razvoj, Grad</w:t>
      </w:r>
      <w:r w:rsidR="00B90ABF" w:rsidRPr="00B90ABF">
        <w:rPr>
          <w:rFonts w:ascii="Calibri" w:eastAsia="Calibri" w:hAnsi="Calibri" w:cs="Times New Roman"/>
        </w:rPr>
        <w:t>a</w:t>
      </w:r>
      <w:r w:rsidR="00864F6A" w:rsidRPr="00B90ABF">
        <w:rPr>
          <w:rFonts w:ascii="Calibri" w:eastAsia="Calibri" w:hAnsi="Calibri" w:cs="Times New Roman"/>
        </w:rPr>
        <w:t xml:space="preserve"> Zagreb</w:t>
      </w:r>
      <w:r w:rsidR="00B90ABF" w:rsidRPr="00B90ABF">
        <w:rPr>
          <w:rFonts w:ascii="Calibri" w:eastAsia="Calibri" w:hAnsi="Calibri" w:cs="Times New Roman"/>
        </w:rPr>
        <w:t>a</w:t>
      </w:r>
      <w:r w:rsidR="00864F6A" w:rsidRPr="00B90ABF">
        <w:rPr>
          <w:rFonts w:ascii="Calibri" w:eastAsia="Calibri" w:hAnsi="Calibri" w:cs="Times New Roman"/>
        </w:rPr>
        <w:t>.</w:t>
      </w:r>
      <w:r w:rsidR="0030788B" w:rsidRPr="0030788B">
        <w:rPr>
          <w:rFonts w:cstheme="minorHAnsi"/>
        </w:rPr>
        <w:t xml:space="preserve"> </w:t>
      </w:r>
    </w:p>
    <w:p w14:paraId="54981B2B" w14:textId="304DD1B8" w:rsidR="0030788B" w:rsidRPr="000C05DE" w:rsidRDefault="0030788B" w:rsidP="0030788B">
      <w:pPr>
        <w:spacing w:line="240" w:lineRule="auto"/>
        <w:jc w:val="both"/>
        <w:rPr>
          <w:rFonts w:cstheme="minorHAnsi"/>
        </w:rPr>
      </w:pPr>
      <w:r>
        <w:rPr>
          <w:rFonts w:cstheme="minorHAnsi"/>
        </w:rPr>
        <w:t>S ciljem</w:t>
      </w:r>
      <w:r w:rsidRPr="004B626D">
        <w:rPr>
          <w:rFonts w:cstheme="minorHAnsi"/>
        </w:rPr>
        <w:t xml:space="preserve"> ocjene uspješnosti provedbe Akcijskog plana</w:t>
      </w:r>
      <w:r w:rsidR="000C05DE">
        <w:rPr>
          <w:rFonts w:cstheme="minorHAnsi"/>
        </w:rPr>
        <w:t>,</w:t>
      </w:r>
      <w:r w:rsidRPr="004B626D">
        <w:rPr>
          <w:rFonts w:cstheme="minorHAnsi"/>
        </w:rPr>
        <w:t xml:space="preserve"> Grad Zagreb obvezan </w:t>
      </w:r>
      <w:r w:rsidRPr="000C05DE">
        <w:rPr>
          <w:rFonts w:cstheme="minorHAnsi"/>
        </w:rPr>
        <w:t>je minimalno svake četiri godine nakon datuma službenog prihvaćanja Akcijskog plana izraditi Kontrolni inventar emisije CO</w:t>
      </w:r>
      <w:r w:rsidRPr="000C05DE">
        <w:rPr>
          <w:rFonts w:cstheme="minorHAnsi"/>
          <w:vertAlign w:val="subscript"/>
        </w:rPr>
        <w:t xml:space="preserve">2 </w:t>
      </w:r>
      <w:r w:rsidRPr="000C05DE">
        <w:rPr>
          <w:rFonts w:cstheme="minorHAnsi"/>
        </w:rPr>
        <w:t>(</w:t>
      </w:r>
      <w:r w:rsidRPr="000C05DE">
        <w:rPr>
          <w:rFonts w:cstheme="minorHAnsi"/>
          <w:i/>
          <w:lang w:val="en-US"/>
        </w:rPr>
        <w:t>Monitoring Emission Inventory – MEI</w:t>
      </w:r>
      <w:r w:rsidRPr="000C05DE">
        <w:rPr>
          <w:rFonts w:cstheme="minorHAnsi"/>
        </w:rPr>
        <w:t>) te minimalno svake dvije godine nakon datuma službenog prihvaćanja Akcijskog plana godine izraditi Analizu uspješnosti implementacije mjera i aktivnost</w:t>
      </w:r>
      <w:r w:rsidR="00646E14">
        <w:rPr>
          <w:rFonts w:cstheme="minorHAnsi"/>
        </w:rPr>
        <w:t>i predloženih u Akcijskom planu – Reviziju Akcijskog plana.</w:t>
      </w:r>
    </w:p>
    <w:p w14:paraId="6A571BF5" w14:textId="4F327C3A" w:rsidR="0030788B" w:rsidRPr="00314E0C" w:rsidRDefault="000C05DE" w:rsidP="0030788B">
      <w:pPr>
        <w:spacing w:line="240" w:lineRule="auto"/>
        <w:jc w:val="both"/>
        <w:rPr>
          <w:rFonts w:cstheme="minorHAnsi"/>
        </w:rPr>
      </w:pPr>
      <w:r>
        <w:rPr>
          <w:rFonts w:cstheme="minorHAnsi"/>
        </w:rPr>
        <w:t>Izradom ovog dokumenta u sklopu kojeg je izrađen</w:t>
      </w:r>
      <w:r w:rsidR="000611D9">
        <w:rPr>
          <w:rFonts w:cstheme="minorHAnsi"/>
        </w:rPr>
        <w:t xml:space="preserve"> </w:t>
      </w:r>
      <w:r w:rsidR="0030788B" w:rsidRPr="004B626D">
        <w:rPr>
          <w:rFonts w:cstheme="minorHAnsi"/>
        </w:rPr>
        <w:t>Kontrolni inventar emisije CO</w:t>
      </w:r>
      <w:r w:rsidR="0030788B" w:rsidRPr="004B626D">
        <w:rPr>
          <w:rFonts w:cstheme="minorHAnsi"/>
          <w:vertAlign w:val="subscript"/>
        </w:rPr>
        <w:t>2</w:t>
      </w:r>
      <w:r w:rsidR="0030788B" w:rsidRPr="004B626D">
        <w:rPr>
          <w:rFonts w:cstheme="minorHAnsi"/>
        </w:rPr>
        <w:t xml:space="preserve"> za 2015. godinu i </w:t>
      </w:r>
      <w:r>
        <w:rPr>
          <w:rFonts w:cstheme="minorHAnsi"/>
        </w:rPr>
        <w:t xml:space="preserve">dan </w:t>
      </w:r>
      <w:r w:rsidR="0030788B" w:rsidRPr="004B626D">
        <w:rPr>
          <w:rFonts w:cstheme="minorHAnsi"/>
        </w:rPr>
        <w:t>pregled Analize uspješnosti implementacije mjera i aktivnosti do zakl</w:t>
      </w:r>
      <w:r>
        <w:rPr>
          <w:rFonts w:cstheme="minorHAnsi"/>
        </w:rPr>
        <w:t xml:space="preserve">jučno 31. prosinca </w:t>
      </w:r>
      <w:r w:rsidRPr="00314E0C">
        <w:rPr>
          <w:rFonts w:cstheme="minorHAnsi"/>
        </w:rPr>
        <w:t>2015. godine ispunjena je navedena obveza.</w:t>
      </w:r>
    </w:p>
    <w:p w14:paraId="1703239B" w14:textId="1D2BE15A" w:rsidR="00C06BF1" w:rsidRPr="002B57E7" w:rsidRDefault="00C06BF1" w:rsidP="00D508F3">
      <w:pPr>
        <w:spacing w:line="240" w:lineRule="auto"/>
        <w:jc w:val="both"/>
        <w:rPr>
          <w:rFonts w:ascii="Calibri" w:eastAsia="Calibri" w:hAnsi="Calibri" w:cs="Times New Roman"/>
        </w:rPr>
      </w:pPr>
      <w:r w:rsidRPr="00314E0C">
        <w:rPr>
          <w:rFonts w:ascii="Calibri" w:eastAsia="Calibri" w:hAnsi="Calibri" w:cs="Times New Roman"/>
        </w:rPr>
        <w:t xml:space="preserve">S ciljem usporedbe </w:t>
      </w:r>
      <w:r w:rsidR="00314E0C" w:rsidRPr="00314E0C">
        <w:rPr>
          <w:rFonts w:ascii="Calibri" w:eastAsia="Calibri" w:hAnsi="Calibri" w:cs="Times New Roman"/>
        </w:rPr>
        <w:t>2008. i 2015.</w:t>
      </w:r>
      <w:r w:rsidRPr="00314E0C">
        <w:rPr>
          <w:rFonts w:ascii="Calibri" w:eastAsia="Calibri" w:hAnsi="Calibri" w:cs="Times New Roman"/>
        </w:rPr>
        <w:t xml:space="preserve"> godine izrađen je Kontrolni inventar emisija CO</w:t>
      </w:r>
      <w:r w:rsidRPr="00314E0C">
        <w:rPr>
          <w:rFonts w:ascii="Calibri" w:eastAsia="Calibri" w:hAnsi="Calibri" w:cs="Times New Roman"/>
          <w:vertAlign w:val="subscript"/>
        </w:rPr>
        <w:t>2</w:t>
      </w:r>
      <w:r w:rsidRPr="00314E0C">
        <w:rPr>
          <w:rFonts w:ascii="Calibri" w:eastAsia="Calibri" w:hAnsi="Calibri" w:cs="Times New Roman"/>
        </w:rPr>
        <w:t xml:space="preserve"> za </w:t>
      </w:r>
      <w:r w:rsidR="000F64C5" w:rsidRPr="00314E0C">
        <w:rPr>
          <w:rFonts w:ascii="Calibri" w:eastAsia="Calibri" w:hAnsi="Calibri" w:cs="Times New Roman"/>
        </w:rPr>
        <w:t>2015</w:t>
      </w:r>
      <w:r w:rsidRPr="00314E0C">
        <w:rPr>
          <w:rFonts w:ascii="Calibri" w:eastAsia="Calibri" w:hAnsi="Calibri" w:cs="Times New Roman"/>
        </w:rPr>
        <w:t xml:space="preserve">. godinu. Za </w:t>
      </w:r>
      <w:r w:rsidRPr="002B57E7">
        <w:rPr>
          <w:rFonts w:ascii="Calibri" w:eastAsia="Calibri" w:hAnsi="Calibri" w:cs="Times New Roman"/>
        </w:rPr>
        <w:t xml:space="preserve">potrebe izrade istog napravljena je analiza energetske potrošnje za identične sektore kao u sklopu </w:t>
      </w:r>
      <w:r w:rsidR="000611D9" w:rsidRPr="002B57E7">
        <w:rPr>
          <w:rFonts w:ascii="Calibri" w:eastAsia="Calibri" w:hAnsi="Calibri" w:cs="Times New Roman"/>
        </w:rPr>
        <w:t>Akcijskog plana</w:t>
      </w:r>
      <w:r w:rsidR="00314E0C" w:rsidRPr="002B57E7">
        <w:rPr>
          <w:rFonts w:ascii="Calibri" w:eastAsia="Calibri" w:hAnsi="Calibri" w:cs="Times New Roman"/>
        </w:rPr>
        <w:t>.</w:t>
      </w:r>
    </w:p>
    <w:p w14:paraId="75A2BDFE" w14:textId="3E0088FD" w:rsidR="00C06BF1" w:rsidRPr="001D76DC" w:rsidRDefault="00C06BF1" w:rsidP="00E92750">
      <w:pPr>
        <w:spacing w:line="240" w:lineRule="auto"/>
        <w:jc w:val="both"/>
      </w:pPr>
      <w:r w:rsidRPr="002B57E7">
        <w:t>Na osnovu provedenih rezultata ukupna emisija CO</w:t>
      </w:r>
      <w:r w:rsidRPr="002B57E7">
        <w:rPr>
          <w:vertAlign w:val="subscript"/>
        </w:rPr>
        <w:t>2</w:t>
      </w:r>
      <w:r w:rsidRPr="002B57E7">
        <w:t xml:space="preserve"> za Grada </w:t>
      </w:r>
      <w:r w:rsidR="000F64C5" w:rsidRPr="002B57E7">
        <w:t>Zagreba</w:t>
      </w:r>
      <w:r w:rsidRPr="002B57E7">
        <w:t xml:space="preserve"> u je </w:t>
      </w:r>
      <w:r w:rsidR="000F64C5" w:rsidRPr="002B57E7">
        <w:t>2015</w:t>
      </w:r>
      <w:r w:rsidRPr="002B57E7">
        <w:t xml:space="preserve">. godini iznosi </w:t>
      </w:r>
      <w:r w:rsidR="001D76DC" w:rsidRPr="002B57E7">
        <w:t>2 930</w:t>
      </w:r>
      <w:r w:rsidR="00F33B95" w:rsidRPr="002B57E7">
        <w:t xml:space="preserve"> </w:t>
      </w:r>
      <w:r w:rsidR="00314E0C" w:rsidRPr="002B57E7">
        <w:t>k</w:t>
      </w:r>
      <w:r w:rsidRPr="002B57E7">
        <w:t>t CO</w:t>
      </w:r>
      <w:r w:rsidRPr="002B57E7">
        <w:rPr>
          <w:vertAlign w:val="subscript"/>
        </w:rPr>
        <w:t>2</w:t>
      </w:r>
      <w:r w:rsidRPr="002B57E7">
        <w:rPr>
          <w:b/>
        </w:rPr>
        <w:t xml:space="preserve"> </w:t>
      </w:r>
      <w:r w:rsidR="00F33B95" w:rsidRPr="002B57E7">
        <w:t xml:space="preserve">i to </w:t>
      </w:r>
      <w:r w:rsidR="001D76DC" w:rsidRPr="002B57E7">
        <w:t>1 802</w:t>
      </w:r>
      <w:r w:rsidRPr="002B57E7">
        <w:t xml:space="preserve"> </w:t>
      </w:r>
      <w:r w:rsidR="001D76DC" w:rsidRPr="002B57E7">
        <w:t>k</w:t>
      </w:r>
      <w:r w:rsidRPr="002B57E7">
        <w:t>t</w:t>
      </w:r>
      <w:r w:rsidR="00D0397B" w:rsidRPr="002B57E7">
        <w:t xml:space="preserve"> </w:t>
      </w:r>
      <w:r w:rsidRPr="002B57E7">
        <w:t>CO</w:t>
      </w:r>
      <w:r w:rsidRPr="002B57E7">
        <w:rPr>
          <w:vertAlign w:val="subscript"/>
        </w:rPr>
        <w:t>2</w:t>
      </w:r>
      <w:r w:rsidR="002D74A6">
        <w:t xml:space="preserve"> iz sektora z</w:t>
      </w:r>
      <w:r w:rsidR="00D223F6" w:rsidRPr="002B57E7">
        <w:t>gradarstva</w:t>
      </w:r>
      <w:r w:rsidR="001D76DC" w:rsidRPr="002B57E7">
        <w:t>, 1 101 k</w:t>
      </w:r>
      <w:r w:rsidRPr="002B57E7">
        <w:t>t</w:t>
      </w:r>
      <w:r w:rsidR="00D0397B" w:rsidRPr="002B57E7">
        <w:t xml:space="preserve"> </w:t>
      </w:r>
      <w:r w:rsidRPr="002B57E7">
        <w:t>CO</w:t>
      </w:r>
      <w:r w:rsidRPr="002B57E7">
        <w:rPr>
          <w:vertAlign w:val="subscript"/>
        </w:rPr>
        <w:t>2</w:t>
      </w:r>
      <w:r w:rsidR="002D74A6">
        <w:t xml:space="preserve"> iz sektora p</w:t>
      </w:r>
      <w:r w:rsidR="001D76DC" w:rsidRPr="002B57E7">
        <w:t>romet i 27 k</w:t>
      </w:r>
      <w:r w:rsidRPr="002B57E7">
        <w:t>t</w:t>
      </w:r>
      <w:r w:rsidR="00D0397B" w:rsidRPr="002B57E7">
        <w:t xml:space="preserve"> </w:t>
      </w:r>
      <w:r w:rsidRPr="002B57E7">
        <w:t>CO</w:t>
      </w:r>
      <w:r w:rsidRPr="002B57E7">
        <w:rPr>
          <w:vertAlign w:val="subscript"/>
        </w:rPr>
        <w:t>2</w:t>
      </w:r>
      <w:r w:rsidR="002D74A6">
        <w:t xml:space="preserve"> iz sektora j</w:t>
      </w:r>
      <w:r w:rsidRPr="002B57E7">
        <w:t>avna rasvjeta.</w:t>
      </w:r>
    </w:p>
    <w:p w14:paraId="016AE19A" w14:textId="5CB9C65B" w:rsidR="00C06BF1" w:rsidRPr="00314E0C" w:rsidRDefault="00314E0C" w:rsidP="00E92750">
      <w:pPr>
        <w:spacing w:line="240" w:lineRule="auto"/>
        <w:jc w:val="both"/>
        <w:rPr>
          <w:rFonts w:cstheme="minorHAnsi"/>
        </w:rPr>
      </w:pPr>
      <w:r>
        <w:rPr>
          <w:rFonts w:cstheme="minorHAnsi"/>
        </w:rPr>
        <w:t>Također, u poglavlju 9 ovog dokumenta napravljena je Analiza</w:t>
      </w:r>
      <w:r w:rsidRPr="000C05DE">
        <w:rPr>
          <w:rFonts w:cstheme="minorHAnsi"/>
        </w:rPr>
        <w:t xml:space="preserve"> uspješnosti implementacije mjera i aktivnosti predloženih u Akcijskom planu</w:t>
      </w:r>
      <w:r w:rsidR="00D0397B">
        <w:rPr>
          <w:rFonts w:cstheme="minorHAnsi"/>
        </w:rPr>
        <w:t xml:space="preserve"> zaključno s 31.12.2015</w:t>
      </w:r>
      <w:r w:rsidR="005A60AF">
        <w:rPr>
          <w:rFonts w:cstheme="minorHAnsi"/>
        </w:rPr>
        <w:t>. godine</w:t>
      </w:r>
      <w:r w:rsidRPr="000C05DE">
        <w:rPr>
          <w:rFonts w:cstheme="minorHAnsi"/>
        </w:rPr>
        <w:t>.</w:t>
      </w:r>
      <w:r>
        <w:rPr>
          <w:rFonts w:cstheme="minorHAnsi"/>
        </w:rPr>
        <w:t xml:space="preserve"> Rezultati su </w:t>
      </w:r>
      <w:r w:rsidRPr="005A60AF">
        <w:rPr>
          <w:rFonts w:cstheme="minorHAnsi"/>
        </w:rPr>
        <w:t>pokazali</w:t>
      </w:r>
      <w:r w:rsidR="005A60AF">
        <w:t xml:space="preserve"> da se</w:t>
      </w:r>
      <w:r w:rsidR="00C06BF1" w:rsidRPr="005A60AF">
        <w:t xml:space="preserve"> </w:t>
      </w:r>
      <w:r w:rsidR="00C06BF1" w:rsidRPr="00AB0719">
        <w:rPr>
          <w:rFonts w:eastAsia="Times New Roman"/>
        </w:rPr>
        <w:lastRenderedPageBreak/>
        <w:t xml:space="preserve">realizacija mjera i projekata </w:t>
      </w:r>
      <w:r w:rsidR="005A60AF" w:rsidRPr="00AB0719">
        <w:rPr>
          <w:rFonts w:eastAsia="Times New Roman"/>
        </w:rPr>
        <w:t>odvija u skladu s planiranom dinamikom, odnosno ostvareno je smanjenje</w:t>
      </w:r>
      <w:r w:rsidR="00C06BF1" w:rsidRPr="00AB0719">
        <w:rPr>
          <w:rFonts w:eastAsia="Times New Roman"/>
        </w:rPr>
        <w:t xml:space="preserve"> emisije CO</w:t>
      </w:r>
      <w:r w:rsidR="00C06BF1" w:rsidRPr="00AB0719">
        <w:rPr>
          <w:rFonts w:eastAsia="Times New Roman"/>
          <w:vertAlign w:val="subscript"/>
        </w:rPr>
        <w:t>2</w:t>
      </w:r>
      <w:r w:rsidR="00C06BF1" w:rsidRPr="00AB0719">
        <w:rPr>
          <w:rFonts w:eastAsia="Times New Roman"/>
        </w:rPr>
        <w:t xml:space="preserve"> od </w:t>
      </w:r>
      <w:r w:rsidR="00704B2A">
        <w:rPr>
          <w:rFonts w:eastAsia="Times New Roman"/>
        </w:rPr>
        <w:t>303</w:t>
      </w:r>
      <w:r w:rsidR="005977A3" w:rsidRPr="00AB0719">
        <w:rPr>
          <w:rFonts w:eastAsia="Times New Roman"/>
        </w:rPr>
        <w:t xml:space="preserve"> k</w:t>
      </w:r>
      <w:r w:rsidR="00C06BF1" w:rsidRPr="00AB0719">
        <w:rPr>
          <w:rFonts w:eastAsia="Times New Roman"/>
        </w:rPr>
        <w:t>tCO</w:t>
      </w:r>
      <w:r w:rsidR="00C06BF1" w:rsidRPr="00AB0719">
        <w:rPr>
          <w:rFonts w:eastAsia="Times New Roman"/>
          <w:vertAlign w:val="subscript"/>
        </w:rPr>
        <w:t xml:space="preserve">2. </w:t>
      </w:r>
      <w:r w:rsidRPr="00AB0719">
        <w:rPr>
          <w:rFonts w:eastAsia="Times New Roman"/>
        </w:rPr>
        <w:t xml:space="preserve"> (</w:t>
      </w:r>
      <w:r w:rsidR="008C22AA">
        <w:rPr>
          <w:rFonts w:eastAsia="Times New Roman"/>
        </w:rPr>
        <w:t>52</w:t>
      </w:r>
      <w:r w:rsidRPr="00AB0719">
        <w:rPr>
          <w:rFonts w:eastAsia="Times New Roman"/>
        </w:rPr>
        <w:t>%</w:t>
      </w:r>
      <w:r>
        <w:rPr>
          <w:rFonts w:eastAsia="Times New Roman"/>
        </w:rPr>
        <w:t xml:space="preserve"> postavljenog cilja</w:t>
      </w:r>
      <w:r w:rsidRPr="00314E0C">
        <w:rPr>
          <w:rFonts w:eastAsia="Times New Roman"/>
        </w:rPr>
        <w:t>)</w:t>
      </w:r>
      <w:r>
        <w:rPr>
          <w:rFonts w:eastAsia="Times New Roman"/>
        </w:rPr>
        <w:t>.</w:t>
      </w:r>
      <w:r w:rsidR="005A60AF">
        <w:rPr>
          <w:rFonts w:eastAsia="Times New Roman"/>
        </w:rPr>
        <w:t xml:space="preserve"> </w:t>
      </w:r>
    </w:p>
    <w:p w14:paraId="623307CB" w14:textId="50CFDEB5" w:rsidR="00790D66" w:rsidRDefault="005A60AF" w:rsidP="00E92750">
      <w:pPr>
        <w:spacing w:line="240" w:lineRule="auto"/>
        <w:jc w:val="both"/>
        <w:rPr>
          <w:rFonts w:cstheme="minorHAnsi"/>
          <w:color w:val="000000"/>
          <w:sz w:val="21"/>
          <w:szCs w:val="21"/>
        </w:rPr>
      </w:pPr>
      <w:r w:rsidRPr="002312A1">
        <w:rPr>
          <w:rFonts w:cstheme="minorHAnsi"/>
        </w:rPr>
        <w:t xml:space="preserve">Nadalje, budući je Analiza uspješnosti provede Akcijskog plana obuhvatila mjere i aktivnosti u fazi </w:t>
      </w:r>
      <w:r w:rsidRPr="00F51525">
        <w:rPr>
          <w:rFonts w:cstheme="minorHAnsi"/>
          <w:i/>
        </w:rPr>
        <w:t>na pola puta</w:t>
      </w:r>
      <w:r w:rsidRPr="002312A1">
        <w:rPr>
          <w:rFonts w:cstheme="minorHAnsi"/>
        </w:rPr>
        <w:t xml:space="preserve"> do zacrtanog cilja (2020. godina) u sklopu ovog dokumenta u poglavlju 10.</w:t>
      </w:r>
      <w:r w:rsidR="007A59C5">
        <w:rPr>
          <w:rFonts w:cstheme="minorHAnsi"/>
        </w:rPr>
        <w:t xml:space="preserve"> napravljena je P</w:t>
      </w:r>
      <w:r w:rsidRPr="002312A1">
        <w:rPr>
          <w:rFonts w:cstheme="minorHAnsi"/>
        </w:rPr>
        <w:t>rojekcija očekivanog smanjenja emisije CO</w:t>
      </w:r>
      <w:r w:rsidRPr="002312A1">
        <w:rPr>
          <w:rFonts w:cstheme="minorHAnsi"/>
          <w:vertAlign w:val="subscript"/>
        </w:rPr>
        <w:t>2</w:t>
      </w:r>
      <w:r w:rsidRPr="002312A1">
        <w:rPr>
          <w:rFonts w:cstheme="minorHAnsi"/>
        </w:rPr>
        <w:t xml:space="preserve"> u 2020. godini na osnovu mjera i aktivnosti čija je implementacija završena ili u fazi provedbe, a čiji krajnji učinak smanjenja emisije CO</w:t>
      </w:r>
      <w:r w:rsidRPr="002312A1">
        <w:rPr>
          <w:rFonts w:cstheme="minorHAnsi"/>
          <w:vertAlign w:val="subscript"/>
        </w:rPr>
        <w:t>2</w:t>
      </w:r>
      <w:r w:rsidRPr="002312A1">
        <w:rPr>
          <w:rFonts w:cstheme="minorHAnsi"/>
        </w:rPr>
        <w:t xml:space="preserve"> se očekuje u 2020. godini. </w:t>
      </w:r>
      <w:r w:rsidR="002312A1" w:rsidRPr="002312A1">
        <w:rPr>
          <w:rFonts w:cstheme="minorHAnsi"/>
          <w:color w:val="000000"/>
          <w:sz w:val="21"/>
          <w:szCs w:val="21"/>
        </w:rPr>
        <w:t>Rezultati</w:t>
      </w:r>
      <w:r w:rsidRPr="002312A1">
        <w:rPr>
          <w:rFonts w:cstheme="minorHAnsi"/>
          <w:color w:val="000000"/>
          <w:sz w:val="21"/>
          <w:szCs w:val="21"/>
        </w:rPr>
        <w:t xml:space="preserve"> </w:t>
      </w:r>
      <w:r w:rsidR="002312A1" w:rsidRPr="002312A1">
        <w:rPr>
          <w:rFonts w:cstheme="minorHAnsi"/>
          <w:color w:val="000000"/>
          <w:sz w:val="21"/>
          <w:szCs w:val="21"/>
        </w:rPr>
        <w:t xml:space="preserve">projekcije </w:t>
      </w:r>
      <w:r w:rsidR="000611D9">
        <w:rPr>
          <w:rFonts w:cstheme="minorHAnsi"/>
          <w:color w:val="000000"/>
          <w:sz w:val="21"/>
          <w:szCs w:val="21"/>
        </w:rPr>
        <w:t>su pokazali da se očekuje da će Grad Zagreb</w:t>
      </w:r>
      <w:r w:rsidRPr="002312A1">
        <w:rPr>
          <w:rFonts w:cstheme="minorHAnsi"/>
          <w:color w:val="000000"/>
          <w:sz w:val="21"/>
          <w:szCs w:val="21"/>
        </w:rPr>
        <w:t xml:space="preserve"> </w:t>
      </w:r>
      <w:r w:rsidR="002312A1" w:rsidRPr="002312A1">
        <w:rPr>
          <w:rFonts w:cstheme="minorHAnsi"/>
          <w:color w:val="000000"/>
          <w:sz w:val="21"/>
          <w:szCs w:val="21"/>
        </w:rPr>
        <w:t>ostvari</w:t>
      </w:r>
      <w:r w:rsidR="000611D9">
        <w:rPr>
          <w:rFonts w:cstheme="minorHAnsi"/>
          <w:color w:val="000000"/>
          <w:sz w:val="21"/>
          <w:szCs w:val="21"/>
        </w:rPr>
        <w:t>ti</w:t>
      </w:r>
      <w:r w:rsidR="002312A1" w:rsidRPr="002312A1">
        <w:rPr>
          <w:rFonts w:cstheme="minorHAnsi"/>
          <w:color w:val="000000"/>
          <w:sz w:val="21"/>
          <w:szCs w:val="21"/>
        </w:rPr>
        <w:t xml:space="preserve"> postavljen cilj smanjenja emisije CO</w:t>
      </w:r>
      <w:r w:rsidR="002312A1" w:rsidRPr="002312A1">
        <w:rPr>
          <w:rFonts w:cstheme="minorHAnsi"/>
          <w:color w:val="000000"/>
          <w:sz w:val="21"/>
          <w:szCs w:val="21"/>
          <w:vertAlign w:val="subscript"/>
        </w:rPr>
        <w:t>2</w:t>
      </w:r>
      <w:r w:rsidR="002312A1" w:rsidRPr="002312A1">
        <w:rPr>
          <w:rFonts w:cstheme="minorHAnsi"/>
          <w:color w:val="000000"/>
          <w:sz w:val="21"/>
          <w:szCs w:val="21"/>
        </w:rPr>
        <w:t xml:space="preserve"> od 21% do 2020. godine.</w:t>
      </w:r>
      <w:r w:rsidR="007A59C5">
        <w:rPr>
          <w:rFonts w:cstheme="minorHAnsi"/>
          <w:color w:val="000000"/>
          <w:sz w:val="21"/>
          <w:szCs w:val="21"/>
        </w:rPr>
        <w:t xml:space="preserve"> </w:t>
      </w:r>
    </w:p>
    <w:p w14:paraId="2D63097C" w14:textId="77777777" w:rsidR="00F51525" w:rsidRDefault="00790D66" w:rsidP="00B86A6C">
      <w:pPr>
        <w:spacing w:line="240" w:lineRule="auto"/>
        <w:jc w:val="both"/>
        <w:rPr>
          <w:rFonts w:cstheme="minorHAnsi"/>
          <w:color w:val="000000"/>
          <w:sz w:val="21"/>
          <w:szCs w:val="21"/>
        </w:rPr>
      </w:pPr>
      <w:r>
        <w:rPr>
          <w:rFonts w:cstheme="minorHAnsi"/>
          <w:color w:val="000000"/>
          <w:sz w:val="21"/>
          <w:szCs w:val="21"/>
        </w:rPr>
        <w:t>Na osnovu dobivenih rezultata preporuka je nastavak provedbe mjera i aktivnosti iz Akcijskog plana u skladu s dosadašnjom dinamikom te redovno izvještavanje</w:t>
      </w:r>
      <w:r w:rsidR="00BD2E4B">
        <w:rPr>
          <w:rStyle w:val="FootnoteReference"/>
          <w:color w:val="000000"/>
          <w:sz w:val="21"/>
          <w:szCs w:val="21"/>
        </w:rPr>
        <w:footnoteReference w:id="39"/>
      </w:r>
      <w:r w:rsidR="00103973">
        <w:rPr>
          <w:rFonts w:cstheme="minorHAnsi"/>
          <w:color w:val="000000"/>
          <w:sz w:val="21"/>
          <w:szCs w:val="21"/>
        </w:rPr>
        <w:t xml:space="preserve"> Ureda Sporazuma gradona</w:t>
      </w:r>
      <w:r>
        <w:rPr>
          <w:rFonts w:cstheme="minorHAnsi"/>
          <w:color w:val="000000"/>
          <w:sz w:val="21"/>
          <w:szCs w:val="21"/>
        </w:rPr>
        <w:t>čelnik u sklad</w:t>
      </w:r>
      <w:r w:rsidR="00103973">
        <w:rPr>
          <w:rFonts w:cstheme="minorHAnsi"/>
          <w:color w:val="000000"/>
          <w:sz w:val="21"/>
          <w:szCs w:val="21"/>
        </w:rPr>
        <w:t xml:space="preserve">u s </w:t>
      </w:r>
      <w:r>
        <w:rPr>
          <w:rFonts w:cstheme="minorHAnsi"/>
          <w:color w:val="000000"/>
          <w:sz w:val="21"/>
          <w:szCs w:val="21"/>
        </w:rPr>
        <w:t>obvezama</w:t>
      </w:r>
      <w:r w:rsidR="00103973">
        <w:rPr>
          <w:rFonts w:cstheme="minorHAnsi"/>
          <w:color w:val="000000"/>
          <w:sz w:val="21"/>
          <w:szCs w:val="21"/>
        </w:rPr>
        <w:t xml:space="preserve"> preuzetim pristupanjem Sporazumu</w:t>
      </w:r>
    </w:p>
    <w:p w14:paraId="7DA56714" w14:textId="680F48A6" w:rsidR="00A65100" w:rsidRDefault="00790D66" w:rsidP="00B86A6C">
      <w:pPr>
        <w:spacing w:line="240" w:lineRule="auto"/>
        <w:jc w:val="both"/>
        <w:sectPr w:rsidR="00A65100" w:rsidSect="00C474D5">
          <w:pgSz w:w="11906" w:h="16838"/>
          <w:pgMar w:top="992" w:right="1418" w:bottom="1418" w:left="1418" w:header="709" w:footer="709" w:gutter="0"/>
          <w:cols w:space="708"/>
          <w:docGrid w:linePitch="360"/>
        </w:sectPr>
      </w:pPr>
      <w:r>
        <w:rPr>
          <w:rFonts w:cstheme="minorHAnsi"/>
          <w:color w:val="000000"/>
          <w:sz w:val="21"/>
          <w:szCs w:val="21"/>
        </w:rPr>
        <w:t>.</w:t>
      </w:r>
      <w:r w:rsidR="006E4400" w:rsidRPr="006E4400">
        <w:t xml:space="preserve"> </w:t>
      </w:r>
    </w:p>
    <w:p w14:paraId="0421A9D8" w14:textId="543E6621" w:rsidR="00B86A6C" w:rsidRPr="00D82934" w:rsidRDefault="00B86A6C" w:rsidP="00E92750">
      <w:pPr>
        <w:pStyle w:val="Heading1"/>
        <w:spacing w:before="0" w:after="240" w:line="240" w:lineRule="auto"/>
        <w:ind w:left="431" w:hanging="431"/>
        <w:jc w:val="both"/>
        <w:rPr>
          <w:rFonts w:eastAsia="Times New Roman"/>
          <w:b/>
        </w:rPr>
      </w:pPr>
      <w:bookmarkStart w:id="516" w:name="_Toc468345429"/>
      <w:r w:rsidRPr="00D82934">
        <w:rPr>
          <w:rFonts w:eastAsia="Times New Roman"/>
          <w:b/>
        </w:rPr>
        <w:lastRenderedPageBreak/>
        <w:t>PRILOZI</w:t>
      </w:r>
      <w:bookmarkEnd w:id="516"/>
    </w:p>
    <w:p w14:paraId="4EF5912B" w14:textId="307A0686" w:rsidR="00D82934" w:rsidRPr="00D82934" w:rsidRDefault="00D82934" w:rsidP="00D82934">
      <w:pPr>
        <w:spacing w:after="0" w:line="240" w:lineRule="auto"/>
        <w:jc w:val="both"/>
      </w:pPr>
      <w:bookmarkStart w:id="517" w:name="_Ref467506610"/>
      <w:bookmarkStart w:id="518" w:name="_Toc468277527"/>
      <w:r w:rsidRPr="00D82934">
        <w:rPr>
          <w:b/>
        </w:rPr>
        <w:t xml:space="preserve">Tablica </w:t>
      </w:r>
      <w:r w:rsidRPr="00D82934">
        <w:rPr>
          <w:b/>
        </w:rPr>
        <w:fldChar w:fldCharType="begin"/>
      </w:r>
      <w:r w:rsidRPr="00D82934">
        <w:rPr>
          <w:b/>
        </w:rPr>
        <w:instrText xml:space="preserve"> STYLEREF 1 \s </w:instrText>
      </w:r>
      <w:r w:rsidRPr="00D82934">
        <w:rPr>
          <w:b/>
        </w:rPr>
        <w:fldChar w:fldCharType="separate"/>
      </w:r>
      <w:r w:rsidR="009C319B">
        <w:rPr>
          <w:b/>
          <w:noProof/>
        </w:rPr>
        <w:t>14</w:t>
      </w:r>
      <w:r w:rsidRPr="00D82934">
        <w:rPr>
          <w:b/>
          <w:noProof/>
        </w:rPr>
        <w:fldChar w:fldCharType="end"/>
      </w:r>
      <w:r w:rsidRPr="00D82934">
        <w:rPr>
          <w:b/>
        </w:rPr>
        <w:t>.</w:t>
      </w:r>
      <w:r w:rsidRPr="00D82934">
        <w:rPr>
          <w:b/>
        </w:rPr>
        <w:fldChar w:fldCharType="begin"/>
      </w:r>
      <w:r w:rsidRPr="00D82934">
        <w:rPr>
          <w:b/>
        </w:rPr>
        <w:instrText xml:space="preserve"> SEQ Tablica \* ARABIC \s 1 </w:instrText>
      </w:r>
      <w:r w:rsidRPr="00D82934">
        <w:rPr>
          <w:b/>
        </w:rPr>
        <w:fldChar w:fldCharType="separate"/>
      </w:r>
      <w:r w:rsidR="009C319B">
        <w:rPr>
          <w:b/>
          <w:noProof/>
        </w:rPr>
        <w:t>1</w:t>
      </w:r>
      <w:r w:rsidRPr="00D82934">
        <w:rPr>
          <w:b/>
          <w:noProof/>
        </w:rPr>
        <w:fldChar w:fldCharType="end"/>
      </w:r>
      <w:bookmarkEnd w:id="517"/>
      <w:r w:rsidRPr="00D82934">
        <w:rPr>
          <w:b/>
          <w:noProof/>
        </w:rPr>
        <w:t xml:space="preserve"> </w:t>
      </w:r>
      <w:r w:rsidRPr="00D82934">
        <w:rPr>
          <w:noProof/>
        </w:rPr>
        <w:t>Odobrena sredstva Fonda za zaštitu okoliša i energetsku učinkovitost za projekte čistijeg prometa</w:t>
      </w:r>
      <w:bookmarkEnd w:id="518"/>
    </w:p>
    <w:tbl>
      <w:tblPr>
        <w:tblW w:w="4963" w:type="pct"/>
        <w:tblInd w:w="108" w:type="dxa"/>
        <w:tblCellMar>
          <w:left w:w="0" w:type="dxa"/>
          <w:right w:w="0" w:type="dxa"/>
        </w:tblCellMar>
        <w:tblLook w:val="04A0" w:firstRow="1" w:lastRow="0" w:firstColumn="1" w:lastColumn="0" w:noHBand="0" w:noVBand="1"/>
      </w:tblPr>
      <w:tblGrid>
        <w:gridCol w:w="7139"/>
        <w:gridCol w:w="2500"/>
        <w:gridCol w:w="4662"/>
      </w:tblGrid>
      <w:tr w:rsidR="00D82934" w:rsidRPr="00D82934" w14:paraId="6CFAEBF8" w14:textId="77777777" w:rsidTr="00A8592F">
        <w:trPr>
          <w:trHeight w:val="60"/>
        </w:trPr>
        <w:tc>
          <w:tcPr>
            <w:tcW w:w="24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3DCEF4CA" w14:textId="77777777" w:rsidR="00D82934" w:rsidRPr="00D82934" w:rsidRDefault="00D82934" w:rsidP="00A8592F">
            <w:pPr>
              <w:spacing w:after="0" w:line="240" w:lineRule="auto"/>
              <w:rPr>
                <w:rFonts w:ascii="Calibri" w:hAnsi="Calibri" w:cs="Calibri"/>
                <w:b/>
                <w:bCs/>
                <w:sz w:val="20"/>
                <w:szCs w:val="20"/>
                <w:lang w:eastAsia="hr-HR"/>
              </w:rPr>
            </w:pPr>
            <w:r w:rsidRPr="00D82934">
              <w:rPr>
                <w:b/>
                <w:bCs/>
                <w:sz w:val="20"/>
                <w:szCs w:val="20"/>
                <w:lang w:eastAsia="hr-HR"/>
              </w:rPr>
              <w:t>Vrsta sredstava Fonda - korisnik</w:t>
            </w:r>
          </w:p>
        </w:tc>
        <w:tc>
          <w:tcPr>
            <w:tcW w:w="87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4791BEE0" w14:textId="77777777" w:rsidR="00D82934" w:rsidRPr="00D82934" w:rsidRDefault="00D82934" w:rsidP="00A8592F">
            <w:pPr>
              <w:spacing w:after="0" w:line="240" w:lineRule="auto"/>
              <w:jc w:val="center"/>
              <w:rPr>
                <w:rFonts w:ascii="Calibri" w:hAnsi="Calibri" w:cs="Calibri"/>
                <w:b/>
                <w:bCs/>
                <w:sz w:val="20"/>
                <w:szCs w:val="20"/>
                <w:lang w:eastAsia="hr-HR"/>
              </w:rPr>
            </w:pPr>
            <w:r w:rsidRPr="00D82934">
              <w:rPr>
                <w:b/>
                <w:bCs/>
                <w:sz w:val="20"/>
                <w:szCs w:val="20"/>
                <w:lang w:eastAsia="hr-HR"/>
              </w:rPr>
              <w:t>Broj projekata</w:t>
            </w:r>
          </w:p>
        </w:tc>
        <w:tc>
          <w:tcPr>
            <w:tcW w:w="163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3D547AE1" w14:textId="77777777" w:rsidR="00D82934" w:rsidRPr="00D82934" w:rsidRDefault="00D82934" w:rsidP="00A8592F">
            <w:pPr>
              <w:spacing w:after="0" w:line="240" w:lineRule="auto"/>
              <w:jc w:val="center"/>
              <w:rPr>
                <w:rFonts w:ascii="Calibri" w:hAnsi="Calibri" w:cs="Calibri"/>
                <w:b/>
                <w:bCs/>
                <w:sz w:val="20"/>
                <w:szCs w:val="20"/>
                <w:lang w:eastAsia="hr-HR"/>
              </w:rPr>
            </w:pPr>
            <w:r w:rsidRPr="00D82934">
              <w:rPr>
                <w:b/>
                <w:bCs/>
                <w:sz w:val="20"/>
                <w:szCs w:val="20"/>
                <w:lang w:eastAsia="hr-HR"/>
              </w:rPr>
              <w:t>Ukupno isplaćena sredstva Fonda (HRK)</w:t>
            </w:r>
          </w:p>
        </w:tc>
      </w:tr>
      <w:tr w:rsidR="00D82934" w:rsidRPr="00D82934" w14:paraId="6A269381"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713B67F3" w14:textId="77777777" w:rsidR="00D82934" w:rsidRPr="00D82934" w:rsidRDefault="00D82934" w:rsidP="00A8592F">
            <w:pPr>
              <w:spacing w:after="0" w:line="240" w:lineRule="auto"/>
              <w:rPr>
                <w:rFonts w:ascii="Calibri" w:hAnsi="Calibri" w:cs="Calibri"/>
                <w:sz w:val="20"/>
                <w:szCs w:val="20"/>
                <w:lang w:eastAsia="hr-HR"/>
              </w:rPr>
            </w:pPr>
            <w:r w:rsidRPr="00D82934">
              <w:rPr>
                <w:sz w:val="20"/>
                <w:szCs w:val="20"/>
                <w:lang w:eastAsia="hr-HR"/>
              </w:rPr>
              <w:t>Donacija</w:t>
            </w:r>
          </w:p>
        </w:tc>
        <w:tc>
          <w:tcPr>
            <w:tcW w:w="874"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0F0FD3FC"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166</w:t>
            </w:r>
          </w:p>
        </w:tc>
        <w:tc>
          <w:tcPr>
            <w:tcW w:w="1630"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6D442404"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5 161 822,68</w:t>
            </w:r>
          </w:p>
        </w:tc>
      </w:tr>
      <w:tr w:rsidR="00D82934" w:rsidRPr="00D82934" w14:paraId="2019B17B"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4F5A4FC" w14:textId="77777777" w:rsidR="00D82934" w:rsidRPr="00D82934" w:rsidRDefault="00D82934" w:rsidP="00A8592F">
            <w:pPr>
              <w:spacing w:after="0" w:line="240" w:lineRule="auto"/>
              <w:rPr>
                <w:rFonts w:ascii="Calibri" w:hAnsi="Calibri" w:cs="Calibri"/>
                <w:sz w:val="20"/>
                <w:szCs w:val="20"/>
                <w:lang w:eastAsia="hr-HR"/>
              </w:rPr>
            </w:pPr>
            <w:r w:rsidRPr="00D82934">
              <w:rPr>
                <w:color w:val="1F497D"/>
                <w:sz w:val="20"/>
                <w:szCs w:val="20"/>
                <w:lang w:eastAsia="hr-HR"/>
              </w:rPr>
              <w:t xml:space="preserve">   </w:t>
            </w:r>
            <w:r w:rsidRPr="00D82934">
              <w:rPr>
                <w:sz w:val="20"/>
                <w:szCs w:val="20"/>
                <w:lang w:eastAsia="hr-HR"/>
              </w:rPr>
              <w:t>Fizička osoba</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EC751AE"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166</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F955CE5"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5 161 822,68</w:t>
            </w:r>
          </w:p>
        </w:tc>
      </w:tr>
      <w:tr w:rsidR="00D82934" w:rsidRPr="00D82934" w14:paraId="69C5CD7B"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14BA91EE" w14:textId="77777777" w:rsidR="00D82934" w:rsidRPr="00D82934" w:rsidRDefault="00D82934" w:rsidP="00A8592F">
            <w:pPr>
              <w:spacing w:after="0" w:line="240" w:lineRule="auto"/>
              <w:rPr>
                <w:rFonts w:ascii="Calibri" w:hAnsi="Calibri" w:cs="Calibri"/>
                <w:sz w:val="20"/>
                <w:szCs w:val="20"/>
                <w:lang w:eastAsia="hr-HR"/>
              </w:rPr>
            </w:pPr>
            <w:r w:rsidRPr="00D82934">
              <w:rPr>
                <w:sz w:val="20"/>
                <w:szCs w:val="20"/>
                <w:lang w:eastAsia="hr-HR"/>
              </w:rPr>
              <w:t>Financijska pomoć</w:t>
            </w:r>
          </w:p>
        </w:tc>
        <w:tc>
          <w:tcPr>
            <w:tcW w:w="874"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547D0D8F"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5</w:t>
            </w:r>
          </w:p>
        </w:tc>
        <w:tc>
          <w:tcPr>
            <w:tcW w:w="1630"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5C7E0655"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6 838 617,70</w:t>
            </w:r>
          </w:p>
        </w:tc>
      </w:tr>
      <w:tr w:rsidR="00D82934" w:rsidRPr="00D82934" w14:paraId="47725F17"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468E962" w14:textId="77777777" w:rsidR="00D82934" w:rsidRPr="00D82934" w:rsidRDefault="00D82934" w:rsidP="00A8592F">
            <w:pPr>
              <w:spacing w:after="0" w:line="240" w:lineRule="auto"/>
              <w:rPr>
                <w:rFonts w:ascii="Calibri" w:hAnsi="Calibri" w:cs="Calibri"/>
                <w:sz w:val="20"/>
                <w:szCs w:val="20"/>
                <w:lang w:eastAsia="hr-HR"/>
              </w:rPr>
            </w:pPr>
            <w:r w:rsidRPr="00D82934">
              <w:rPr>
                <w:color w:val="1F497D"/>
                <w:sz w:val="20"/>
                <w:szCs w:val="20"/>
                <w:lang w:eastAsia="hr-HR"/>
              </w:rPr>
              <w:t xml:space="preserve">   </w:t>
            </w:r>
            <w:r w:rsidRPr="00D82934">
              <w:rPr>
                <w:sz w:val="20"/>
                <w:szCs w:val="20"/>
                <w:lang w:eastAsia="hr-HR"/>
              </w:rPr>
              <w:t>Javne ustanove</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7CE3E8D"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2</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E427AEB"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933 807,06</w:t>
            </w:r>
          </w:p>
        </w:tc>
      </w:tr>
      <w:tr w:rsidR="00D82934" w:rsidRPr="00D82934" w14:paraId="1FD3C27E"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9B6C768" w14:textId="77777777" w:rsidR="00D82934" w:rsidRPr="00D82934" w:rsidRDefault="00D82934" w:rsidP="00A8592F">
            <w:pPr>
              <w:spacing w:after="0" w:line="240" w:lineRule="auto"/>
              <w:rPr>
                <w:rFonts w:ascii="Calibri" w:hAnsi="Calibri" w:cs="Calibri"/>
                <w:sz w:val="20"/>
                <w:szCs w:val="20"/>
                <w:lang w:eastAsia="hr-HR"/>
              </w:rPr>
            </w:pPr>
            <w:r w:rsidRPr="00D82934">
              <w:rPr>
                <w:color w:val="1F497D"/>
                <w:sz w:val="20"/>
                <w:szCs w:val="20"/>
                <w:lang w:eastAsia="hr-HR"/>
              </w:rPr>
              <w:t xml:space="preserve">   </w:t>
            </w:r>
            <w:r w:rsidRPr="00D82934">
              <w:rPr>
                <w:sz w:val="20"/>
                <w:szCs w:val="20"/>
                <w:lang w:eastAsia="hr-HR"/>
              </w:rPr>
              <w:t>Jedinice lokalne uprave i sam.</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40C9049"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3</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1082081"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5 904 810,64</w:t>
            </w:r>
          </w:p>
        </w:tc>
      </w:tr>
      <w:tr w:rsidR="00D82934" w:rsidRPr="00D82934" w14:paraId="2C815A82"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19D91625" w14:textId="77777777" w:rsidR="00D82934" w:rsidRPr="00D82934" w:rsidRDefault="00D82934" w:rsidP="00A8592F">
            <w:pPr>
              <w:spacing w:after="0" w:line="240" w:lineRule="auto"/>
              <w:rPr>
                <w:rFonts w:ascii="Calibri" w:hAnsi="Calibri" w:cs="Calibri"/>
                <w:sz w:val="20"/>
                <w:szCs w:val="20"/>
                <w:lang w:eastAsia="hr-HR"/>
              </w:rPr>
            </w:pPr>
            <w:r w:rsidRPr="00D82934">
              <w:rPr>
                <w:sz w:val="20"/>
                <w:szCs w:val="20"/>
                <w:lang w:eastAsia="hr-HR"/>
              </w:rPr>
              <w:t>Subvencija</w:t>
            </w:r>
          </w:p>
        </w:tc>
        <w:tc>
          <w:tcPr>
            <w:tcW w:w="874"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38335006"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72</w:t>
            </w:r>
          </w:p>
        </w:tc>
        <w:tc>
          <w:tcPr>
            <w:tcW w:w="1630"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2391D411"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5 824 448,67</w:t>
            </w:r>
          </w:p>
        </w:tc>
      </w:tr>
      <w:tr w:rsidR="00D82934" w:rsidRPr="00D82934" w14:paraId="4E1B1252"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979E7E4" w14:textId="77777777" w:rsidR="00D82934" w:rsidRPr="00D82934" w:rsidRDefault="00D82934" w:rsidP="00A8592F">
            <w:pPr>
              <w:spacing w:after="0" w:line="240" w:lineRule="auto"/>
              <w:rPr>
                <w:rFonts w:ascii="Calibri" w:hAnsi="Calibri" w:cs="Calibri"/>
                <w:sz w:val="20"/>
                <w:szCs w:val="20"/>
                <w:lang w:eastAsia="hr-HR"/>
              </w:rPr>
            </w:pPr>
            <w:r w:rsidRPr="00D82934">
              <w:rPr>
                <w:color w:val="1F497D"/>
                <w:sz w:val="20"/>
                <w:szCs w:val="20"/>
                <w:lang w:eastAsia="hr-HR"/>
              </w:rPr>
              <w:t xml:space="preserve">   </w:t>
            </w:r>
            <w:r w:rsidRPr="00D82934">
              <w:rPr>
                <w:sz w:val="20"/>
                <w:szCs w:val="20"/>
                <w:lang w:eastAsia="hr-HR"/>
              </w:rPr>
              <w:t>Obrt</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4C21EA5"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7</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61E93DB"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205 486,56</w:t>
            </w:r>
          </w:p>
        </w:tc>
      </w:tr>
      <w:tr w:rsidR="00D82934" w:rsidRPr="00D82934" w14:paraId="51F486AD"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F9AC4DA" w14:textId="77777777" w:rsidR="00D82934" w:rsidRPr="00D82934" w:rsidRDefault="00D82934" w:rsidP="00A8592F">
            <w:pPr>
              <w:spacing w:after="0" w:line="240" w:lineRule="auto"/>
              <w:rPr>
                <w:rFonts w:ascii="Calibri" w:hAnsi="Calibri" w:cs="Calibri"/>
                <w:sz w:val="20"/>
                <w:szCs w:val="20"/>
                <w:lang w:eastAsia="hr-HR"/>
              </w:rPr>
            </w:pPr>
            <w:r w:rsidRPr="00D82934">
              <w:rPr>
                <w:color w:val="1F497D"/>
                <w:sz w:val="20"/>
                <w:szCs w:val="20"/>
                <w:lang w:eastAsia="hr-HR"/>
              </w:rPr>
              <w:t xml:space="preserve">   </w:t>
            </w:r>
            <w:r w:rsidRPr="00D82934">
              <w:rPr>
                <w:sz w:val="20"/>
                <w:szCs w:val="20"/>
                <w:lang w:eastAsia="hr-HR"/>
              </w:rPr>
              <w:t>Ostali</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F7EE311"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4</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1D9F763"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330 000,00</w:t>
            </w:r>
          </w:p>
        </w:tc>
      </w:tr>
      <w:tr w:rsidR="00D82934" w:rsidRPr="00D82934" w14:paraId="159DA859"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CDF827A" w14:textId="77777777" w:rsidR="00D82934" w:rsidRPr="00D82934" w:rsidRDefault="00D82934" w:rsidP="00A8592F">
            <w:pPr>
              <w:spacing w:after="0" w:line="240" w:lineRule="auto"/>
              <w:rPr>
                <w:rFonts w:ascii="Calibri" w:hAnsi="Calibri" w:cs="Calibri"/>
                <w:sz w:val="20"/>
                <w:szCs w:val="20"/>
                <w:lang w:eastAsia="hr-HR"/>
              </w:rPr>
            </w:pPr>
            <w:r w:rsidRPr="00D82934">
              <w:rPr>
                <w:color w:val="1F497D"/>
                <w:sz w:val="20"/>
                <w:szCs w:val="20"/>
                <w:lang w:eastAsia="hr-HR"/>
              </w:rPr>
              <w:t xml:space="preserve">   </w:t>
            </w:r>
            <w:r w:rsidRPr="00D82934">
              <w:rPr>
                <w:sz w:val="20"/>
                <w:szCs w:val="20"/>
                <w:lang w:eastAsia="hr-HR"/>
              </w:rPr>
              <w:t>Tvrtke</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59D3DD1"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61</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C5936F1"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5 288 962,11</w:t>
            </w:r>
          </w:p>
        </w:tc>
      </w:tr>
      <w:tr w:rsidR="00D82934" w:rsidRPr="00D82934" w14:paraId="788B59B1"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5C502E47" w14:textId="77777777" w:rsidR="00D82934" w:rsidRPr="00D82934" w:rsidRDefault="00D82934" w:rsidP="00A8592F">
            <w:pPr>
              <w:spacing w:after="0" w:line="240" w:lineRule="auto"/>
              <w:rPr>
                <w:rFonts w:ascii="Calibri" w:hAnsi="Calibri" w:cs="Calibri"/>
                <w:sz w:val="20"/>
                <w:szCs w:val="20"/>
                <w:lang w:eastAsia="hr-HR"/>
              </w:rPr>
            </w:pPr>
            <w:r w:rsidRPr="00D82934">
              <w:rPr>
                <w:sz w:val="20"/>
                <w:szCs w:val="20"/>
                <w:lang w:eastAsia="hr-HR"/>
              </w:rPr>
              <w:t>Zajam</w:t>
            </w:r>
          </w:p>
        </w:tc>
        <w:tc>
          <w:tcPr>
            <w:tcW w:w="874"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0B0C52BB"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1</w:t>
            </w:r>
          </w:p>
        </w:tc>
        <w:tc>
          <w:tcPr>
            <w:tcW w:w="1630"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72CE89DA"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1 000 000,00</w:t>
            </w:r>
          </w:p>
        </w:tc>
      </w:tr>
      <w:tr w:rsidR="00D82934" w:rsidRPr="00D82934" w14:paraId="0A0B9D0F"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4FCD1EA" w14:textId="77777777" w:rsidR="00D82934" w:rsidRPr="00D82934" w:rsidRDefault="00D82934" w:rsidP="00A8592F">
            <w:pPr>
              <w:spacing w:after="0" w:line="240" w:lineRule="auto"/>
              <w:rPr>
                <w:rFonts w:ascii="Calibri" w:hAnsi="Calibri" w:cs="Calibri"/>
                <w:sz w:val="20"/>
                <w:szCs w:val="20"/>
                <w:lang w:eastAsia="hr-HR"/>
              </w:rPr>
            </w:pPr>
            <w:r w:rsidRPr="00D82934">
              <w:rPr>
                <w:color w:val="1F497D"/>
                <w:sz w:val="20"/>
                <w:szCs w:val="20"/>
                <w:lang w:eastAsia="hr-HR"/>
              </w:rPr>
              <w:t xml:space="preserve">   </w:t>
            </w:r>
            <w:r w:rsidRPr="00D82934">
              <w:rPr>
                <w:sz w:val="20"/>
                <w:szCs w:val="20"/>
                <w:lang w:eastAsia="hr-HR"/>
              </w:rPr>
              <w:t>Tvrtke</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20DC62A"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1</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5781007"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1 000 000,00</w:t>
            </w:r>
          </w:p>
        </w:tc>
      </w:tr>
      <w:tr w:rsidR="00D82934" w:rsidRPr="00D82934" w14:paraId="772C27DA"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7A950AFB" w14:textId="77777777" w:rsidR="00D82934" w:rsidRPr="00D82934" w:rsidRDefault="00D82934" w:rsidP="00A8592F">
            <w:pPr>
              <w:spacing w:after="0" w:line="240" w:lineRule="auto"/>
              <w:rPr>
                <w:rFonts w:ascii="Calibri" w:hAnsi="Calibri" w:cs="Calibri"/>
                <w:b/>
                <w:bCs/>
                <w:sz w:val="20"/>
                <w:szCs w:val="20"/>
                <w:lang w:eastAsia="hr-HR"/>
              </w:rPr>
            </w:pPr>
            <w:r w:rsidRPr="00D82934">
              <w:rPr>
                <w:b/>
                <w:bCs/>
                <w:sz w:val="20"/>
                <w:szCs w:val="20"/>
                <w:lang w:eastAsia="hr-HR"/>
              </w:rPr>
              <w:t>Ukupni zbroj</w:t>
            </w:r>
          </w:p>
        </w:tc>
        <w:tc>
          <w:tcPr>
            <w:tcW w:w="874"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42D34AC6" w14:textId="77777777" w:rsidR="00D82934" w:rsidRPr="00D82934" w:rsidRDefault="00D82934" w:rsidP="00A8592F">
            <w:pPr>
              <w:spacing w:after="0" w:line="240" w:lineRule="auto"/>
              <w:jc w:val="center"/>
              <w:rPr>
                <w:rFonts w:ascii="Calibri" w:hAnsi="Calibri" w:cs="Calibri"/>
                <w:b/>
                <w:bCs/>
                <w:sz w:val="20"/>
                <w:szCs w:val="20"/>
                <w:lang w:eastAsia="hr-HR"/>
              </w:rPr>
            </w:pPr>
            <w:r w:rsidRPr="00D82934">
              <w:rPr>
                <w:b/>
                <w:bCs/>
                <w:sz w:val="20"/>
                <w:szCs w:val="20"/>
                <w:lang w:eastAsia="hr-HR"/>
              </w:rPr>
              <w:t>244</w:t>
            </w:r>
          </w:p>
        </w:tc>
        <w:tc>
          <w:tcPr>
            <w:tcW w:w="1630"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3EE8770E" w14:textId="77777777" w:rsidR="00D82934" w:rsidRPr="00D82934" w:rsidRDefault="00D82934" w:rsidP="00A8592F">
            <w:pPr>
              <w:spacing w:after="0" w:line="240" w:lineRule="auto"/>
              <w:jc w:val="center"/>
              <w:rPr>
                <w:rFonts w:ascii="Calibri" w:hAnsi="Calibri" w:cs="Calibri"/>
                <w:b/>
                <w:bCs/>
                <w:sz w:val="20"/>
                <w:szCs w:val="20"/>
                <w:lang w:eastAsia="hr-HR"/>
              </w:rPr>
            </w:pPr>
            <w:r w:rsidRPr="00D82934">
              <w:rPr>
                <w:b/>
                <w:bCs/>
                <w:sz w:val="20"/>
                <w:szCs w:val="20"/>
                <w:lang w:eastAsia="hr-HR"/>
              </w:rPr>
              <w:t>18 824.889,05</w:t>
            </w:r>
          </w:p>
        </w:tc>
      </w:tr>
      <w:tr w:rsidR="00D82934" w:rsidRPr="00D82934" w14:paraId="73654D0E" w14:textId="77777777" w:rsidTr="00A8592F">
        <w:trPr>
          <w:trHeight w:val="60"/>
        </w:trPr>
        <w:tc>
          <w:tcPr>
            <w:tcW w:w="24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7401D93E" w14:textId="77777777" w:rsidR="00D82934" w:rsidRPr="00D82934" w:rsidRDefault="00D82934" w:rsidP="00A8592F">
            <w:pPr>
              <w:spacing w:after="0" w:line="240" w:lineRule="auto"/>
              <w:rPr>
                <w:rFonts w:ascii="Calibri" w:hAnsi="Calibri" w:cs="Calibri"/>
                <w:b/>
                <w:bCs/>
                <w:sz w:val="20"/>
                <w:szCs w:val="20"/>
                <w:lang w:eastAsia="hr-HR"/>
              </w:rPr>
            </w:pPr>
            <w:r w:rsidRPr="00D82934">
              <w:rPr>
                <w:b/>
                <w:bCs/>
                <w:sz w:val="20"/>
                <w:szCs w:val="20"/>
                <w:lang w:eastAsia="hr-HR"/>
              </w:rPr>
              <w:t>Vrsta sredstava Fonda – namjena</w:t>
            </w:r>
          </w:p>
        </w:tc>
        <w:tc>
          <w:tcPr>
            <w:tcW w:w="87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05F813E4" w14:textId="77777777" w:rsidR="00D82934" w:rsidRPr="00D82934" w:rsidRDefault="00D82934" w:rsidP="00A8592F">
            <w:pPr>
              <w:spacing w:after="0" w:line="240" w:lineRule="auto"/>
              <w:jc w:val="center"/>
              <w:rPr>
                <w:rFonts w:ascii="Calibri" w:hAnsi="Calibri" w:cs="Calibri"/>
                <w:b/>
                <w:bCs/>
                <w:sz w:val="20"/>
                <w:szCs w:val="20"/>
                <w:lang w:eastAsia="hr-HR"/>
              </w:rPr>
            </w:pPr>
            <w:r w:rsidRPr="00D82934">
              <w:rPr>
                <w:b/>
                <w:bCs/>
                <w:sz w:val="20"/>
                <w:szCs w:val="20"/>
                <w:lang w:eastAsia="hr-HR"/>
              </w:rPr>
              <w:t>Broj projekata</w:t>
            </w:r>
          </w:p>
        </w:tc>
        <w:tc>
          <w:tcPr>
            <w:tcW w:w="163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191FC8C1" w14:textId="77777777" w:rsidR="00D82934" w:rsidRPr="00D82934" w:rsidRDefault="00D82934" w:rsidP="00A8592F">
            <w:pPr>
              <w:spacing w:after="0" w:line="240" w:lineRule="auto"/>
              <w:jc w:val="center"/>
              <w:rPr>
                <w:rFonts w:ascii="Calibri" w:hAnsi="Calibri" w:cs="Calibri"/>
                <w:b/>
                <w:bCs/>
                <w:sz w:val="20"/>
                <w:szCs w:val="20"/>
                <w:lang w:eastAsia="hr-HR"/>
              </w:rPr>
            </w:pPr>
            <w:r w:rsidRPr="00D82934">
              <w:rPr>
                <w:b/>
                <w:bCs/>
                <w:sz w:val="20"/>
                <w:szCs w:val="20"/>
                <w:lang w:eastAsia="hr-HR"/>
              </w:rPr>
              <w:t>Ukupno isplaćena sredstva Fonda (HRK)</w:t>
            </w:r>
          </w:p>
        </w:tc>
      </w:tr>
      <w:tr w:rsidR="00D82934" w:rsidRPr="00D82934" w14:paraId="4E5555CD" w14:textId="77777777" w:rsidTr="00A8592F">
        <w:trPr>
          <w:trHeight w:val="92"/>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04A1417" w14:textId="77777777" w:rsidR="00D82934" w:rsidRPr="00D82934" w:rsidRDefault="00D82934" w:rsidP="00A8592F">
            <w:pPr>
              <w:spacing w:after="0" w:line="240" w:lineRule="auto"/>
              <w:rPr>
                <w:rFonts w:ascii="Calibri" w:hAnsi="Calibri" w:cs="Calibri"/>
                <w:sz w:val="20"/>
                <w:szCs w:val="20"/>
                <w:lang w:eastAsia="hr-HR"/>
              </w:rPr>
            </w:pPr>
            <w:r w:rsidRPr="00D82934">
              <w:rPr>
                <w:sz w:val="20"/>
                <w:szCs w:val="20"/>
                <w:lang w:eastAsia="hr-HR"/>
              </w:rPr>
              <w:t>Edukacija vozača o elementima eko vožnje</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4F16F88"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12</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D505839"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398 583,64</w:t>
            </w:r>
          </w:p>
        </w:tc>
      </w:tr>
      <w:tr w:rsidR="00D82934" w:rsidRPr="00D82934" w14:paraId="0F3579CA"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AC9842C" w14:textId="77777777" w:rsidR="00D82934" w:rsidRPr="00D82934" w:rsidRDefault="00D82934" w:rsidP="00A8592F">
            <w:pPr>
              <w:spacing w:after="0" w:line="240" w:lineRule="auto"/>
              <w:rPr>
                <w:rFonts w:ascii="Calibri" w:hAnsi="Calibri" w:cs="Calibri"/>
                <w:sz w:val="20"/>
                <w:szCs w:val="20"/>
                <w:lang w:eastAsia="hr-HR"/>
              </w:rPr>
            </w:pPr>
            <w:r w:rsidRPr="00D82934">
              <w:rPr>
                <w:sz w:val="20"/>
                <w:szCs w:val="20"/>
                <w:lang w:eastAsia="hr-HR"/>
              </w:rPr>
              <w:t>Izgradnja punionice za vozila na SPP</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FE058A2"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1</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CB53816"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401 948,80</w:t>
            </w:r>
          </w:p>
        </w:tc>
      </w:tr>
      <w:tr w:rsidR="00D82934" w:rsidRPr="00D82934" w14:paraId="47D34EAB"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18DED0A" w14:textId="77777777" w:rsidR="00D82934" w:rsidRPr="00D82934" w:rsidRDefault="00D82934" w:rsidP="00A8592F">
            <w:pPr>
              <w:spacing w:after="0" w:line="240" w:lineRule="auto"/>
              <w:rPr>
                <w:rFonts w:ascii="Calibri" w:hAnsi="Calibri" w:cs="Calibri"/>
                <w:sz w:val="20"/>
                <w:szCs w:val="20"/>
                <w:lang w:eastAsia="hr-HR"/>
              </w:rPr>
            </w:pPr>
            <w:r w:rsidRPr="00D82934">
              <w:rPr>
                <w:sz w:val="20"/>
                <w:szCs w:val="20"/>
                <w:lang w:eastAsia="hr-HR"/>
              </w:rPr>
              <w:t>Nabava eko guma</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CCB4405"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4</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CFD2DCF"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371 934,78</w:t>
            </w:r>
          </w:p>
        </w:tc>
      </w:tr>
      <w:tr w:rsidR="00D82934" w:rsidRPr="00D82934" w14:paraId="0A9B7681"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07DC254" w14:textId="77777777" w:rsidR="00D82934" w:rsidRPr="00D82934" w:rsidRDefault="00D82934" w:rsidP="00A8592F">
            <w:pPr>
              <w:spacing w:after="0" w:line="240" w:lineRule="auto"/>
              <w:rPr>
                <w:rFonts w:ascii="Calibri" w:hAnsi="Calibri" w:cs="Calibri"/>
                <w:sz w:val="20"/>
                <w:szCs w:val="20"/>
                <w:lang w:eastAsia="hr-HR"/>
              </w:rPr>
            </w:pPr>
            <w:r w:rsidRPr="00D82934">
              <w:rPr>
                <w:sz w:val="20"/>
                <w:szCs w:val="20"/>
                <w:lang w:eastAsia="hr-HR"/>
              </w:rPr>
              <w:t>Sufinanciranje kupnje energetski učinkovitih vozila</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394B994"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223</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BA02AEC" w14:textId="77777777" w:rsidR="00D82934" w:rsidRPr="00D82934" w:rsidRDefault="00D82934" w:rsidP="00A8592F">
            <w:pPr>
              <w:spacing w:after="0" w:line="240" w:lineRule="auto"/>
              <w:jc w:val="center"/>
              <w:rPr>
                <w:rFonts w:ascii="Calibri" w:hAnsi="Calibri" w:cs="Calibri"/>
                <w:sz w:val="20"/>
                <w:szCs w:val="20"/>
                <w:lang w:eastAsia="hr-HR"/>
              </w:rPr>
            </w:pPr>
            <w:r w:rsidRPr="00D82934">
              <w:rPr>
                <w:sz w:val="20"/>
                <w:szCs w:val="20"/>
                <w:lang w:eastAsia="hr-HR"/>
              </w:rPr>
              <w:t>17 141 572,87</w:t>
            </w:r>
          </w:p>
        </w:tc>
      </w:tr>
      <w:tr w:rsidR="00D82934" w:rsidRPr="00D82934" w14:paraId="0B4A3696"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tcPr>
          <w:p w14:paraId="091DF361" w14:textId="77777777" w:rsidR="00D82934" w:rsidRPr="00D82934" w:rsidRDefault="00D82934" w:rsidP="00A8592F">
            <w:pPr>
              <w:spacing w:after="0" w:line="240" w:lineRule="auto"/>
              <w:rPr>
                <w:sz w:val="20"/>
                <w:szCs w:val="20"/>
                <w:lang w:eastAsia="hr-HR"/>
              </w:rPr>
            </w:pPr>
            <w:r w:rsidRPr="00D82934">
              <w:rPr>
                <w:sz w:val="20"/>
                <w:szCs w:val="20"/>
                <w:lang w:eastAsia="hr-HR"/>
              </w:rPr>
              <w:t>Informacijski sustav za optimiranje transporta</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5D0E92C6" w14:textId="77777777" w:rsidR="00D82934" w:rsidRPr="00D82934" w:rsidRDefault="00D82934" w:rsidP="00A8592F">
            <w:pPr>
              <w:spacing w:after="0" w:line="240" w:lineRule="auto"/>
              <w:jc w:val="center"/>
              <w:rPr>
                <w:sz w:val="20"/>
                <w:szCs w:val="20"/>
                <w:lang w:eastAsia="hr-HR"/>
              </w:rPr>
            </w:pPr>
            <w:r w:rsidRPr="00D82934">
              <w:rPr>
                <w:sz w:val="20"/>
                <w:szCs w:val="20"/>
                <w:lang w:eastAsia="hr-HR"/>
              </w:rPr>
              <w:t>2</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13219B29" w14:textId="77777777" w:rsidR="00D82934" w:rsidRPr="00D82934" w:rsidRDefault="00D82934" w:rsidP="00A8592F">
            <w:pPr>
              <w:spacing w:after="0" w:line="240" w:lineRule="auto"/>
              <w:jc w:val="center"/>
              <w:rPr>
                <w:sz w:val="20"/>
                <w:szCs w:val="20"/>
                <w:lang w:eastAsia="hr-HR"/>
              </w:rPr>
            </w:pPr>
            <w:r w:rsidRPr="00D82934">
              <w:rPr>
                <w:sz w:val="20"/>
                <w:szCs w:val="20"/>
                <w:lang w:eastAsia="hr-HR"/>
              </w:rPr>
              <w:t>361 288,40</w:t>
            </w:r>
          </w:p>
        </w:tc>
      </w:tr>
      <w:tr w:rsidR="00D82934" w:rsidRPr="00D82934" w14:paraId="72A07429"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tcPr>
          <w:p w14:paraId="391CBEEE" w14:textId="77777777" w:rsidR="00D82934" w:rsidRPr="00D82934" w:rsidRDefault="00D82934" w:rsidP="00A8592F">
            <w:pPr>
              <w:spacing w:after="0" w:line="240" w:lineRule="auto"/>
              <w:rPr>
                <w:sz w:val="20"/>
                <w:szCs w:val="20"/>
                <w:lang w:eastAsia="hr-HR"/>
              </w:rPr>
            </w:pPr>
            <w:r w:rsidRPr="00D82934">
              <w:rPr>
                <w:sz w:val="20"/>
                <w:szCs w:val="20"/>
                <w:lang w:eastAsia="hr-HR"/>
              </w:rPr>
              <w:t>Izgradnja punionice za električna vozila</w:t>
            </w:r>
          </w:p>
        </w:tc>
        <w:tc>
          <w:tcPr>
            <w:tcW w:w="87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1ED59145" w14:textId="77777777" w:rsidR="00D82934" w:rsidRPr="00D82934" w:rsidRDefault="00D82934" w:rsidP="00A8592F">
            <w:pPr>
              <w:spacing w:after="0" w:line="240" w:lineRule="auto"/>
              <w:jc w:val="center"/>
              <w:rPr>
                <w:sz w:val="20"/>
                <w:szCs w:val="20"/>
                <w:lang w:eastAsia="hr-HR"/>
              </w:rPr>
            </w:pPr>
            <w:r w:rsidRPr="00D82934">
              <w:rPr>
                <w:sz w:val="20"/>
                <w:szCs w:val="20"/>
                <w:lang w:eastAsia="hr-HR"/>
              </w:rPr>
              <w:t>2</w:t>
            </w:r>
          </w:p>
        </w:tc>
        <w:tc>
          <w:tcPr>
            <w:tcW w:w="163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0232D19F" w14:textId="77777777" w:rsidR="00D82934" w:rsidRPr="00D82934" w:rsidRDefault="00D82934" w:rsidP="00A8592F">
            <w:pPr>
              <w:spacing w:after="0" w:line="240" w:lineRule="auto"/>
              <w:jc w:val="center"/>
              <w:rPr>
                <w:sz w:val="20"/>
                <w:szCs w:val="20"/>
                <w:lang w:eastAsia="hr-HR"/>
              </w:rPr>
            </w:pPr>
            <w:r w:rsidRPr="00D82934">
              <w:rPr>
                <w:sz w:val="20"/>
                <w:szCs w:val="20"/>
                <w:lang w:eastAsia="hr-HR"/>
              </w:rPr>
              <w:t>149 560,56</w:t>
            </w:r>
          </w:p>
        </w:tc>
      </w:tr>
      <w:tr w:rsidR="00D82934" w:rsidRPr="00D82934" w14:paraId="5A07E490" w14:textId="77777777" w:rsidTr="00A8592F">
        <w:trPr>
          <w:trHeight w:val="60"/>
        </w:trPr>
        <w:tc>
          <w:tcPr>
            <w:tcW w:w="2496"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109539F8" w14:textId="77777777" w:rsidR="00D82934" w:rsidRPr="00D82934" w:rsidRDefault="00D82934" w:rsidP="00A8592F">
            <w:pPr>
              <w:spacing w:after="0" w:line="240" w:lineRule="auto"/>
              <w:rPr>
                <w:rFonts w:ascii="Calibri" w:hAnsi="Calibri" w:cs="Calibri"/>
                <w:b/>
                <w:bCs/>
                <w:sz w:val="20"/>
                <w:szCs w:val="20"/>
                <w:lang w:eastAsia="hr-HR"/>
              </w:rPr>
            </w:pPr>
            <w:r w:rsidRPr="00D82934">
              <w:rPr>
                <w:b/>
                <w:bCs/>
                <w:sz w:val="20"/>
                <w:szCs w:val="20"/>
                <w:lang w:eastAsia="hr-HR"/>
              </w:rPr>
              <w:t>UKUPNO</w:t>
            </w:r>
          </w:p>
        </w:tc>
        <w:tc>
          <w:tcPr>
            <w:tcW w:w="874"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47DD86E1" w14:textId="77777777" w:rsidR="00D82934" w:rsidRPr="00D82934" w:rsidRDefault="00D82934" w:rsidP="00A8592F">
            <w:pPr>
              <w:spacing w:after="0" w:line="240" w:lineRule="auto"/>
              <w:jc w:val="center"/>
              <w:rPr>
                <w:rFonts w:ascii="Calibri" w:hAnsi="Calibri" w:cs="Calibri"/>
                <w:b/>
                <w:bCs/>
                <w:sz w:val="20"/>
                <w:szCs w:val="20"/>
                <w:lang w:eastAsia="hr-HR"/>
              </w:rPr>
            </w:pPr>
            <w:r w:rsidRPr="00D82934">
              <w:rPr>
                <w:b/>
                <w:bCs/>
                <w:sz w:val="20"/>
                <w:szCs w:val="20"/>
                <w:lang w:eastAsia="hr-HR"/>
              </w:rPr>
              <w:t>244</w:t>
            </w:r>
          </w:p>
        </w:tc>
        <w:tc>
          <w:tcPr>
            <w:tcW w:w="1630" w:type="pct"/>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188C50E3" w14:textId="77777777" w:rsidR="00D82934" w:rsidRPr="00D82934" w:rsidRDefault="00D82934" w:rsidP="00A8592F">
            <w:pPr>
              <w:spacing w:after="0" w:line="240" w:lineRule="auto"/>
              <w:jc w:val="center"/>
              <w:rPr>
                <w:rFonts w:ascii="Calibri" w:hAnsi="Calibri" w:cs="Calibri"/>
                <w:b/>
                <w:bCs/>
                <w:sz w:val="20"/>
                <w:szCs w:val="20"/>
                <w:lang w:eastAsia="hr-HR"/>
              </w:rPr>
            </w:pPr>
            <w:r w:rsidRPr="00D82934">
              <w:rPr>
                <w:b/>
                <w:bCs/>
                <w:sz w:val="20"/>
                <w:szCs w:val="20"/>
                <w:lang w:eastAsia="hr-HR"/>
              </w:rPr>
              <w:t>18 824 889,05</w:t>
            </w:r>
          </w:p>
        </w:tc>
      </w:tr>
    </w:tbl>
    <w:p w14:paraId="277689B1" w14:textId="77777777" w:rsidR="00A65100" w:rsidRDefault="00A65100" w:rsidP="005B0FC9">
      <w:pPr>
        <w:spacing w:before="240" w:after="0" w:line="240" w:lineRule="auto"/>
        <w:jc w:val="both"/>
        <w:rPr>
          <w:b/>
        </w:rPr>
      </w:pPr>
    </w:p>
    <w:p w14:paraId="098D1DA7" w14:textId="77777777" w:rsidR="00A65100" w:rsidRDefault="00A65100" w:rsidP="005B0FC9">
      <w:pPr>
        <w:spacing w:before="240" w:after="0" w:line="240" w:lineRule="auto"/>
        <w:jc w:val="both"/>
        <w:rPr>
          <w:b/>
        </w:rPr>
      </w:pPr>
    </w:p>
    <w:p w14:paraId="05B734B0" w14:textId="77777777" w:rsidR="00A65100" w:rsidRDefault="00A65100" w:rsidP="005B0FC9">
      <w:pPr>
        <w:spacing w:before="240" w:after="0" w:line="240" w:lineRule="auto"/>
        <w:jc w:val="both"/>
        <w:rPr>
          <w:b/>
        </w:rPr>
      </w:pPr>
    </w:p>
    <w:p w14:paraId="03334671" w14:textId="31600FA0" w:rsidR="005B0FC9" w:rsidRPr="00D64705" w:rsidRDefault="005B0FC9" w:rsidP="005B0FC9">
      <w:pPr>
        <w:spacing w:before="240" w:after="0" w:line="240" w:lineRule="auto"/>
        <w:jc w:val="both"/>
      </w:pPr>
      <w:bookmarkStart w:id="519" w:name="_Toc468277528"/>
      <w:r w:rsidRPr="00D64705">
        <w:rPr>
          <w:b/>
        </w:rPr>
        <w:lastRenderedPageBreak/>
        <w:t xml:space="preserve">Tablica </w:t>
      </w:r>
      <w:r w:rsidRPr="00D64705">
        <w:rPr>
          <w:b/>
        </w:rPr>
        <w:fldChar w:fldCharType="begin"/>
      </w:r>
      <w:r w:rsidRPr="00D64705">
        <w:rPr>
          <w:b/>
        </w:rPr>
        <w:instrText xml:space="preserve"> STYLEREF 1 \s </w:instrText>
      </w:r>
      <w:r w:rsidRPr="00D64705">
        <w:rPr>
          <w:b/>
        </w:rPr>
        <w:fldChar w:fldCharType="separate"/>
      </w:r>
      <w:r w:rsidR="009C319B">
        <w:rPr>
          <w:b/>
          <w:noProof/>
        </w:rPr>
        <w:t>14</w:t>
      </w:r>
      <w:r w:rsidRPr="00D64705">
        <w:rPr>
          <w:b/>
          <w:noProof/>
        </w:rPr>
        <w:fldChar w:fldCharType="end"/>
      </w:r>
      <w:r w:rsidRPr="00D64705">
        <w:rPr>
          <w:b/>
        </w:rPr>
        <w:t>.</w:t>
      </w:r>
      <w:r w:rsidRPr="00D64705">
        <w:rPr>
          <w:b/>
        </w:rPr>
        <w:fldChar w:fldCharType="begin"/>
      </w:r>
      <w:r w:rsidRPr="00D64705">
        <w:rPr>
          <w:b/>
        </w:rPr>
        <w:instrText xml:space="preserve"> SEQ Tablica \* ARABIC \s 1 </w:instrText>
      </w:r>
      <w:r w:rsidRPr="00D64705">
        <w:rPr>
          <w:b/>
        </w:rPr>
        <w:fldChar w:fldCharType="separate"/>
      </w:r>
      <w:r w:rsidR="009C319B">
        <w:rPr>
          <w:b/>
          <w:noProof/>
        </w:rPr>
        <w:t>2</w:t>
      </w:r>
      <w:r w:rsidRPr="00D64705">
        <w:rPr>
          <w:b/>
          <w:noProof/>
        </w:rPr>
        <w:fldChar w:fldCharType="end"/>
      </w:r>
      <w:r w:rsidRPr="00D64705">
        <w:rPr>
          <w:b/>
          <w:noProof/>
        </w:rPr>
        <w:t xml:space="preserve"> </w:t>
      </w:r>
      <w:r w:rsidRPr="00D64705">
        <w:rPr>
          <w:noProof/>
        </w:rPr>
        <w:t>Odobrena sredstva Fonda za zaštitu okoliša i energetsku učinkovitost za projekte održive gradnje</w:t>
      </w:r>
      <w:bookmarkEnd w:id="519"/>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1536"/>
        <w:gridCol w:w="3211"/>
        <w:gridCol w:w="1954"/>
        <w:gridCol w:w="1672"/>
        <w:gridCol w:w="1398"/>
        <w:gridCol w:w="1534"/>
      </w:tblGrid>
      <w:tr w:rsidR="00884877" w:rsidRPr="00C54704" w14:paraId="209CD0E7" w14:textId="77777777" w:rsidTr="00884877">
        <w:trPr>
          <w:trHeight w:val="74"/>
        </w:trPr>
        <w:tc>
          <w:tcPr>
            <w:tcW w:w="990" w:type="pct"/>
            <w:shd w:val="clear" w:color="000000" w:fill="D9D9D9"/>
            <w:vAlign w:val="center"/>
            <w:hideMark/>
          </w:tcPr>
          <w:p w14:paraId="6121FFF7" w14:textId="77777777" w:rsidR="005B0FC9" w:rsidRPr="00C54704" w:rsidRDefault="005B0FC9" w:rsidP="00A8592F">
            <w:pPr>
              <w:spacing w:after="0" w:line="240" w:lineRule="auto"/>
              <w:rPr>
                <w:rFonts w:eastAsia="Times New Roman" w:cstheme="minorHAnsi"/>
                <w:b/>
                <w:bCs/>
                <w:color w:val="000000"/>
                <w:sz w:val="18"/>
                <w:szCs w:val="18"/>
                <w:lang w:eastAsia="hr-HR"/>
              </w:rPr>
            </w:pPr>
            <w:r w:rsidRPr="00C54704">
              <w:rPr>
                <w:rFonts w:eastAsia="Times New Roman" w:cstheme="minorHAnsi"/>
                <w:b/>
                <w:bCs/>
                <w:color w:val="000000"/>
                <w:sz w:val="18"/>
                <w:szCs w:val="18"/>
                <w:lang w:eastAsia="hr-HR"/>
              </w:rPr>
              <w:t>Aktivnost</w:t>
            </w:r>
          </w:p>
        </w:tc>
        <w:tc>
          <w:tcPr>
            <w:tcW w:w="545" w:type="pct"/>
            <w:shd w:val="clear" w:color="000000" w:fill="D9D9D9"/>
            <w:vAlign w:val="center"/>
            <w:hideMark/>
          </w:tcPr>
          <w:p w14:paraId="7065994C" w14:textId="77777777" w:rsidR="005B0FC9" w:rsidRPr="00C54704" w:rsidRDefault="005B0FC9" w:rsidP="00A8592F">
            <w:pPr>
              <w:spacing w:after="0" w:line="240" w:lineRule="auto"/>
              <w:jc w:val="center"/>
              <w:rPr>
                <w:rFonts w:eastAsia="Times New Roman" w:cstheme="minorHAnsi"/>
                <w:b/>
                <w:bCs/>
                <w:color w:val="000000"/>
                <w:sz w:val="18"/>
                <w:szCs w:val="18"/>
                <w:lang w:eastAsia="hr-HR"/>
              </w:rPr>
            </w:pPr>
            <w:r w:rsidRPr="00C54704">
              <w:rPr>
                <w:rFonts w:eastAsia="Times New Roman" w:cstheme="minorHAnsi"/>
                <w:b/>
                <w:bCs/>
                <w:color w:val="000000"/>
                <w:sz w:val="18"/>
                <w:szCs w:val="18"/>
                <w:lang w:eastAsia="hr-HR"/>
              </w:rPr>
              <w:t>Korisnik sredstava</w:t>
            </w:r>
          </w:p>
        </w:tc>
        <w:tc>
          <w:tcPr>
            <w:tcW w:w="1139" w:type="pct"/>
            <w:shd w:val="clear" w:color="000000" w:fill="D9D9D9"/>
            <w:vAlign w:val="center"/>
            <w:hideMark/>
          </w:tcPr>
          <w:p w14:paraId="04B6DF0A" w14:textId="77777777" w:rsidR="005B0FC9" w:rsidRPr="00C54704" w:rsidRDefault="005B0FC9" w:rsidP="00A8592F">
            <w:pPr>
              <w:spacing w:after="0" w:line="240" w:lineRule="auto"/>
              <w:jc w:val="center"/>
              <w:rPr>
                <w:rFonts w:eastAsia="Times New Roman" w:cstheme="minorHAnsi"/>
                <w:b/>
                <w:bCs/>
                <w:color w:val="000000"/>
                <w:sz w:val="18"/>
                <w:szCs w:val="18"/>
                <w:lang w:eastAsia="hr-HR"/>
              </w:rPr>
            </w:pPr>
            <w:r w:rsidRPr="00C54704">
              <w:rPr>
                <w:rFonts w:eastAsia="Times New Roman" w:cstheme="minorHAnsi"/>
                <w:b/>
                <w:bCs/>
                <w:color w:val="000000"/>
                <w:sz w:val="18"/>
                <w:szCs w:val="18"/>
                <w:lang w:eastAsia="hr-HR"/>
              </w:rPr>
              <w:t>Projekt</w:t>
            </w:r>
          </w:p>
        </w:tc>
        <w:tc>
          <w:tcPr>
            <w:tcW w:w="693" w:type="pct"/>
            <w:shd w:val="clear" w:color="000000" w:fill="D9D9D9"/>
            <w:vAlign w:val="center"/>
            <w:hideMark/>
          </w:tcPr>
          <w:p w14:paraId="769741CB" w14:textId="77777777" w:rsidR="005B0FC9" w:rsidRPr="00C54704" w:rsidRDefault="005B0FC9" w:rsidP="00A8592F">
            <w:pPr>
              <w:spacing w:after="0" w:line="240" w:lineRule="auto"/>
              <w:jc w:val="center"/>
              <w:rPr>
                <w:rFonts w:eastAsia="Times New Roman" w:cstheme="minorHAnsi"/>
                <w:b/>
                <w:bCs/>
                <w:color w:val="000000"/>
                <w:sz w:val="18"/>
                <w:szCs w:val="18"/>
                <w:lang w:eastAsia="hr-HR"/>
              </w:rPr>
            </w:pPr>
            <w:r w:rsidRPr="00C54704">
              <w:rPr>
                <w:rFonts w:eastAsia="Times New Roman" w:cstheme="minorHAnsi"/>
                <w:b/>
                <w:bCs/>
                <w:color w:val="000000"/>
                <w:sz w:val="18"/>
                <w:szCs w:val="18"/>
                <w:lang w:eastAsia="hr-HR"/>
              </w:rPr>
              <w:t>Status</w:t>
            </w:r>
          </w:p>
        </w:tc>
        <w:tc>
          <w:tcPr>
            <w:tcW w:w="593" w:type="pct"/>
            <w:shd w:val="clear" w:color="000000" w:fill="D9D9D9"/>
            <w:vAlign w:val="center"/>
            <w:hideMark/>
          </w:tcPr>
          <w:p w14:paraId="23C40DAC" w14:textId="77777777" w:rsidR="005B0FC9" w:rsidRPr="00C54704" w:rsidRDefault="005B0FC9" w:rsidP="00A8592F">
            <w:pPr>
              <w:spacing w:after="0" w:line="240" w:lineRule="auto"/>
              <w:jc w:val="center"/>
              <w:rPr>
                <w:rFonts w:eastAsia="Times New Roman" w:cstheme="minorHAnsi"/>
                <w:b/>
                <w:bCs/>
                <w:color w:val="000000"/>
                <w:sz w:val="18"/>
                <w:szCs w:val="18"/>
                <w:lang w:eastAsia="hr-HR"/>
              </w:rPr>
            </w:pPr>
            <w:r w:rsidRPr="00C54704">
              <w:rPr>
                <w:rFonts w:eastAsia="Times New Roman" w:cstheme="minorHAnsi"/>
                <w:b/>
                <w:bCs/>
                <w:color w:val="000000"/>
                <w:sz w:val="18"/>
                <w:szCs w:val="18"/>
                <w:lang w:eastAsia="hr-HR"/>
              </w:rPr>
              <w:t>Iznos ukupne investicije</w:t>
            </w:r>
          </w:p>
        </w:tc>
        <w:tc>
          <w:tcPr>
            <w:tcW w:w="496" w:type="pct"/>
            <w:shd w:val="clear" w:color="000000" w:fill="D9D9D9"/>
            <w:vAlign w:val="center"/>
            <w:hideMark/>
          </w:tcPr>
          <w:p w14:paraId="334D3BF4" w14:textId="77777777" w:rsidR="005B0FC9" w:rsidRPr="00C54704" w:rsidRDefault="005B0FC9" w:rsidP="00A8592F">
            <w:pPr>
              <w:spacing w:after="0" w:line="240" w:lineRule="auto"/>
              <w:jc w:val="center"/>
              <w:rPr>
                <w:rFonts w:eastAsia="Times New Roman" w:cstheme="minorHAnsi"/>
                <w:b/>
                <w:bCs/>
                <w:color w:val="000000"/>
                <w:sz w:val="18"/>
                <w:szCs w:val="18"/>
                <w:lang w:eastAsia="hr-HR"/>
              </w:rPr>
            </w:pPr>
            <w:r w:rsidRPr="00C54704">
              <w:rPr>
                <w:rFonts w:eastAsia="Times New Roman" w:cstheme="minorHAnsi"/>
                <w:b/>
                <w:bCs/>
                <w:color w:val="000000"/>
                <w:sz w:val="18"/>
                <w:szCs w:val="18"/>
                <w:lang w:eastAsia="hr-HR"/>
              </w:rPr>
              <w:t>Udjel Fonda u %</w:t>
            </w:r>
          </w:p>
        </w:tc>
        <w:tc>
          <w:tcPr>
            <w:tcW w:w="544" w:type="pct"/>
            <w:shd w:val="clear" w:color="000000" w:fill="D9D9D9"/>
            <w:vAlign w:val="center"/>
            <w:hideMark/>
          </w:tcPr>
          <w:p w14:paraId="3501C985" w14:textId="77777777" w:rsidR="005B0FC9" w:rsidRPr="00C54704" w:rsidRDefault="005B0FC9" w:rsidP="00A8592F">
            <w:pPr>
              <w:spacing w:after="0" w:line="240" w:lineRule="auto"/>
              <w:jc w:val="center"/>
              <w:rPr>
                <w:rFonts w:eastAsia="Times New Roman" w:cstheme="minorHAnsi"/>
                <w:b/>
                <w:bCs/>
                <w:color w:val="000000"/>
                <w:sz w:val="18"/>
                <w:szCs w:val="18"/>
                <w:lang w:eastAsia="hr-HR"/>
              </w:rPr>
            </w:pPr>
            <w:r w:rsidRPr="00C54704">
              <w:rPr>
                <w:rFonts w:eastAsia="Times New Roman" w:cstheme="minorHAnsi"/>
                <w:b/>
                <w:bCs/>
                <w:color w:val="000000"/>
                <w:sz w:val="18"/>
                <w:szCs w:val="18"/>
                <w:lang w:eastAsia="hr-HR"/>
              </w:rPr>
              <w:t>Dodijeljena sredstva Fonda</w:t>
            </w:r>
          </w:p>
        </w:tc>
      </w:tr>
      <w:tr w:rsidR="00884877" w:rsidRPr="00C54704" w14:paraId="2AD14C58" w14:textId="77777777" w:rsidTr="00884877">
        <w:trPr>
          <w:trHeight w:val="751"/>
        </w:trPr>
        <w:tc>
          <w:tcPr>
            <w:tcW w:w="990" w:type="pct"/>
            <w:shd w:val="clear" w:color="auto" w:fill="auto"/>
            <w:vAlign w:val="center"/>
            <w:hideMark/>
          </w:tcPr>
          <w:p w14:paraId="3B0702BD" w14:textId="77777777" w:rsidR="005B0FC9" w:rsidRPr="00C54704" w:rsidRDefault="005B0FC9" w:rsidP="00A8592F">
            <w:pPr>
              <w:spacing w:after="0" w:line="240" w:lineRule="auto"/>
              <w:rPr>
                <w:rFonts w:eastAsia="Times New Roman" w:cstheme="minorHAnsi"/>
                <w:sz w:val="18"/>
                <w:szCs w:val="18"/>
                <w:lang w:eastAsia="hr-HR"/>
              </w:rPr>
            </w:pPr>
            <w:r w:rsidRPr="00C54704">
              <w:rPr>
                <w:rFonts w:eastAsia="Times New Roman" w:cstheme="minorHAnsi"/>
                <w:sz w:val="18"/>
                <w:szCs w:val="18"/>
                <w:lang w:eastAsia="hr-HR"/>
              </w:rPr>
              <w:t>Zajedničko financiranje provedbe energetskih pregleda i energetskog certificiranja 7 zgrada u vlasništvu Grada Zagreba</w:t>
            </w:r>
          </w:p>
        </w:tc>
        <w:tc>
          <w:tcPr>
            <w:tcW w:w="545" w:type="pct"/>
            <w:shd w:val="clear" w:color="auto" w:fill="auto"/>
            <w:vAlign w:val="center"/>
            <w:hideMark/>
          </w:tcPr>
          <w:p w14:paraId="1700D7D1"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GRAD ZAGREB</w:t>
            </w:r>
          </w:p>
        </w:tc>
        <w:tc>
          <w:tcPr>
            <w:tcW w:w="1139" w:type="pct"/>
            <w:shd w:val="clear" w:color="auto" w:fill="auto"/>
            <w:vAlign w:val="center"/>
            <w:hideMark/>
          </w:tcPr>
          <w:p w14:paraId="16642786" w14:textId="77777777" w:rsidR="005B0FC9" w:rsidRPr="00C54704" w:rsidRDefault="005B0FC9" w:rsidP="00A8592F">
            <w:pPr>
              <w:spacing w:after="0" w:line="240" w:lineRule="auto"/>
              <w:jc w:val="center"/>
              <w:rPr>
                <w:rFonts w:eastAsia="Times New Roman" w:cstheme="minorHAnsi"/>
                <w:sz w:val="18"/>
                <w:szCs w:val="18"/>
                <w:lang w:eastAsia="hr-HR"/>
              </w:rPr>
            </w:pPr>
            <w:r w:rsidRPr="00C54704">
              <w:rPr>
                <w:rFonts w:eastAsia="Times New Roman" w:cstheme="minorHAnsi"/>
                <w:sz w:val="18"/>
                <w:szCs w:val="18"/>
                <w:lang w:eastAsia="hr-HR"/>
              </w:rPr>
              <w:t>Zajedničko financiranje provedbe energetskih pregleda i energetskog certificiranja 7 zgrada u vlasništvu Grada Zagreba</w:t>
            </w:r>
          </w:p>
        </w:tc>
        <w:tc>
          <w:tcPr>
            <w:tcW w:w="693" w:type="pct"/>
            <w:shd w:val="clear" w:color="auto" w:fill="auto"/>
            <w:vAlign w:val="center"/>
            <w:hideMark/>
          </w:tcPr>
          <w:p w14:paraId="1B4CF4CE" w14:textId="77777777" w:rsidR="005B0FC9" w:rsidRPr="00C54704" w:rsidRDefault="005B0FC9" w:rsidP="00A8592F">
            <w:pPr>
              <w:spacing w:after="0" w:line="240" w:lineRule="auto"/>
              <w:jc w:val="center"/>
              <w:rPr>
                <w:rFonts w:eastAsia="Times New Roman" w:cstheme="minorHAnsi"/>
                <w:sz w:val="18"/>
                <w:szCs w:val="18"/>
                <w:lang w:eastAsia="hr-HR"/>
              </w:rPr>
            </w:pPr>
            <w:r w:rsidRPr="00C54704">
              <w:rPr>
                <w:rFonts w:eastAsia="Times New Roman" w:cstheme="minorHAnsi"/>
                <w:sz w:val="18"/>
                <w:szCs w:val="18"/>
                <w:lang w:eastAsia="hr-HR"/>
              </w:rPr>
              <w:t>UGOVOR FINANCIJSKI ZATVOREN</w:t>
            </w:r>
          </w:p>
        </w:tc>
        <w:tc>
          <w:tcPr>
            <w:tcW w:w="593" w:type="pct"/>
            <w:shd w:val="clear" w:color="auto" w:fill="auto"/>
            <w:vAlign w:val="center"/>
            <w:hideMark/>
          </w:tcPr>
          <w:p w14:paraId="7258545B" w14:textId="323F86CF" w:rsidR="005B0FC9" w:rsidRPr="00C54704" w:rsidRDefault="00884877" w:rsidP="00A8592F">
            <w:pPr>
              <w:spacing w:after="0" w:line="240" w:lineRule="auto"/>
              <w:jc w:val="center"/>
              <w:rPr>
                <w:rFonts w:eastAsia="Times New Roman" w:cstheme="minorHAnsi"/>
                <w:sz w:val="18"/>
                <w:szCs w:val="18"/>
                <w:lang w:eastAsia="hr-HR"/>
              </w:rPr>
            </w:pPr>
            <w:r>
              <w:rPr>
                <w:rFonts w:eastAsia="Times New Roman" w:cstheme="minorHAnsi"/>
                <w:sz w:val="18"/>
                <w:szCs w:val="18"/>
                <w:lang w:eastAsia="hr-HR"/>
              </w:rPr>
              <w:t xml:space="preserve">18 </w:t>
            </w:r>
            <w:r w:rsidR="005B0FC9" w:rsidRPr="00C54704">
              <w:rPr>
                <w:rFonts w:eastAsia="Times New Roman" w:cstheme="minorHAnsi"/>
                <w:sz w:val="18"/>
                <w:szCs w:val="18"/>
                <w:lang w:eastAsia="hr-HR"/>
              </w:rPr>
              <w:t>587,75</w:t>
            </w:r>
          </w:p>
        </w:tc>
        <w:tc>
          <w:tcPr>
            <w:tcW w:w="496" w:type="pct"/>
            <w:shd w:val="clear" w:color="auto" w:fill="auto"/>
            <w:vAlign w:val="center"/>
            <w:hideMark/>
          </w:tcPr>
          <w:p w14:paraId="41A918E0" w14:textId="77777777" w:rsidR="005B0FC9" w:rsidRPr="00C54704" w:rsidRDefault="005B0FC9" w:rsidP="00A8592F">
            <w:pPr>
              <w:spacing w:after="0" w:line="240" w:lineRule="auto"/>
              <w:jc w:val="center"/>
              <w:rPr>
                <w:rFonts w:eastAsia="Times New Roman" w:cstheme="minorHAnsi"/>
                <w:sz w:val="18"/>
                <w:szCs w:val="18"/>
                <w:lang w:eastAsia="hr-HR"/>
              </w:rPr>
            </w:pPr>
            <w:r w:rsidRPr="00C54704">
              <w:rPr>
                <w:rFonts w:eastAsia="Times New Roman" w:cstheme="minorHAnsi"/>
                <w:sz w:val="18"/>
                <w:szCs w:val="18"/>
                <w:lang w:eastAsia="hr-HR"/>
              </w:rPr>
              <w:t>40,00</w:t>
            </w:r>
          </w:p>
        </w:tc>
        <w:tc>
          <w:tcPr>
            <w:tcW w:w="544" w:type="pct"/>
            <w:shd w:val="clear" w:color="auto" w:fill="auto"/>
            <w:vAlign w:val="center"/>
            <w:hideMark/>
          </w:tcPr>
          <w:p w14:paraId="0F2C1FEC" w14:textId="6775A2C8" w:rsidR="005B0FC9" w:rsidRPr="00C54704" w:rsidRDefault="00884877" w:rsidP="00A8592F">
            <w:pPr>
              <w:spacing w:after="0" w:line="240" w:lineRule="auto"/>
              <w:jc w:val="center"/>
              <w:rPr>
                <w:rFonts w:eastAsia="Times New Roman" w:cstheme="minorHAnsi"/>
                <w:sz w:val="18"/>
                <w:szCs w:val="18"/>
                <w:lang w:eastAsia="hr-HR"/>
              </w:rPr>
            </w:pPr>
            <w:r>
              <w:rPr>
                <w:rFonts w:eastAsia="Times New Roman" w:cstheme="minorHAnsi"/>
                <w:sz w:val="18"/>
                <w:szCs w:val="18"/>
                <w:lang w:eastAsia="hr-HR"/>
              </w:rPr>
              <w:t xml:space="preserve">7 </w:t>
            </w:r>
            <w:r w:rsidR="005B0FC9" w:rsidRPr="00C54704">
              <w:rPr>
                <w:rFonts w:eastAsia="Times New Roman" w:cstheme="minorHAnsi"/>
                <w:sz w:val="18"/>
                <w:szCs w:val="18"/>
                <w:lang w:eastAsia="hr-HR"/>
              </w:rPr>
              <w:t>435,10</w:t>
            </w:r>
          </w:p>
        </w:tc>
      </w:tr>
      <w:tr w:rsidR="00884877" w:rsidRPr="00C54704" w14:paraId="4D6A099D" w14:textId="77777777" w:rsidTr="00884877">
        <w:trPr>
          <w:trHeight w:val="70"/>
        </w:trPr>
        <w:tc>
          <w:tcPr>
            <w:tcW w:w="990" w:type="pct"/>
            <w:shd w:val="clear" w:color="auto" w:fill="auto"/>
            <w:vAlign w:val="center"/>
            <w:hideMark/>
          </w:tcPr>
          <w:p w14:paraId="3A6A9ADE" w14:textId="77777777" w:rsidR="005B0FC9" w:rsidRPr="00C54704" w:rsidRDefault="005B0FC9" w:rsidP="00A8592F">
            <w:pPr>
              <w:spacing w:after="0" w:line="240" w:lineRule="auto"/>
              <w:rPr>
                <w:rFonts w:eastAsia="Times New Roman" w:cstheme="minorHAnsi"/>
                <w:color w:val="000000"/>
                <w:sz w:val="18"/>
                <w:szCs w:val="18"/>
                <w:lang w:eastAsia="hr-HR"/>
              </w:rPr>
            </w:pPr>
            <w:r w:rsidRPr="00C54704">
              <w:rPr>
                <w:rFonts w:eastAsia="Times New Roman" w:cstheme="minorHAnsi"/>
                <w:color w:val="000000"/>
                <w:sz w:val="18"/>
                <w:szCs w:val="18"/>
                <w:lang w:eastAsia="hr-HR"/>
              </w:rPr>
              <w:t>Poticanje održive gradnje (K2021)</w:t>
            </w:r>
          </w:p>
        </w:tc>
        <w:tc>
          <w:tcPr>
            <w:tcW w:w="545" w:type="pct"/>
            <w:shd w:val="clear" w:color="auto" w:fill="auto"/>
            <w:vAlign w:val="center"/>
            <w:hideMark/>
          </w:tcPr>
          <w:p w14:paraId="26C41AC1"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GRAD ZAGREB</w:t>
            </w:r>
          </w:p>
        </w:tc>
        <w:tc>
          <w:tcPr>
            <w:tcW w:w="1139" w:type="pct"/>
            <w:shd w:val="clear" w:color="auto" w:fill="auto"/>
            <w:vAlign w:val="center"/>
            <w:hideMark/>
          </w:tcPr>
          <w:p w14:paraId="4C432B5D"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Energetska obnova DV Srednjaci, Vladimira Filakovca 2</w:t>
            </w:r>
          </w:p>
        </w:tc>
        <w:tc>
          <w:tcPr>
            <w:tcW w:w="693" w:type="pct"/>
            <w:shd w:val="clear" w:color="auto" w:fill="auto"/>
            <w:vAlign w:val="center"/>
            <w:hideMark/>
          </w:tcPr>
          <w:p w14:paraId="47E3730A"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UGOVOR U PROVEDBI</w:t>
            </w:r>
          </w:p>
        </w:tc>
        <w:tc>
          <w:tcPr>
            <w:tcW w:w="593" w:type="pct"/>
            <w:shd w:val="clear" w:color="auto" w:fill="auto"/>
            <w:vAlign w:val="center"/>
            <w:hideMark/>
          </w:tcPr>
          <w:p w14:paraId="7BC121D1" w14:textId="084D2B2F"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2 129 </w:t>
            </w:r>
            <w:r w:rsidR="005B0FC9" w:rsidRPr="00C54704">
              <w:rPr>
                <w:rFonts w:eastAsia="Times New Roman" w:cstheme="minorHAnsi"/>
                <w:color w:val="000000"/>
                <w:sz w:val="18"/>
                <w:szCs w:val="18"/>
                <w:lang w:eastAsia="hr-HR"/>
              </w:rPr>
              <w:t>141,89</w:t>
            </w:r>
          </w:p>
        </w:tc>
        <w:tc>
          <w:tcPr>
            <w:tcW w:w="496" w:type="pct"/>
            <w:shd w:val="clear" w:color="auto" w:fill="auto"/>
            <w:vAlign w:val="center"/>
            <w:hideMark/>
          </w:tcPr>
          <w:p w14:paraId="3B3B514D"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40</w:t>
            </w:r>
          </w:p>
        </w:tc>
        <w:tc>
          <w:tcPr>
            <w:tcW w:w="544" w:type="pct"/>
            <w:shd w:val="clear" w:color="auto" w:fill="auto"/>
            <w:vAlign w:val="center"/>
            <w:hideMark/>
          </w:tcPr>
          <w:p w14:paraId="6DAAD2E8" w14:textId="0DD4CCF9"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851 </w:t>
            </w:r>
            <w:r w:rsidR="005B0FC9" w:rsidRPr="00C54704">
              <w:rPr>
                <w:rFonts w:eastAsia="Times New Roman" w:cstheme="minorHAnsi"/>
                <w:color w:val="000000"/>
                <w:sz w:val="18"/>
                <w:szCs w:val="18"/>
                <w:lang w:eastAsia="hr-HR"/>
              </w:rPr>
              <w:t>656,76</w:t>
            </w:r>
          </w:p>
        </w:tc>
      </w:tr>
      <w:tr w:rsidR="00884877" w:rsidRPr="00C54704" w14:paraId="2500A79E" w14:textId="77777777" w:rsidTr="00884877">
        <w:trPr>
          <w:trHeight w:val="70"/>
        </w:trPr>
        <w:tc>
          <w:tcPr>
            <w:tcW w:w="990" w:type="pct"/>
            <w:shd w:val="clear" w:color="auto" w:fill="auto"/>
            <w:vAlign w:val="center"/>
            <w:hideMark/>
          </w:tcPr>
          <w:p w14:paraId="77FFA546" w14:textId="77777777" w:rsidR="005B0FC9" w:rsidRPr="00C54704" w:rsidRDefault="005B0FC9" w:rsidP="00A8592F">
            <w:pPr>
              <w:spacing w:after="0" w:line="240" w:lineRule="auto"/>
              <w:rPr>
                <w:rFonts w:eastAsia="Times New Roman" w:cstheme="minorHAnsi"/>
                <w:color w:val="000000"/>
                <w:sz w:val="18"/>
                <w:szCs w:val="18"/>
                <w:lang w:eastAsia="hr-HR"/>
              </w:rPr>
            </w:pPr>
            <w:r w:rsidRPr="00C54704">
              <w:rPr>
                <w:rFonts w:eastAsia="Times New Roman" w:cstheme="minorHAnsi"/>
                <w:color w:val="000000"/>
                <w:sz w:val="18"/>
                <w:szCs w:val="18"/>
                <w:lang w:eastAsia="hr-HR"/>
              </w:rPr>
              <w:t>Poticanje održive gradnje (K2021)</w:t>
            </w:r>
          </w:p>
        </w:tc>
        <w:tc>
          <w:tcPr>
            <w:tcW w:w="545" w:type="pct"/>
            <w:shd w:val="clear" w:color="auto" w:fill="auto"/>
            <w:vAlign w:val="center"/>
            <w:hideMark/>
          </w:tcPr>
          <w:p w14:paraId="25745515"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GRAD ZAGREB</w:t>
            </w:r>
          </w:p>
        </w:tc>
        <w:tc>
          <w:tcPr>
            <w:tcW w:w="1139" w:type="pct"/>
            <w:shd w:val="clear" w:color="auto" w:fill="auto"/>
            <w:vAlign w:val="center"/>
            <w:hideMark/>
          </w:tcPr>
          <w:p w14:paraId="7AF0DAC5"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Energetska obnova DV Vrapče, Mihovila Gračanina 4a</w:t>
            </w:r>
          </w:p>
        </w:tc>
        <w:tc>
          <w:tcPr>
            <w:tcW w:w="693" w:type="pct"/>
            <w:shd w:val="clear" w:color="auto" w:fill="auto"/>
            <w:vAlign w:val="center"/>
            <w:hideMark/>
          </w:tcPr>
          <w:p w14:paraId="0505B719"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UGOVOR U PRIPREMI</w:t>
            </w:r>
          </w:p>
        </w:tc>
        <w:tc>
          <w:tcPr>
            <w:tcW w:w="593" w:type="pct"/>
            <w:shd w:val="clear" w:color="auto" w:fill="auto"/>
            <w:vAlign w:val="center"/>
            <w:hideMark/>
          </w:tcPr>
          <w:p w14:paraId="474DF38D" w14:textId="28C1920F"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2 361 </w:t>
            </w:r>
            <w:r w:rsidR="005B0FC9" w:rsidRPr="00C54704">
              <w:rPr>
                <w:rFonts w:eastAsia="Times New Roman" w:cstheme="minorHAnsi"/>
                <w:color w:val="000000"/>
                <w:sz w:val="18"/>
                <w:szCs w:val="18"/>
                <w:lang w:eastAsia="hr-HR"/>
              </w:rPr>
              <w:t>350,00</w:t>
            </w:r>
          </w:p>
        </w:tc>
        <w:tc>
          <w:tcPr>
            <w:tcW w:w="496" w:type="pct"/>
            <w:shd w:val="clear" w:color="auto" w:fill="auto"/>
            <w:vAlign w:val="center"/>
            <w:hideMark/>
          </w:tcPr>
          <w:p w14:paraId="14854E47"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40</w:t>
            </w:r>
          </w:p>
        </w:tc>
        <w:tc>
          <w:tcPr>
            <w:tcW w:w="544" w:type="pct"/>
            <w:shd w:val="clear" w:color="auto" w:fill="auto"/>
            <w:vAlign w:val="center"/>
            <w:hideMark/>
          </w:tcPr>
          <w:p w14:paraId="5918BC67" w14:textId="5E2C05E2"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944 </w:t>
            </w:r>
            <w:r w:rsidR="005B0FC9" w:rsidRPr="00C54704">
              <w:rPr>
                <w:rFonts w:eastAsia="Times New Roman" w:cstheme="minorHAnsi"/>
                <w:color w:val="000000"/>
                <w:sz w:val="18"/>
                <w:szCs w:val="18"/>
                <w:lang w:eastAsia="hr-HR"/>
              </w:rPr>
              <w:t>540,00</w:t>
            </w:r>
          </w:p>
        </w:tc>
      </w:tr>
      <w:tr w:rsidR="00884877" w:rsidRPr="00C54704" w14:paraId="5CCE2E6C" w14:textId="77777777" w:rsidTr="00884877">
        <w:trPr>
          <w:trHeight w:val="70"/>
        </w:trPr>
        <w:tc>
          <w:tcPr>
            <w:tcW w:w="990" w:type="pct"/>
            <w:shd w:val="clear" w:color="auto" w:fill="auto"/>
            <w:vAlign w:val="center"/>
            <w:hideMark/>
          </w:tcPr>
          <w:p w14:paraId="252B16F7" w14:textId="77777777" w:rsidR="005B0FC9" w:rsidRPr="00C54704" w:rsidRDefault="005B0FC9" w:rsidP="00A8592F">
            <w:pPr>
              <w:spacing w:after="0" w:line="240" w:lineRule="auto"/>
              <w:rPr>
                <w:rFonts w:eastAsia="Times New Roman" w:cstheme="minorHAnsi"/>
                <w:color w:val="000000"/>
                <w:sz w:val="18"/>
                <w:szCs w:val="18"/>
                <w:lang w:eastAsia="hr-HR"/>
              </w:rPr>
            </w:pPr>
            <w:r w:rsidRPr="00C54704">
              <w:rPr>
                <w:rFonts w:eastAsia="Times New Roman" w:cstheme="minorHAnsi"/>
                <w:color w:val="000000"/>
                <w:sz w:val="18"/>
                <w:szCs w:val="18"/>
                <w:lang w:eastAsia="hr-HR"/>
              </w:rPr>
              <w:t>Poticanje održive gradnje (K2021)</w:t>
            </w:r>
          </w:p>
        </w:tc>
        <w:tc>
          <w:tcPr>
            <w:tcW w:w="545" w:type="pct"/>
            <w:shd w:val="clear" w:color="auto" w:fill="auto"/>
            <w:vAlign w:val="center"/>
            <w:hideMark/>
          </w:tcPr>
          <w:p w14:paraId="011CCEE9"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GRAD ZAGREB</w:t>
            </w:r>
          </w:p>
        </w:tc>
        <w:tc>
          <w:tcPr>
            <w:tcW w:w="1139" w:type="pct"/>
            <w:shd w:val="clear" w:color="auto" w:fill="auto"/>
            <w:vAlign w:val="center"/>
            <w:hideMark/>
          </w:tcPr>
          <w:p w14:paraId="493A7791"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Energetska obnova DV Zvončić, Hanamanova 3a</w:t>
            </w:r>
          </w:p>
        </w:tc>
        <w:tc>
          <w:tcPr>
            <w:tcW w:w="693" w:type="pct"/>
            <w:shd w:val="clear" w:color="auto" w:fill="auto"/>
            <w:vAlign w:val="center"/>
            <w:hideMark/>
          </w:tcPr>
          <w:p w14:paraId="6309D4FC"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UGOVOR U PROVEDBI</w:t>
            </w:r>
          </w:p>
        </w:tc>
        <w:tc>
          <w:tcPr>
            <w:tcW w:w="593" w:type="pct"/>
            <w:shd w:val="clear" w:color="auto" w:fill="auto"/>
            <w:vAlign w:val="center"/>
            <w:hideMark/>
          </w:tcPr>
          <w:p w14:paraId="0B3CAEA7" w14:textId="136D66E9"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1 268 </w:t>
            </w:r>
            <w:r w:rsidR="005B0FC9" w:rsidRPr="00C54704">
              <w:rPr>
                <w:rFonts w:eastAsia="Times New Roman" w:cstheme="minorHAnsi"/>
                <w:color w:val="000000"/>
                <w:sz w:val="18"/>
                <w:szCs w:val="18"/>
                <w:lang w:eastAsia="hr-HR"/>
              </w:rPr>
              <w:t>806,08</w:t>
            </w:r>
          </w:p>
        </w:tc>
        <w:tc>
          <w:tcPr>
            <w:tcW w:w="496" w:type="pct"/>
            <w:shd w:val="clear" w:color="auto" w:fill="auto"/>
            <w:vAlign w:val="center"/>
            <w:hideMark/>
          </w:tcPr>
          <w:p w14:paraId="3204EDBF"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40</w:t>
            </w:r>
          </w:p>
        </w:tc>
        <w:tc>
          <w:tcPr>
            <w:tcW w:w="544" w:type="pct"/>
            <w:shd w:val="clear" w:color="auto" w:fill="auto"/>
            <w:vAlign w:val="center"/>
            <w:hideMark/>
          </w:tcPr>
          <w:p w14:paraId="02219141" w14:textId="3970667C"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507 </w:t>
            </w:r>
            <w:r w:rsidR="005B0FC9" w:rsidRPr="00C54704">
              <w:rPr>
                <w:rFonts w:eastAsia="Times New Roman" w:cstheme="minorHAnsi"/>
                <w:color w:val="000000"/>
                <w:sz w:val="18"/>
                <w:szCs w:val="18"/>
                <w:lang w:eastAsia="hr-HR"/>
              </w:rPr>
              <w:t>522,43</w:t>
            </w:r>
          </w:p>
        </w:tc>
      </w:tr>
      <w:tr w:rsidR="00884877" w:rsidRPr="00C54704" w14:paraId="5DD8BE1F" w14:textId="77777777" w:rsidTr="00884877">
        <w:trPr>
          <w:trHeight w:val="70"/>
        </w:trPr>
        <w:tc>
          <w:tcPr>
            <w:tcW w:w="990" w:type="pct"/>
            <w:shd w:val="clear" w:color="auto" w:fill="auto"/>
            <w:vAlign w:val="center"/>
            <w:hideMark/>
          </w:tcPr>
          <w:p w14:paraId="6CD7CDD6" w14:textId="77777777" w:rsidR="005B0FC9" w:rsidRPr="00C54704" w:rsidRDefault="005B0FC9" w:rsidP="00A8592F">
            <w:pPr>
              <w:spacing w:after="0" w:line="240" w:lineRule="auto"/>
              <w:rPr>
                <w:rFonts w:eastAsia="Times New Roman" w:cstheme="minorHAnsi"/>
                <w:color w:val="000000"/>
                <w:sz w:val="18"/>
                <w:szCs w:val="18"/>
                <w:lang w:eastAsia="hr-HR"/>
              </w:rPr>
            </w:pPr>
            <w:r w:rsidRPr="00C54704">
              <w:rPr>
                <w:rFonts w:eastAsia="Times New Roman" w:cstheme="minorHAnsi"/>
                <w:color w:val="000000"/>
                <w:sz w:val="18"/>
                <w:szCs w:val="18"/>
                <w:lang w:eastAsia="hr-HR"/>
              </w:rPr>
              <w:t>Poticanje održive gradnje (K2021)</w:t>
            </w:r>
          </w:p>
        </w:tc>
        <w:tc>
          <w:tcPr>
            <w:tcW w:w="545" w:type="pct"/>
            <w:shd w:val="clear" w:color="auto" w:fill="auto"/>
            <w:vAlign w:val="center"/>
            <w:hideMark/>
          </w:tcPr>
          <w:p w14:paraId="2E006B1A"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GRAD ZAGREB</w:t>
            </w:r>
          </w:p>
        </w:tc>
        <w:tc>
          <w:tcPr>
            <w:tcW w:w="1139" w:type="pct"/>
            <w:shd w:val="clear" w:color="auto" w:fill="auto"/>
            <w:vAlign w:val="center"/>
            <w:hideMark/>
          </w:tcPr>
          <w:p w14:paraId="61198EB3"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Energetska obnova DV Jaruna, Martina Pušteka 14</w:t>
            </w:r>
          </w:p>
        </w:tc>
        <w:tc>
          <w:tcPr>
            <w:tcW w:w="693" w:type="pct"/>
            <w:shd w:val="clear" w:color="auto" w:fill="auto"/>
            <w:vAlign w:val="center"/>
            <w:hideMark/>
          </w:tcPr>
          <w:p w14:paraId="2C844318"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ODLUKA FINANCIJSKI ZATVORENA</w:t>
            </w:r>
          </w:p>
        </w:tc>
        <w:tc>
          <w:tcPr>
            <w:tcW w:w="593" w:type="pct"/>
            <w:shd w:val="clear" w:color="auto" w:fill="auto"/>
            <w:vAlign w:val="center"/>
            <w:hideMark/>
          </w:tcPr>
          <w:p w14:paraId="690EAFEE" w14:textId="00B3EE5D"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3 233 </w:t>
            </w:r>
            <w:r w:rsidR="005B0FC9" w:rsidRPr="00C54704">
              <w:rPr>
                <w:rFonts w:eastAsia="Times New Roman" w:cstheme="minorHAnsi"/>
                <w:color w:val="000000"/>
                <w:sz w:val="18"/>
                <w:szCs w:val="18"/>
                <w:lang w:eastAsia="hr-HR"/>
              </w:rPr>
              <w:t>559,25</w:t>
            </w:r>
          </w:p>
        </w:tc>
        <w:tc>
          <w:tcPr>
            <w:tcW w:w="496" w:type="pct"/>
            <w:shd w:val="clear" w:color="auto" w:fill="auto"/>
            <w:vAlign w:val="center"/>
            <w:hideMark/>
          </w:tcPr>
          <w:p w14:paraId="738030D9"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40</w:t>
            </w:r>
          </w:p>
        </w:tc>
        <w:tc>
          <w:tcPr>
            <w:tcW w:w="544" w:type="pct"/>
            <w:shd w:val="clear" w:color="auto" w:fill="auto"/>
            <w:vAlign w:val="center"/>
            <w:hideMark/>
          </w:tcPr>
          <w:p w14:paraId="17DEEA8C" w14:textId="7BBCC701"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1 293 </w:t>
            </w:r>
            <w:r w:rsidR="005B0FC9" w:rsidRPr="00C54704">
              <w:rPr>
                <w:rFonts w:eastAsia="Times New Roman" w:cstheme="minorHAnsi"/>
                <w:color w:val="000000"/>
                <w:sz w:val="18"/>
                <w:szCs w:val="18"/>
                <w:lang w:eastAsia="hr-HR"/>
              </w:rPr>
              <w:t>423,70</w:t>
            </w:r>
          </w:p>
        </w:tc>
      </w:tr>
      <w:tr w:rsidR="00884877" w:rsidRPr="00C54704" w14:paraId="5F523917" w14:textId="77777777" w:rsidTr="00884877">
        <w:trPr>
          <w:trHeight w:val="70"/>
        </w:trPr>
        <w:tc>
          <w:tcPr>
            <w:tcW w:w="990" w:type="pct"/>
            <w:shd w:val="clear" w:color="auto" w:fill="auto"/>
            <w:vAlign w:val="center"/>
            <w:hideMark/>
          </w:tcPr>
          <w:p w14:paraId="5F028D1E" w14:textId="77777777" w:rsidR="005B0FC9" w:rsidRPr="00C54704" w:rsidRDefault="005B0FC9" w:rsidP="00A8592F">
            <w:pPr>
              <w:spacing w:after="0" w:line="240" w:lineRule="auto"/>
              <w:rPr>
                <w:rFonts w:eastAsia="Times New Roman" w:cstheme="minorHAnsi"/>
                <w:color w:val="000000"/>
                <w:sz w:val="18"/>
                <w:szCs w:val="18"/>
                <w:lang w:eastAsia="hr-HR"/>
              </w:rPr>
            </w:pPr>
            <w:r w:rsidRPr="00C54704">
              <w:rPr>
                <w:rFonts w:eastAsia="Times New Roman" w:cstheme="minorHAnsi"/>
                <w:color w:val="000000"/>
                <w:sz w:val="18"/>
                <w:szCs w:val="18"/>
                <w:lang w:eastAsia="hr-HR"/>
              </w:rPr>
              <w:t>Poticanje održive gradnje (K2021)</w:t>
            </w:r>
          </w:p>
        </w:tc>
        <w:tc>
          <w:tcPr>
            <w:tcW w:w="545" w:type="pct"/>
            <w:shd w:val="clear" w:color="auto" w:fill="auto"/>
            <w:vAlign w:val="center"/>
            <w:hideMark/>
          </w:tcPr>
          <w:p w14:paraId="7FEC9A47"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GRAD ZAGREB</w:t>
            </w:r>
          </w:p>
        </w:tc>
        <w:tc>
          <w:tcPr>
            <w:tcW w:w="1139" w:type="pct"/>
            <w:shd w:val="clear" w:color="auto" w:fill="auto"/>
            <w:vAlign w:val="center"/>
            <w:hideMark/>
          </w:tcPr>
          <w:p w14:paraId="32E78297"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Energetska obnova DV Srednjaci, I Loparska ulica 11</w:t>
            </w:r>
          </w:p>
        </w:tc>
        <w:tc>
          <w:tcPr>
            <w:tcW w:w="693" w:type="pct"/>
            <w:shd w:val="clear" w:color="auto" w:fill="auto"/>
            <w:vAlign w:val="center"/>
            <w:hideMark/>
          </w:tcPr>
          <w:p w14:paraId="7689AACD"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UGOVOR U PRIPREMI</w:t>
            </w:r>
          </w:p>
        </w:tc>
        <w:tc>
          <w:tcPr>
            <w:tcW w:w="593" w:type="pct"/>
            <w:shd w:val="clear" w:color="auto" w:fill="auto"/>
            <w:vAlign w:val="center"/>
            <w:hideMark/>
          </w:tcPr>
          <w:p w14:paraId="1A6A7369" w14:textId="10F174F0"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3 125 </w:t>
            </w:r>
            <w:r w:rsidR="005B0FC9" w:rsidRPr="00C54704">
              <w:rPr>
                <w:rFonts w:eastAsia="Times New Roman" w:cstheme="minorHAnsi"/>
                <w:color w:val="000000"/>
                <w:sz w:val="18"/>
                <w:szCs w:val="18"/>
                <w:lang w:eastAsia="hr-HR"/>
              </w:rPr>
              <w:t>992,93</w:t>
            </w:r>
          </w:p>
        </w:tc>
        <w:tc>
          <w:tcPr>
            <w:tcW w:w="496" w:type="pct"/>
            <w:shd w:val="clear" w:color="auto" w:fill="auto"/>
            <w:vAlign w:val="center"/>
            <w:hideMark/>
          </w:tcPr>
          <w:p w14:paraId="00DA3D38"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40</w:t>
            </w:r>
          </w:p>
        </w:tc>
        <w:tc>
          <w:tcPr>
            <w:tcW w:w="544" w:type="pct"/>
            <w:shd w:val="clear" w:color="auto" w:fill="auto"/>
            <w:vAlign w:val="center"/>
            <w:hideMark/>
          </w:tcPr>
          <w:p w14:paraId="4F6B380D" w14:textId="04001059"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1 250 </w:t>
            </w:r>
            <w:r w:rsidR="005B0FC9" w:rsidRPr="00C54704">
              <w:rPr>
                <w:rFonts w:eastAsia="Times New Roman" w:cstheme="minorHAnsi"/>
                <w:color w:val="000000"/>
                <w:sz w:val="18"/>
                <w:szCs w:val="18"/>
                <w:lang w:eastAsia="hr-HR"/>
              </w:rPr>
              <w:t>397,17</w:t>
            </w:r>
          </w:p>
        </w:tc>
      </w:tr>
      <w:tr w:rsidR="00884877" w:rsidRPr="00C54704" w14:paraId="4C0A6832" w14:textId="77777777" w:rsidTr="00884877">
        <w:trPr>
          <w:trHeight w:val="70"/>
        </w:trPr>
        <w:tc>
          <w:tcPr>
            <w:tcW w:w="990" w:type="pct"/>
            <w:shd w:val="clear" w:color="auto" w:fill="auto"/>
            <w:vAlign w:val="center"/>
            <w:hideMark/>
          </w:tcPr>
          <w:p w14:paraId="70652203" w14:textId="77777777" w:rsidR="005B0FC9" w:rsidRPr="00C54704" w:rsidRDefault="005B0FC9" w:rsidP="00A8592F">
            <w:pPr>
              <w:spacing w:after="0" w:line="240" w:lineRule="auto"/>
              <w:rPr>
                <w:rFonts w:eastAsia="Times New Roman" w:cstheme="minorHAnsi"/>
                <w:color w:val="000000"/>
                <w:sz w:val="18"/>
                <w:szCs w:val="18"/>
                <w:lang w:eastAsia="hr-HR"/>
              </w:rPr>
            </w:pPr>
            <w:r w:rsidRPr="00C54704">
              <w:rPr>
                <w:rFonts w:eastAsia="Times New Roman" w:cstheme="minorHAnsi"/>
                <w:color w:val="000000"/>
                <w:sz w:val="18"/>
                <w:szCs w:val="18"/>
                <w:lang w:eastAsia="hr-HR"/>
              </w:rPr>
              <w:t>Poticanje održive gradnje (K2021)</w:t>
            </w:r>
          </w:p>
        </w:tc>
        <w:tc>
          <w:tcPr>
            <w:tcW w:w="545" w:type="pct"/>
            <w:shd w:val="clear" w:color="auto" w:fill="auto"/>
            <w:vAlign w:val="center"/>
            <w:hideMark/>
          </w:tcPr>
          <w:p w14:paraId="72D6B430"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GRAD ZAGREB</w:t>
            </w:r>
          </w:p>
        </w:tc>
        <w:tc>
          <w:tcPr>
            <w:tcW w:w="1139" w:type="pct"/>
            <w:shd w:val="clear" w:color="auto" w:fill="auto"/>
            <w:vAlign w:val="center"/>
            <w:hideMark/>
          </w:tcPr>
          <w:p w14:paraId="31CB933E"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Energetska obnova DV Siger, Aleja pomoraca 27</w:t>
            </w:r>
          </w:p>
        </w:tc>
        <w:tc>
          <w:tcPr>
            <w:tcW w:w="693" w:type="pct"/>
            <w:shd w:val="clear" w:color="auto" w:fill="auto"/>
            <w:vAlign w:val="center"/>
            <w:hideMark/>
          </w:tcPr>
          <w:p w14:paraId="69DC8A76"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UGOVOR U PROVEDBI</w:t>
            </w:r>
          </w:p>
        </w:tc>
        <w:tc>
          <w:tcPr>
            <w:tcW w:w="593" w:type="pct"/>
            <w:shd w:val="clear" w:color="auto" w:fill="auto"/>
            <w:vAlign w:val="center"/>
            <w:hideMark/>
          </w:tcPr>
          <w:p w14:paraId="4CB8C202" w14:textId="42BBD58D"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2 484 </w:t>
            </w:r>
            <w:r w:rsidR="005B0FC9" w:rsidRPr="00C54704">
              <w:rPr>
                <w:rFonts w:eastAsia="Times New Roman" w:cstheme="minorHAnsi"/>
                <w:color w:val="000000"/>
                <w:sz w:val="18"/>
                <w:szCs w:val="18"/>
                <w:lang w:eastAsia="hr-HR"/>
              </w:rPr>
              <w:t>295,56</w:t>
            </w:r>
          </w:p>
        </w:tc>
        <w:tc>
          <w:tcPr>
            <w:tcW w:w="496" w:type="pct"/>
            <w:shd w:val="clear" w:color="auto" w:fill="auto"/>
            <w:vAlign w:val="center"/>
            <w:hideMark/>
          </w:tcPr>
          <w:p w14:paraId="66F7AB34"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40</w:t>
            </w:r>
          </w:p>
        </w:tc>
        <w:tc>
          <w:tcPr>
            <w:tcW w:w="544" w:type="pct"/>
            <w:shd w:val="clear" w:color="auto" w:fill="auto"/>
            <w:vAlign w:val="center"/>
            <w:hideMark/>
          </w:tcPr>
          <w:p w14:paraId="466FD9FC" w14:textId="09464BA5"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993 </w:t>
            </w:r>
            <w:r w:rsidR="005B0FC9" w:rsidRPr="00C54704">
              <w:rPr>
                <w:rFonts w:eastAsia="Times New Roman" w:cstheme="minorHAnsi"/>
                <w:color w:val="000000"/>
                <w:sz w:val="18"/>
                <w:szCs w:val="18"/>
                <w:lang w:eastAsia="hr-HR"/>
              </w:rPr>
              <w:t>718,22</w:t>
            </w:r>
          </w:p>
        </w:tc>
      </w:tr>
      <w:tr w:rsidR="00884877" w:rsidRPr="00C54704" w14:paraId="6131282E" w14:textId="77777777" w:rsidTr="00884877">
        <w:trPr>
          <w:trHeight w:val="70"/>
        </w:trPr>
        <w:tc>
          <w:tcPr>
            <w:tcW w:w="990" w:type="pct"/>
            <w:shd w:val="clear" w:color="auto" w:fill="auto"/>
            <w:vAlign w:val="center"/>
            <w:hideMark/>
          </w:tcPr>
          <w:p w14:paraId="464C233A" w14:textId="77777777" w:rsidR="005B0FC9" w:rsidRPr="00C54704" w:rsidRDefault="005B0FC9" w:rsidP="00A8592F">
            <w:pPr>
              <w:spacing w:after="0" w:line="240" w:lineRule="auto"/>
              <w:rPr>
                <w:rFonts w:eastAsia="Times New Roman" w:cstheme="minorHAnsi"/>
                <w:color w:val="000000"/>
                <w:sz w:val="18"/>
                <w:szCs w:val="18"/>
                <w:lang w:eastAsia="hr-HR"/>
              </w:rPr>
            </w:pPr>
            <w:r w:rsidRPr="00C54704">
              <w:rPr>
                <w:rFonts w:eastAsia="Times New Roman" w:cstheme="minorHAnsi"/>
                <w:color w:val="000000"/>
                <w:sz w:val="18"/>
                <w:szCs w:val="18"/>
                <w:lang w:eastAsia="hr-HR"/>
              </w:rPr>
              <w:t>Poticanje održive gradnje (K2021)</w:t>
            </w:r>
          </w:p>
        </w:tc>
        <w:tc>
          <w:tcPr>
            <w:tcW w:w="545" w:type="pct"/>
            <w:shd w:val="clear" w:color="auto" w:fill="auto"/>
            <w:vAlign w:val="center"/>
            <w:hideMark/>
          </w:tcPr>
          <w:p w14:paraId="71F03279"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GRAD ZAGREB</w:t>
            </w:r>
          </w:p>
        </w:tc>
        <w:tc>
          <w:tcPr>
            <w:tcW w:w="1139" w:type="pct"/>
            <w:shd w:val="clear" w:color="auto" w:fill="auto"/>
            <w:vAlign w:val="center"/>
            <w:hideMark/>
          </w:tcPr>
          <w:p w14:paraId="26CD33F6"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Energetska obnova DV Grigor Vitez, Rudeška cesta 71</w:t>
            </w:r>
          </w:p>
        </w:tc>
        <w:tc>
          <w:tcPr>
            <w:tcW w:w="693" w:type="pct"/>
            <w:shd w:val="clear" w:color="auto" w:fill="auto"/>
            <w:vAlign w:val="center"/>
            <w:hideMark/>
          </w:tcPr>
          <w:p w14:paraId="294F1C57"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UGOVOR U PRIPREMI</w:t>
            </w:r>
          </w:p>
        </w:tc>
        <w:tc>
          <w:tcPr>
            <w:tcW w:w="593" w:type="pct"/>
            <w:shd w:val="clear" w:color="auto" w:fill="auto"/>
            <w:vAlign w:val="center"/>
            <w:hideMark/>
          </w:tcPr>
          <w:p w14:paraId="5AFF0361" w14:textId="49319DCA"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1 263 </w:t>
            </w:r>
            <w:r w:rsidR="005B0FC9" w:rsidRPr="00C54704">
              <w:rPr>
                <w:rFonts w:eastAsia="Times New Roman" w:cstheme="minorHAnsi"/>
                <w:color w:val="000000"/>
                <w:sz w:val="18"/>
                <w:szCs w:val="18"/>
                <w:lang w:eastAsia="hr-HR"/>
              </w:rPr>
              <w:t>013,13</w:t>
            </w:r>
          </w:p>
        </w:tc>
        <w:tc>
          <w:tcPr>
            <w:tcW w:w="496" w:type="pct"/>
            <w:shd w:val="clear" w:color="auto" w:fill="auto"/>
            <w:vAlign w:val="center"/>
            <w:hideMark/>
          </w:tcPr>
          <w:p w14:paraId="04318EE9"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40</w:t>
            </w:r>
          </w:p>
        </w:tc>
        <w:tc>
          <w:tcPr>
            <w:tcW w:w="544" w:type="pct"/>
            <w:shd w:val="clear" w:color="auto" w:fill="auto"/>
            <w:vAlign w:val="center"/>
            <w:hideMark/>
          </w:tcPr>
          <w:p w14:paraId="7C443EFB" w14:textId="7295D86C"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505 </w:t>
            </w:r>
            <w:r w:rsidR="005B0FC9" w:rsidRPr="00C54704">
              <w:rPr>
                <w:rFonts w:eastAsia="Times New Roman" w:cstheme="minorHAnsi"/>
                <w:color w:val="000000"/>
                <w:sz w:val="18"/>
                <w:szCs w:val="18"/>
                <w:lang w:eastAsia="hr-HR"/>
              </w:rPr>
              <w:t>205,25</w:t>
            </w:r>
          </w:p>
        </w:tc>
      </w:tr>
      <w:tr w:rsidR="00884877" w:rsidRPr="00C54704" w14:paraId="3081ADAC" w14:textId="77777777" w:rsidTr="00884877">
        <w:trPr>
          <w:trHeight w:val="70"/>
        </w:trPr>
        <w:tc>
          <w:tcPr>
            <w:tcW w:w="990" w:type="pct"/>
            <w:shd w:val="clear" w:color="auto" w:fill="auto"/>
            <w:vAlign w:val="center"/>
            <w:hideMark/>
          </w:tcPr>
          <w:p w14:paraId="35DF5670" w14:textId="77777777" w:rsidR="005B0FC9" w:rsidRPr="00C54704" w:rsidRDefault="005B0FC9" w:rsidP="00A8592F">
            <w:pPr>
              <w:spacing w:after="0" w:line="240" w:lineRule="auto"/>
              <w:rPr>
                <w:rFonts w:eastAsia="Times New Roman" w:cstheme="minorHAnsi"/>
                <w:color w:val="000000"/>
                <w:sz w:val="18"/>
                <w:szCs w:val="18"/>
                <w:lang w:eastAsia="hr-HR"/>
              </w:rPr>
            </w:pPr>
            <w:r w:rsidRPr="00C54704">
              <w:rPr>
                <w:rFonts w:eastAsia="Times New Roman" w:cstheme="minorHAnsi"/>
                <w:color w:val="000000"/>
                <w:sz w:val="18"/>
                <w:szCs w:val="18"/>
                <w:lang w:eastAsia="hr-HR"/>
              </w:rPr>
              <w:t>Poticanje održive gradnje (K2021)</w:t>
            </w:r>
          </w:p>
        </w:tc>
        <w:tc>
          <w:tcPr>
            <w:tcW w:w="545" w:type="pct"/>
            <w:shd w:val="clear" w:color="auto" w:fill="auto"/>
            <w:vAlign w:val="center"/>
            <w:hideMark/>
          </w:tcPr>
          <w:p w14:paraId="5403C57A"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GRAD ZAGREB</w:t>
            </w:r>
          </w:p>
        </w:tc>
        <w:tc>
          <w:tcPr>
            <w:tcW w:w="1139" w:type="pct"/>
            <w:shd w:val="clear" w:color="auto" w:fill="auto"/>
            <w:vAlign w:val="center"/>
            <w:hideMark/>
          </w:tcPr>
          <w:p w14:paraId="2FBBBB67"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Projekt održive gradnje 'Program ZagEE; Energetska obnova DV Pčelica, Josipa Ham ma 2'</w:t>
            </w:r>
          </w:p>
        </w:tc>
        <w:tc>
          <w:tcPr>
            <w:tcW w:w="693" w:type="pct"/>
            <w:shd w:val="clear" w:color="auto" w:fill="auto"/>
            <w:vAlign w:val="center"/>
            <w:hideMark/>
          </w:tcPr>
          <w:p w14:paraId="50112F57"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UGOVOR FINANCIJSKI ZATVOREN</w:t>
            </w:r>
          </w:p>
        </w:tc>
        <w:tc>
          <w:tcPr>
            <w:tcW w:w="593" w:type="pct"/>
            <w:shd w:val="clear" w:color="auto" w:fill="auto"/>
            <w:vAlign w:val="center"/>
            <w:hideMark/>
          </w:tcPr>
          <w:p w14:paraId="3E51FD0A" w14:textId="3EEAB362"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2 000 </w:t>
            </w:r>
            <w:r w:rsidR="005B0FC9" w:rsidRPr="00C54704">
              <w:rPr>
                <w:rFonts w:eastAsia="Times New Roman" w:cstheme="minorHAnsi"/>
                <w:color w:val="000000"/>
                <w:sz w:val="18"/>
                <w:szCs w:val="18"/>
                <w:lang w:eastAsia="hr-HR"/>
              </w:rPr>
              <w:t>094,52</w:t>
            </w:r>
          </w:p>
        </w:tc>
        <w:tc>
          <w:tcPr>
            <w:tcW w:w="496" w:type="pct"/>
            <w:shd w:val="clear" w:color="auto" w:fill="auto"/>
            <w:vAlign w:val="center"/>
            <w:hideMark/>
          </w:tcPr>
          <w:p w14:paraId="6A6539B4" w14:textId="77777777" w:rsidR="005B0FC9" w:rsidRPr="00C54704" w:rsidRDefault="005B0FC9" w:rsidP="00A8592F">
            <w:pPr>
              <w:spacing w:after="0" w:line="240" w:lineRule="auto"/>
              <w:jc w:val="center"/>
              <w:rPr>
                <w:rFonts w:eastAsia="Times New Roman" w:cstheme="minorHAnsi"/>
                <w:color w:val="000000"/>
                <w:sz w:val="18"/>
                <w:szCs w:val="18"/>
                <w:lang w:eastAsia="hr-HR"/>
              </w:rPr>
            </w:pPr>
            <w:r w:rsidRPr="00C54704">
              <w:rPr>
                <w:rFonts w:eastAsia="Times New Roman" w:cstheme="minorHAnsi"/>
                <w:color w:val="000000"/>
                <w:sz w:val="18"/>
                <w:szCs w:val="18"/>
                <w:lang w:eastAsia="hr-HR"/>
              </w:rPr>
              <w:t>40</w:t>
            </w:r>
          </w:p>
        </w:tc>
        <w:tc>
          <w:tcPr>
            <w:tcW w:w="544" w:type="pct"/>
            <w:shd w:val="clear" w:color="auto" w:fill="auto"/>
            <w:vAlign w:val="center"/>
            <w:hideMark/>
          </w:tcPr>
          <w:p w14:paraId="48639CC3" w14:textId="5BA41CC6" w:rsidR="005B0FC9" w:rsidRPr="00C54704" w:rsidRDefault="00884877" w:rsidP="00A8592F">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 xml:space="preserve">800 </w:t>
            </w:r>
            <w:r w:rsidR="005B0FC9" w:rsidRPr="00C54704">
              <w:rPr>
                <w:rFonts w:eastAsia="Times New Roman" w:cstheme="minorHAnsi"/>
                <w:color w:val="000000"/>
                <w:sz w:val="18"/>
                <w:szCs w:val="18"/>
                <w:lang w:eastAsia="hr-HR"/>
              </w:rPr>
              <w:t>037,81</w:t>
            </w:r>
          </w:p>
        </w:tc>
      </w:tr>
      <w:tr w:rsidR="00DF62AC" w:rsidRPr="00C54704" w14:paraId="7FA4C41B" w14:textId="77777777" w:rsidTr="00884877">
        <w:trPr>
          <w:trHeight w:val="70"/>
        </w:trPr>
        <w:tc>
          <w:tcPr>
            <w:tcW w:w="3367" w:type="pct"/>
            <w:gridSpan w:val="4"/>
            <w:shd w:val="clear" w:color="000000" w:fill="D9D9D9"/>
            <w:noWrap/>
            <w:vAlign w:val="center"/>
            <w:hideMark/>
          </w:tcPr>
          <w:p w14:paraId="79F0683D" w14:textId="77777777" w:rsidR="005B0FC9" w:rsidRPr="00C54704" w:rsidRDefault="005B0FC9" w:rsidP="00A8592F">
            <w:pPr>
              <w:spacing w:after="0" w:line="240" w:lineRule="auto"/>
              <w:jc w:val="center"/>
              <w:rPr>
                <w:rFonts w:eastAsia="Times New Roman" w:cstheme="minorHAnsi"/>
                <w:b/>
                <w:bCs/>
                <w:color w:val="000000"/>
                <w:sz w:val="18"/>
                <w:szCs w:val="18"/>
                <w:lang w:eastAsia="hr-HR"/>
              </w:rPr>
            </w:pPr>
            <w:r w:rsidRPr="00C54704">
              <w:rPr>
                <w:rFonts w:eastAsia="Times New Roman" w:cstheme="minorHAnsi"/>
                <w:b/>
                <w:bCs/>
                <w:color w:val="000000"/>
                <w:sz w:val="18"/>
                <w:szCs w:val="18"/>
                <w:lang w:eastAsia="hr-HR"/>
              </w:rPr>
              <w:t> UKUPNO </w:t>
            </w:r>
          </w:p>
        </w:tc>
        <w:tc>
          <w:tcPr>
            <w:tcW w:w="593" w:type="pct"/>
            <w:shd w:val="clear" w:color="000000" w:fill="D9D9D9"/>
            <w:noWrap/>
            <w:vAlign w:val="center"/>
            <w:hideMark/>
          </w:tcPr>
          <w:p w14:paraId="16DBD450" w14:textId="58BC698F" w:rsidR="005B0FC9" w:rsidRPr="00C54704" w:rsidRDefault="00884877" w:rsidP="00A8592F">
            <w:pPr>
              <w:spacing w:after="0" w:line="240" w:lineRule="auto"/>
              <w:jc w:val="center"/>
              <w:rPr>
                <w:rFonts w:eastAsia="Times New Roman" w:cstheme="minorHAnsi"/>
                <w:b/>
                <w:bCs/>
                <w:color w:val="000000"/>
                <w:sz w:val="18"/>
                <w:szCs w:val="18"/>
                <w:lang w:eastAsia="hr-HR"/>
              </w:rPr>
            </w:pPr>
            <w:r>
              <w:rPr>
                <w:rFonts w:eastAsia="Times New Roman" w:cstheme="minorHAnsi"/>
                <w:b/>
                <w:bCs/>
                <w:color w:val="000000"/>
                <w:sz w:val="18"/>
                <w:szCs w:val="18"/>
                <w:lang w:eastAsia="hr-HR"/>
              </w:rPr>
              <w:t xml:space="preserve">17 884 </w:t>
            </w:r>
            <w:r w:rsidR="005B0FC9" w:rsidRPr="00C54704">
              <w:rPr>
                <w:rFonts w:eastAsia="Times New Roman" w:cstheme="minorHAnsi"/>
                <w:b/>
                <w:bCs/>
                <w:color w:val="000000"/>
                <w:sz w:val="18"/>
                <w:szCs w:val="18"/>
                <w:lang w:eastAsia="hr-HR"/>
              </w:rPr>
              <w:t>841,11</w:t>
            </w:r>
          </w:p>
        </w:tc>
        <w:tc>
          <w:tcPr>
            <w:tcW w:w="496" w:type="pct"/>
            <w:shd w:val="clear" w:color="000000" w:fill="D9D9D9"/>
            <w:noWrap/>
            <w:vAlign w:val="center"/>
            <w:hideMark/>
          </w:tcPr>
          <w:p w14:paraId="0A6CC720" w14:textId="77777777" w:rsidR="005B0FC9" w:rsidRPr="00C54704" w:rsidRDefault="005B0FC9" w:rsidP="00A8592F">
            <w:pPr>
              <w:spacing w:after="0" w:line="240" w:lineRule="auto"/>
              <w:jc w:val="center"/>
              <w:rPr>
                <w:rFonts w:eastAsia="Times New Roman" w:cstheme="minorHAnsi"/>
                <w:b/>
                <w:bCs/>
                <w:color w:val="000000"/>
                <w:sz w:val="18"/>
                <w:szCs w:val="18"/>
                <w:lang w:eastAsia="hr-HR"/>
              </w:rPr>
            </w:pPr>
            <w:r w:rsidRPr="00C54704">
              <w:rPr>
                <w:rFonts w:eastAsia="Times New Roman" w:cstheme="minorHAnsi"/>
                <w:b/>
                <w:bCs/>
                <w:color w:val="000000"/>
                <w:sz w:val="18"/>
                <w:szCs w:val="18"/>
                <w:lang w:eastAsia="hr-HR"/>
              </w:rPr>
              <w:t> </w:t>
            </w:r>
          </w:p>
        </w:tc>
        <w:tc>
          <w:tcPr>
            <w:tcW w:w="544" w:type="pct"/>
            <w:shd w:val="clear" w:color="000000" w:fill="D9D9D9"/>
            <w:noWrap/>
            <w:vAlign w:val="center"/>
            <w:hideMark/>
          </w:tcPr>
          <w:p w14:paraId="0A1FC3BC" w14:textId="5F8D83A9" w:rsidR="005B0FC9" w:rsidRPr="00C54704" w:rsidRDefault="00884877" w:rsidP="00A8592F">
            <w:pPr>
              <w:spacing w:after="0" w:line="240" w:lineRule="auto"/>
              <w:jc w:val="center"/>
              <w:rPr>
                <w:rFonts w:eastAsia="Times New Roman" w:cstheme="minorHAnsi"/>
                <w:b/>
                <w:bCs/>
                <w:color w:val="000000"/>
                <w:sz w:val="18"/>
                <w:szCs w:val="18"/>
                <w:lang w:eastAsia="hr-HR"/>
              </w:rPr>
            </w:pPr>
            <w:r>
              <w:rPr>
                <w:rFonts w:eastAsia="Times New Roman" w:cstheme="minorHAnsi"/>
                <w:b/>
                <w:bCs/>
                <w:color w:val="000000"/>
                <w:sz w:val="18"/>
                <w:szCs w:val="18"/>
                <w:lang w:eastAsia="hr-HR"/>
              </w:rPr>
              <w:t xml:space="preserve">7 153 </w:t>
            </w:r>
            <w:r w:rsidR="005B0FC9" w:rsidRPr="00C54704">
              <w:rPr>
                <w:rFonts w:eastAsia="Times New Roman" w:cstheme="minorHAnsi"/>
                <w:b/>
                <w:bCs/>
                <w:color w:val="000000"/>
                <w:sz w:val="18"/>
                <w:szCs w:val="18"/>
                <w:lang w:eastAsia="hr-HR"/>
              </w:rPr>
              <w:t>936,44</w:t>
            </w:r>
          </w:p>
        </w:tc>
      </w:tr>
    </w:tbl>
    <w:p w14:paraId="78E0E1FE" w14:textId="3622770D" w:rsidR="00B86A6C" w:rsidRDefault="00B86A6C" w:rsidP="00B86A6C"/>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22"/>
        <w:gridCol w:w="3301"/>
        <w:gridCol w:w="1981"/>
        <w:gridCol w:w="2642"/>
        <w:gridCol w:w="2711"/>
        <w:gridCol w:w="2294"/>
      </w:tblGrid>
      <w:tr w:rsidR="00FA1A07" w:rsidRPr="00FA1A07" w14:paraId="0EF8DAB5" w14:textId="77777777" w:rsidTr="00FA1A07">
        <w:trPr>
          <w:trHeight w:val="300"/>
        </w:trPr>
        <w:tc>
          <w:tcPr>
            <w:tcW w:w="464" w:type="pct"/>
            <w:shd w:val="clear" w:color="auto" w:fill="D9D9D9" w:themeFill="background1" w:themeFillShade="D9"/>
            <w:noWrap/>
            <w:tcMar>
              <w:top w:w="0" w:type="dxa"/>
              <w:left w:w="108" w:type="dxa"/>
              <w:bottom w:w="0" w:type="dxa"/>
              <w:right w:w="108" w:type="dxa"/>
            </w:tcMar>
            <w:vAlign w:val="bottom"/>
            <w:hideMark/>
          </w:tcPr>
          <w:p w14:paraId="71781053" w14:textId="77777777" w:rsidR="00FA1A07" w:rsidRPr="00FA1A07" w:rsidRDefault="00FA1A07" w:rsidP="00B77A70">
            <w:pPr>
              <w:spacing w:after="0" w:line="240" w:lineRule="auto"/>
              <w:rPr>
                <w:rFonts w:ascii="Calibri" w:hAnsi="Calibri" w:cs="Calibri"/>
                <w:b/>
                <w:bCs/>
                <w:sz w:val="18"/>
                <w:szCs w:val="18"/>
              </w:rPr>
            </w:pPr>
            <w:r w:rsidRPr="00FA1A07">
              <w:rPr>
                <w:b/>
                <w:bCs/>
                <w:sz w:val="18"/>
                <w:szCs w:val="18"/>
              </w:rPr>
              <w:t>Mjesta</w:t>
            </w:r>
          </w:p>
        </w:tc>
        <w:tc>
          <w:tcPr>
            <w:tcW w:w="1158" w:type="pct"/>
            <w:shd w:val="clear" w:color="auto" w:fill="D9D9D9" w:themeFill="background1" w:themeFillShade="D9"/>
            <w:noWrap/>
            <w:tcMar>
              <w:top w:w="0" w:type="dxa"/>
              <w:left w:w="108" w:type="dxa"/>
              <w:bottom w:w="0" w:type="dxa"/>
              <w:right w:w="108" w:type="dxa"/>
            </w:tcMar>
            <w:vAlign w:val="center"/>
            <w:hideMark/>
          </w:tcPr>
          <w:p w14:paraId="26172FA6" w14:textId="38A496BC" w:rsidR="00FA1A07" w:rsidRPr="00FA1A07" w:rsidRDefault="00FA1A07" w:rsidP="00B77A70">
            <w:pPr>
              <w:spacing w:after="0" w:line="240" w:lineRule="auto"/>
              <w:jc w:val="center"/>
              <w:rPr>
                <w:rFonts w:ascii="Calibri" w:hAnsi="Calibri" w:cs="Calibri"/>
                <w:b/>
                <w:bCs/>
                <w:sz w:val="18"/>
                <w:szCs w:val="18"/>
              </w:rPr>
            </w:pPr>
            <w:r w:rsidRPr="00FA1A07">
              <w:rPr>
                <w:b/>
                <w:bCs/>
                <w:sz w:val="18"/>
                <w:szCs w:val="18"/>
              </w:rPr>
              <w:t>Naziv</w:t>
            </w:r>
          </w:p>
        </w:tc>
        <w:tc>
          <w:tcPr>
            <w:tcW w:w="695" w:type="pct"/>
            <w:shd w:val="clear" w:color="auto" w:fill="D9D9D9" w:themeFill="background1" w:themeFillShade="D9"/>
          </w:tcPr>
          <w:p w14:paraId="17F2AFA4" w14:textId="39ACF528" w:rsidR="00FA1A07" w:rsidRPr="00FA1A07" w:rsidRDefault="00FA1A07" w:rsidP="00B77A70">
            <w:pPr>
              <w:spacing w:after="0" w:line="240" w:lineRule="auto"/>
              <w:jc w:val="center"/>
              <w:rPr>
                <w:b/>
                <w:bCs/>
                <w:sz w:val="18"/>
                <w:szCs w:val="18"/>
              </w:rPr>
            </w:pPr>
            <w:r w:rsidRPr="00FA1A07">
              <w:rPr>
                <w:b/>
                <w:bCs/>
                <w:sz w:val="18"/>
                <w:szCs w:val="18"/>
              </w:rPr>
              <w:t>Broj</w:t>
            </w:r>
          </w:p>
        </w:tc>
        <w:tc>
          <w:tcPr>
            <w:tcW w:w="927" w:type="pct"/>
            <w:shd w:val="clear" w:color="auto" w:fill="D9D9D9" w:themeFill="background1" w:themeFillShade="D9"/>
            <w:noWrap/>
            <w:tcMar>
              <w:top w:w="0" w:type="dxa"/>
              <w:left w:w="108" w:type="dxa"/>
              <w:bottom w:w="0" w:type="dxa"/>
              <w:right w:w="108" w:type="dxa"/>
            </w:tcMar>
            <w:vAlign w:val="center"/>
            <w:hideMark/>
          </w:tcPr>
          <w:p w14:paraId="628BB191" w14:textId="36F655F6" w:rsidR="00FA1A07" w:rsidRPr="00FA1A07" w:rsidRDefault="00884877" w:rsidP="00B77A70">
            <w:pPr>
              <w:spacing w:after="0" w:line="240" w:lineRule="auto"/>
              <w:jc w:val="center"/>
              <w:rPr>
                <w:rFonts w:ascii="Calibri" w:hAnsi="Calibri" w:cs="Calibri"/>
                <w:b/>
                <w:bCs/>
                <w:sz w:val="18"/>
                <w:szCs w:val="18"/>
              </w:rPr>
            </w:pPr>
            <w:r>
              <w:rPr>
                <w:b/>
                <w:bCs/>
                <w:sz w:val="18"/>
                <w:szCs w:val="18"/>
              </w:rPr>
              <w:t>Ukupna investicija(HRK</w:t>
            </w:r>
            <w:r w:rsidR="00FA1A07" w:rsidRPr="00FA1A07">
              <w:rPr>
                <w:b/>
                <w:bCs/>
                <w:sz w:val="18"/>
                <w:szCs w:val="18"/>
              </w:rPr>
              <w:t>)</w:t>
            </w:r>
          </w:p>
        </w:tc>
        <w:tc>
          <w:tcPr>
            <w:tcW w:w="951" w:type="pct"/>
            <w:shd w:val="clear" w:color="auto" w:fill="D9D9D9" w:themeFill="background1" w:themeFillShade="D9"/>
            <w:noWrap/>
            <w:tcMar>
              <w:top w:w="0" w:type="dxa"/>
              <w:left w:w="108" w:type="dxa"/>
              <w:bottom w:w="0" w:type="dxa"/>
              <w:right w:w="108" w:type="dxa"/>
            </w:tcMar>
            <w:vAlign w:val="center"/>
            <w:hideMark/>
          </w:tcPr>
          <w:p w14:paraId="242805B5" w14:textId="0A47FEFD" w:rsidR="00FA1A07" w:rsidRPr="00FA1A07" w:rsidRDefault="00FA1A07" w:rsidP="00B77A70">
            <w:pPr>
              <w:spacing w:after="0" w:line="240" w:lineRule="auto"/>
              <w:jc w:val="center"/>
              <w:rPr>
                <w:rFonts w:ascii="Calibri" w:hAnsi="Calibri" w:cs="Calibri"/>
                <w:b/>
                <w:bCs/>
                <w:sz w:val="18"/>
                <w:szCs w:val="18"/>
              </w:rPr>
            </w:pPr>
            <w:r w:rsidRPr="00FA1A07">
              <w:rPr>
                <w:b/>
                <w:bCs/>
                <w:sz w:val="18"/>
                <w:szCs w:val="18"/>
              </w:rPr>
              <w:t>Opravdani troškovi(HRK)</w:t>
            </w:r>
          </w:p>
        </w:tc>
        <w:tc>
          <w:tcPr>
            <w:tcW w:w="805" w:type="pct"/>
            <w:shd w:val="clear" w:color="auto" w:fill="D9D9D9" w:themeFill="background1" w:themeFillShade="D9"/>
            <w:noWrap/>
            <w:tcMar>
              <w:top w:w="0" w:type="dxa"/>
              <w:left w:w="108" w:type="dxa"/>
              <w:bottom w:w="0" w:type="dxa"/>
              <w:right w:w="108" w:type="dxa"/>
            </w:tcMar>
            <w:vAlign w:val="center"/>
            <w:hideMark/>
          </w:tcPr>
          <w:p w14:paraId="2E6FB829" w14:textId="15D1B015" w:rsidR="00FA1A07" w:rsidRPr="00FA1A07" w:rsidRDefault="00FA1A07" w:rsidP="00B77A70">
            <w:pPr>
              <w:spacing w:after="0" w:line="240" w:lineRule="auto"/>
              <w:jc w:val="center"/>
              <w:rPr>
                <w:rFonts w:ascii="Calibri" w:hAnsi="Calibri" w:cs="Calibri"/>
                <w:b/>
                <w:bCs/>
                <w:sz w:val="18"/>
                <w:szCs w:val="18"/>
              </w:rPr>
            </w:pPr>
            <w:r w:rsidRPr="00FA1A07">
              <w:rPr>
                <w:b/>
                <w:bCs/>
                <w:sz w:val="18"/>
                <w:szCs w:val="18"/>
              </w:rPr>
              <w:t>Udio Fonda(HRK)</w:t>
            </w:r>
          </w:p>
        </w:tc>
      </w:tr>
      <w:tr w:rsidR="00FA1A07" w:rsidRPr="00FA1A07" w14:paraId="32292933" w14:textId="77777777" w:rsidTr="00FA1A07">
        <w:trPr>
          <w:trHeight w:val="56"/>
        </w:trPr>
        <w:tc>
          <w:tcPr>
            <w:tcW w:w="464" w:type="pct"/>
            <w:shd w:val="clear" w:color="auto" w:fill="auto"/>
            <w:noWrap/>
            <w:tcMar>
              <w:top w:w="0" w:type="dxa"/>
              <w:left w:w="108" w:type="dxa"/>
              <w:bottom w:w="0" w:type="dxa"/>
              <w:right w:w="108" w:type="dxa"/>
            </w:tcMar>
            <w:vAlign w:val="bottom"/>
            <w:hideMark/>
          </w:tcPr>
          <w:p w14:paraId="7BEB151C" w14:textId="77777777" w:rsidR="00FA1A07" w:rsidRPr="00FA1A07" w:rsidRDefault="00FA1A07" w:rsidP="00B77A70">
            <w:pPr>
              <w:spacing w:after="0" w:line="240" w:lineRule="auto"/>
              <w:rPr>
                <w:rFonts w:ascii="Calibri" w:hAnsi="Calibri" w:cs="Calibri"/>
                <w:sz w:val="18"/>
                <w:szCs w:val="18"/>
              </w:rPr>
            </w:pPr>
            <w:r w:rsidRPr="00FA1A07">
              <w:rPr>
                <w:sz w:val="18"/>
                <w:szCs w:val="18"/>
              </w:rPr>
              <w:t>Zagreb</w:t>
            </w:r>
          </w:p>
        </w:tc>
        <w:tc>
          <w:tcPr>
            <w:tcW w:w="1158" w:type="pct"/>
            <w:shd w:val="clear" w:color="auto" w:fill="auto"/>
            <w:noWrap/>
            <w:tcMar>
              <w:top w:w="0" w:type="dxa"/>
              <w:left w:w="108" w:type="dxa"/>
              <w:bottom w:w="0" w:type="dxa"/>
              <w:right w:w="108" w:type="dxa"/>
            </w:tcMar>
            <w:vAlign w:val="center"/>
            <w:hideMark/>
          </w:tcPr>
          <w:p w14:paraId="0495DEB1" w14:textId="5316B88B" w:rsidR="00FA1A07" w:rsidRPr="00FA1A07" w:rsidRDefault="00FA1A07" w:rsidP="00FA1A07">
            <w:pPr>
              <w:spacing w:after="0" w:line="240" w:lineRule="auto"/>
              <w:rPr>
                <w:rFonts w:ascii="Calibri" w:hAnsi="Calibri" w:cs="Calibri"/>
                <w:sz w:val="18"/>
                <w:szCs w:val="18"/>
              </w:rPr>
            </w:pPr>
            <w:r w:rsidRPr="00FA1A07">
              <w:rPr>
                <w:rFonts w:ascii="Calibri" w:hAnsi="Calibri" w:cs="Calibri"/>
                <w:sz w:val="18"/>
                <w:szCs w:val="18"/>
              </w:rPr>
              <w:t>Energetska obnova obiteljskih kuća</w:t>
            </w:r>
          </w:p>
        </w:tc>
        <w:tc>
          <w:tcPr>
            <w:tcW w:w="695" w:type="pct"/>
          </w:tcPr>
          <w:p w14:paraId="09668253" w14:textId="3CA24E91" w:rsidR="00FA1A07" w:rsidRPr="00FA1A07" w:rsidRDefault="00FA1A07" w:rsidP="00B77A70">
            <w:pPr>
              <w:spacing w:after="0" w:line="240" w:lineRule="auto"/>
              <w:jc w:val="center"/>
              <w:rPr>
                <w:sz w:val="18"/>
                <w:szCs w:val="18"/>
              </w:rPr>
            </w:pPr>
            <w:r w:rsidRPr="00FA1A07">
              <w:rPr>
                <w:sz w:val="18"/>
                <w:szCs w:val="18"/>
              </w:rPr>
              <w:t>538</w:t>
            </w:r>
          </w:p>
        </w:tc>
        <w:tc>
          <w:tcPr>
            <w:tcW w:w="927" w:type="pct"/>
            <w:shd w:val="clear" w:color="auto" w:fill="auto"/>
            <w:noWrap/>
            <w:tcMar>
              <w:top w:w="0" w:type="dxa"/>
              <w:left w:w="108" w:type="dxa"/>
              <w:bottom w:w="0" w:type="dxa"/>
              <w:right w:w="108" w:type="dxa"/>
            </w:tcMar>
            <w:vAlign w:val="center"/>
            <w:hideMark/>
          </w:tcPr>
          <w:p w14:paraId="048CE82C" w14:textId="5448D6D5" w:rsidR="00FA1A07" w:rsidRPr="00FA1A07" w:rsidRDefault="00FA1A07" w:rsidP="00B77A70">
            <w:pPr>
              <w:spacing w:after="0" w:line="240" w:lineRule="auto"/>
              <w:jc w:val="center"/>
              <w:rPr>
                <w:rFonts w:ascii="Calibri" w:hAnsi="Calibri" w:cs="Calibri"/>
                <w:sz w:val="18"/>
                <w:szCs w:val="18"/>
              </w:rPr>
            </w:pPr>
            <w:r w:rsidRPr="00FA1A07">
              <w:rPr>
                <w:sz w:val="18"/>
                <w:szCs w:val="18"/>
              </w:rPr>
              <w:t>51 680 713,39</w:t>
            </w:r>
          </w:p>
        </w:tc>
        <w:tc>
          <w:tcPr>
            <w:tcW w:w="951" w:type="pct"/>
            <w:shd w:val="clear" w:color="auto" w:fill="auto"/>
            <w:noWrap/>
            <w:tcMar>
              <w:top w:w="0" w:type="dxa"/>
              <w:left w:w="108" w:type="dxa"/>
              <w:bottom w:w="0" w:type="dxa"/>
              <w:right w:w="108" w:type="dxa"/>
            </w:tcMar>
            <w:vAlign w:val="center"/>
            <w:hideMark/>
          </w:tcPr>
          <w:p w14:paraId="2CB3987B" w14:textId="3359ACD8" w:rsidR="00FA1A07" w:rsidRPr="00FA1A07" w:rsidRDefault="00FA1A07" w:rsidP="00B77A70">
            <w:pPr>
              <w:spacing w:after="0" w:line="240" w:lineRule="auto"/>
              <w:jc w:val="center"/>
              <w:rPr>
                <w:rFonts w:ascii="Calibri" w:hAnsi="Calibri" w:cs="Calibri"/>
                <w:sz w:val="18"/>
                <w:szCs w:val="18"/>
              </w:rPr>
            </w:pPr>
            <w:r w:rsidRPr="00FA1A07">
              <w:rPr>
                <w:sz w:val="18"/>
                <w:szCs w:val="18"/>
              </w:rPr>
              <w:t>41 862 771,35</w:t>
            </w:r>
          </w:p>
        </w:tc>
        <w:tc>
          <w:tcPr>
            <w:tcW w:w="805" w:type="pct"/>
            <w:shd w:val="clear" w:color="auto" w:fill="auto"/>
            <w:noWrap/>
            <w:tcMar>
              <w:top w:w="0" w:type="dxa"/>
              <w:left w:w="108" w:type="dxa"/>
              <w:bottom w:w="0" w:type="dxa"/>
              <w:right w:w="108" w:type="dxa"/>
            </w:tcMar>
            <w:vAlign w:val="center"/>
            <w:hideMark/>
          </w:tcPr>
          <w:p w14:paraId="00ED7EE1" w14:textId="4B2D60D5" w:rsidR="00FA1A07" w:rsidRPr="00FA1A07" w:rsidRDefault="00FA1A07" w:rsidP="00B77A70">
            <w:pPr>
              <w:spacing w:after="0" w:line="240" w:lineRule="auto"/>
              <w:jc w:val="center"/>
              <w:rPr>
                <w:rFonts w:ascii="Calibri" w:hAnsi="Calibri" w:cs="Calibri"/>
                <w:sz w:val="18"/>
                <w:szCs w:val="18"/>
              </w:rPr>
            </w:pPr>
            <w:r w:rsidRPr="00FA1A07">
              <w:rPr>
                <w:sz w:val="18"/>
                <w:szCs w:val="18"/>
              </w:rPr>
              <w:t>16 745 108,54</w:t>
            </w:r>
          </w:p>
        </w:tc>
      </w:tr>
    </w:tbl>
    <w:p w14:paraId="0670DDDC" w14:textId="77777777" w:rsidR="00A65100" w:rsidRDefault="00A65100" w:rsidP="00B86A6C">
      <w:pPr>
        <w:sectPr w:rsidR="00A65100" w:rsidSect="00A65100">
          <w:pgSz w:w="16838" w:h="11906" w:orient="landscape"/>
          <w:pgMar w:top="1418" w:right="992" w:bottom="1418" w:left="1418" w:header="709" w:footer="709" w:gutter="0"/>
          <w:cols w:space="708"/>
          <w:docGrid w:linePitch="360"/>
        </w:sectPr>
      </w:pPr>
    </w:p>
    <w:p w14:paraId="3648EC7C" w14:textId="56545E6B" w:rsidR="006A2D21" w:rsidRPr="005E408A" w:rsidRDefault="00B86A6C" w:rsidP="00E92750">
      <w:pPr>
        <w:pStyle w:val="Heading1"/>
        <w:spacing w:before="0" w:after="240" w:line="240" w:lineRule="auto"/>
        <w:ind w:left="431" w:hanging="431"/>
        <w:jc w:val="both"/>
        <w:rPr>
          <w:rFonts w:eastAsia="Times New Roman"/>
          <w:b/>
        </w:rPr>
      </w:pPr>
      <w:bookmarkStart w:id="520" w:name="_Toc468345430"/>
      <w:r>
        <w:rPr>
          <w:rFonts w:eastAsia="Times New Roman"/>
          <w:b/>
        </w:rPr>
        <w:lastRenderedPageBreak/>
        <w:t>IZVORI PODATAKA</w:t>
      </w:r>
      <w:bookmarkEnd w:id="520"/>
    </w:p>
    <w:p w14:paraId="76E33BB9" w14:textId="1DE6828F" w:rsidR="00390B65" w:rsidRPr="005E408A" w:rsidRDefault="00390B65" w:rsidP="00E92750">
      <w:pPr>
        <w:spacing w:after="240" w:line="240" w:lineRule="auto"/>
        <w:jc w:val="both"/>
      </w:pPr>
      <w:r w:rsidRPr="005E408A">
        <w:t xml:space="preserve">Akcijski plan energetski održivog razvitka Grada </w:t>
      </w:r>
      <w:r w:rsidR="000F64C5" w:rsidRPr="005E408A">
        <w:t>Zagreba</w:t>
      </w:r>
      <w:r w:rsidRPr="005E408A">
        <w:t xml:space="preserve"> (SEAP);</w:t>
      </w:r>
    </w:p>
    <w:p w14:paraId="3FF4CCB4" w14:textId="049B545C" w:rsidR="002B2C68" w:rsidRPr="005E408A" w:rsidRDefault="002B2C68" w:rsidP="00E92750">
      <w:pPr>
        <w:spacing w:line="240" w:lineRule="auto"/>
        <w:jc w:val="both"/>
        <w:rPr>
          <w:rFonts w:ascii="Calibri" w:eastAsia="Calibri" w:hAnsi="Calibri" w:cs="Times New Roman"/>
        </w:rPr>
      </w:pPr>
      <w:r w:rsidRPr="005E408A">
        <w:rPr>
          <w:rFonts w:ascii="Calibri" w:eastAsia="Calibri" w:hAnsi="Calibri" w:cs="Times New Roman"/>
        </w:rPr>
        <w:t>Gradski ured za energetiku, zaštitu okoliša i održivi razvoj</w:t>
      </w:r>
      <w:r w:rsidR="00B47419" w:rsidRPr="005E408A">
        <w:rPr>
          <w:rFonts w:ascii="Calibri" w:eastAsia="Calibri" w:hAnsi="Calibri" w:cs="Times New Roman"/>
        </w:rPr>
        <w:t>, Grad Zagreb</w:t>
      </w:r>
      <w:r w:rsidRPr="005E408A">
        <w:rPr>
          <w:rFonts w:ascii="Calibri" w:eastAsia="Calibri" w:hAnsi="Calibri" w:cs="Times New Roman"/>
        </w:rPr>
        <w:t>;</w:t>
      </w:r>
    </w:p>
    <w:p w14:paraId="45DFEA11" w14:textId="77777777" w:rsidR="00B47419" w:rsidRPr="005E408A" w:rsidRDefault="00B47419" w:rsidP="00E92750">
      <w:pPr>
        <w:spacing w:line="240" w:lineRule="auto"/>
        <w:jc w:val="both"/>
      </w:pPr>
      <w:r w:rsidRPr="005E408A">
        <w:t>Gradski ured za zdravstvo, Grad Zagreb;</w:t>
      </w:r>
    </w:p>
    <w:p w14:paraId="3A235535" w14:textId="77777777" w:rsidR="00B47419" w:rsidRPr="005E408A" w:rsidRDefault="00B47419" w:rsidP="00E92750">
      <w:pPr>
        <w:spacing w:line="240" w:lineRule="auto"/>
        <w:jc w:val="both"/>
      </w:pPr>
      <w:r w:rsidRPr="005E408A">
        <w:t>Gradski ured za gospodarstvo, radi i poduzetništvo, Grad Zagreb;</w:t>
      </w:r>
    </w:p>
    <w:p w14:paraId="7888B395" w14:textId="77777777" w:rsidR="00B47419" w:rsidRPr="005E408A" w:rsidRDefault="00B47419" w:rsidP="00E92750">
      <w:pPr>
        <w:spacing w:line="240" w:lineRule="auto"/>
        <w:jc w:val="both"/>
      </w:pPr>
      <w:r w:rsidRPr="005E408A">
        <w:t>Gradski ured za prostorno uređenje, izgradnju Grada, graditeljstvo, komunalne poslove i promet, Grad Zagreb, Odsjek za građenje i održavanje javne rasvjete;</w:t>
      </w:r>
    </w:p>
    <w:p w14:paraId="2F5E5976" w14:textId="679C8BA6" w:rsidR="00B47419" w:rsidRPr="005E408A" w:rsidRDefault="00B47419" w:rsidP="00E92750">
      <w:pPr>
        <w:spacing w:line="240" w:lineRule="auto"/>
        <w:jc w:val="both"/>
      </w:pPr>
      <w:r w:rsidRPr="005E408A">
        <w:t>Gradski ured za socijalnu zaštitu i osobe s invaliditetom, Grad Zagreb;</w:t>
      </w:r>
    </w:p>
    <w:p w14:paraId="06771382" w14:textId="0861632B" w:rsidR="00390B65" w:rsidRPr="005E408A" w:rsidRDefault="00390B65" w:rsidP="00E92750">
      <w:pPr>
        <w:spacing w:after="240" w:line="240" w:lineRule="auto"/>
        <w:jc w:val="both"/>
      </w:pPr>
      <w:r w:rsidRPr="005E408A">
        <w:t>Priručnik za praćenje i izvještavanje o Akcijskom planu;</w:t>
      </w:r>
    </w:p>
    <w:p w14:paraId="213419E7" w14:textId="77777777" w:rsidR="00390B65" w:rsidRPr="005E408A" w:rsidRDefault="00390B65" w:rsidP="00E92750">
      <w:pPr>
        <w:spacing w:after="240" w:line="240" w:lineRule="auto"/>
        <w:jc w:val="both"/>
      </w:pPr>
      <w:r w:rsidRPr="005E408A">
        <w:t>http://www.covenantofmayors.eu/IMG/pdf/Reporting_Guidelines_SEAP_and_Monitoring.pdf</w:t>
      </w:r>
    </w:p>
    <w:p w14:paraId="4A865622" w14:textId="1C0B7C2E" w:rsidR="00390B65" w:rsidRPr="005E408A" w:rsidRDefault="00390B65" w:rsidP="00E92750">
      <w:pPr>
        <w:spacing w:after="240" w:line="240" w:lineRule="auto"/>
        <w:jc w:val="both"/>
      </w:pPr>
      <w:r w:rsidRPr="005E408A">
        <w:t xml:space="preserve">Godišnji plan energetske učinkovitosti Grada </w:t>
      </w:r>
      <w:r w:rsidR="000F64C5" w:rsidRPr="005E408A">
        <w:t>Zagreba</w:t>
      </w:r>
      <w:r w:rsidR="00943B68" w:rsidRPr="005E408A">
        <w:t xml:space="preserve"> za 2016. godinu</w:t>
      </w:r>
      <w:r w:rsidRPr="005E408A">
        <w:t>;</w:t>
      </w:r>
    </w:p>
    <w:p w14:paraId="253ADF68" w14:textId="0201A95C" w:rsidR="00390B65" w:rsidRPr="005E408A" w:rsidRDefault="00943B68" w:rsidP="00E92750">
      <w:pPr>
        <w:spacing w:after="240" w:line="240" w:lineRule="auto"/>
        <w:jc w:val="both"/>
      </w:pPr>
      <w:r w:rsidRPr="005E408A">
        <w:t>Nacionalni informacijski sustav za gospodarenje energijom, ISGE;</w:t>
      </w:r>
    </w:p>
    <w:p w14:paraId="6E028F4E" w14:textId="77777777" w:rsidR="00390B65" w:rsidRPr="005E408A" w:rsidRDefault="00390B65" w:rsidP="00E92750">
      <w:pPr>
        <w:spacing w:after="240" w:line="240" w:lineRule="auto"/>
        <w:jc w:val="both"/>
      </w:pPr>
      <w:r w:rsidRPr="005E408A">
        <w:t>Nacionalni program energetske učinkovitosti 2008.-2016.;</w:t>
      </w:r>
    </w:p>
    <w:p w14:paraId="73408830" w14:textId="77777777" w:rsidR="00390B65" w:rsidRPr="005E408A" w:rsidRDefault="00323A51" w:rsidP="00E92750">
      <w:pPr>
        <w:spacing w:after="240" w:line="240" w:lineRule="auto"/>
        <w:jc w:val="both"/>
      </w:pPr>
      <w:hyperlink r:id="rId105" w:history="1">
        <w:r w:rsidR="00390B65" w:rsidRPr="005E408A">
          <w:rPr>
            <w:rStyle w:val="Hyperlink"/>
            <w:rFonts w:cstheme="minorBidi"/>
            <w:color w:val="auto"/>
          </w:rPr>
          <w:t>http://www.mingo.hr/userdocsimages/energetika/Nacionalni%20program%20energetske%20u%C4%8Dinkovitosti%202008.%20-%202010..pdf</w:t>
        </w:r>
      </w:hyperlink>
    </w:p>
    <w:p w14:paraId="0DB58629" w14:textId="7C981E77" w:rsidR="00390B65" w:rsidRPr="005E408A" w:rsidRDefault="00390B65" w:rsidP="00E92750">
      <w:pPr>
        <w:spacing w:after="240" w:line="240" w:lineRule="auto"/>
        <w:jc w:val="both"/>
      </w:pPr>
      <w:r w:rsidRPr="005E408A">
        <w:t xml:space="preserve">Treći nacionalni akcijski plan za energetsku učinkovitost za razdoblje </w:t>
      </w:r>
      <w:r w:rsidR="000F64C5" w:rsidRPr="005E408A">
        <w:t>2015</w:t>
      </w:r>
      <w:r w:rsidRPr="005E408A">
        <w:t>.-2016.;</w:t>
      </w:r>
    </w:p>
    <w:p w14:paraId="07E89BF4" w14:textId="0A3FBD33" w:rsidR="00390B65" w:rsidRPr="005E408A" w:rsidRDefault="00323A51" w:rsidP="00E92750">
      <w:pPr>
        <w:spacing w:after="240" w:line="240" w:lineRule="auto"/>
        <w:jc w:val="both"/>
      </w:pPr>
      <w:hyperlink r:id="rId106" w:history="1">
        <w:r w:rsidR="00390B65" w:rsidRPr="005E408A">
          <w:rPr>
            <w:rStyle w:val="Hyperlink"/>
            <w:rFonts w:cstheme="minorBidi"/>
            <w:color w:val="auto"/>
          </w:rPr>
          <w:t>http://cei.hr/upload/</w:t>
        </w:r>
        <w:r w:rsidR="000F64C5" w:rsidRPr="005E408A">
          <w:rPr>
            <w:rStyle w:val="Hyperlink"/>
            <w:rFonts w:cstheme="minorBidi"/>
            <w:color w:val="auto"/>
          </w:rPr>
          <w:t>2015</w:t>
        </w:r>
        <w:r w:rsidR="00390B65" w:rsidRPr="005E408A">
          <w:rPr>
            <w:rStyle w:val="Hyperlink"/>
            <w:rFonts w:cstheme="minorBidi"/>
            <w:color w:val="auto"/>
          </w:rPr>
          <w:t>/07/3_napenu_usvojen_53d8c6525e957.pdf</w:t>
        </w:r>
      </w:hyperlink>
    </w:p>
    <w:p w14:paraId="01B396F1" w14:textId="77777777" w:rsidR="00390B65" w:rsidRPr="005E408A" w:rsidRDefault="00390B65" w:rsidP="00E92750">
      <w:pPr>
        <w:spacing w:after="240" w:line="240" w:lineRule="auto"/>
        <w:jc w:val="both"/>
      </w:pPr>
      <w:r w:rsidRPr="005E408A">
        <w:t>Zakon o energetskoj učinkovitosti (NN 127/14);</w:t>
      </w:r>
    </w:p>
    <w:p w14:paraId="61B250F9" w14:textId="13579D93" w:rsidR="00390B65" w:rsidRPr="005E408A" w:rsidRDefault="00323A51" w:rsidP="00E92750">
      <w:pPr>
        <w:spacing w:after="240" w:line="240" w:lineRule="auto"/>
        <w:jc w:val="both"/>
      </w:pPr>
      <w:hyperlink r:id="rId107" w:history="1">
        <w:r w:rsidR="00390B65" w:rsidRPr="005E408A">
          <w:rPr>
            <w:rStyle w:val="Hyperlink"/>
            <w:rFonts w:cstheme="minorBidi"/>
            <w:color w:val="auto"/>
          </w:rPr>
          <w:t>http://narodne-novine.nn.hr/clanci/sluzbeni/</w:t>
        </w:r>
        <w:r w:rsidR="000F64C5" w:rsidRPr="005E408A">
          <w:rPr>
            <w:rStyle w:val="Hyperlink"/>
            <w:rFonts w:cstheme="minorBidi"/>
            <w:color w:val="auto"/>
          </w:rPr>
          <w:t>2015</w:t>
        </w:r>
        <w:r w:rsidR="00390B65" w:rsidRPr="005E408A">
          <w:rPr>
            <w:rStyle w:val="Hyperlink"/>
            <w:rFonts w:cstheme="minorBidi"/>
            <w:color w:val="auto"/>
          </w:rPr>
          <w:t>_10_127_2399.html</w:t>
        </w:r>
      </w:hyperlink>
    </w:p>
    <w:p w14:paraId="5C5DDC4E" w14:textId="77777777" w:rsidR="00390B65" w:rsidRPr="005E408A" w:rsidRDefault="00390B65" w:rsidP="00E92750">
      <w:pPr>
        <w:spacing w:after="240" w:line="240" w:lineRule="auto"/>
        <w:jc w:val="both"/>
      </w:pPr>
      <w:r w:rsidRPr="005E408A">
        <w:t>Zakon o obnovljivim izvorima energije i visokoučinkovitoj kogeneraciji (NN 100/15);</w:t>
      </w:r>
    </w:p>
    <w:p w14:paraId="17D98085" w14:textId="77777777" w:rsidR="00390B65" w:rsidRPr="005E408A" w:rsidRDefault="00390B65" w:rsidP="00E92750">
      <w:pPr>
        <w:spacing w:after="240" w:line="240" w:lineRule="auto"/>
        <w:jc w:val="both"/>
      </w:pPr>
      <w:r w:rsidRPr="005E408A">
        <w:t>Zakon o energiji (NN 120/15, 14/14, 95/15, 102/15);</w:t>
      </w:r>
    </w:p>
    <w:p w14:paraId="0E241C2D" w14:textId="77777777" w:rsidR="00390B65" w:rsidRPr="005E408A" w:rsidRDefault="00390B65" w:rsidP="00E92750">
      <w:pPr>
        <w:spacing w:after="240" w:line="240" w:lineRule="auto"/>
        <w:jc w:val="both"/>
      </w:pPr>
      <w:r w:rsidRPr="005E408A">
        <w:t>Zakon o tržištu električne energije (NN 22/13, 102/15);</w:t>
      </w:r>
    </w:p>
    <w:p w14:paraId="1A59A41F" w14:textId="77777777" w:rsidR="00390B65" w:rsidRPr="005E408A" w:rsidRDefault="00390B65" w:rsidP="00E92750">
      <w:pPr>
        <w:spacing w:after="240" w:line="240" w:lineRule="auto"/>
        <w:jc w:val="both"/>
      </w:pPr>
      <w:r w:rsidRPr="005E408A">
        <w:t>Zakon o tržištu toplinske energije (NN 80/13, 14/14, 95/15);</w:t>
      </w:r>
    </w:p>
    <w:p w14:paraId="7BF9EE75" w14:textId="77777777" w:rsidR="00390B65" w:rsidRPr="005E408A" w:rsidRDefault="00390B65" w:rsidP="00E92750">
      <w:pPr>
        <w:spacing w:after="240" w:line="240" w:lineRule="auto"/>
        <w:jc w:val="both"/>
      </w:pPr>
      <w:r w:rsidRPr="005E408A">
        <w:rPr>
          <w:bCs/>
        </w:rPr>
        <w:t>Zakon o energetskoj učinkovitosti (NN 127/14);</w:t>
      </w:r>
    </w:p>
    <w:p w14:paraId="3E3DFD5C" w14:textId="77777777" w:rsidR="00390B65" w:rsidRPr="005E408A" w:rsidRDefault="00390B65" w:rsidP="00E92750">
      <w:pPr>
        <w:spacing w:after="240" w:line="240" w:lineRule="auto"/>
        <w:jc w:val="both"/>
      </w:pPr>
      <w:r w:rsidRPr="005E408A">
        <w:t>Zakon o tržištu nafte i naftnih derivata (NN 19/14);</w:t>
      </w:r>
    </w:p>
    <w:p w14:paraId="6B2D79D4" w14:textId="77777777" w:rsidR="00390B65" w:rsidRPr="005E408A" w:rsidRDefault="00390B65" w:rsidP="00E92750">
      <w:pPr>
        <w:spacing w:after="240" w:line="240" w:lineRule="auto"/>
        <w:jc w:val="both"/>
      </w:pPr>
      <w:r w:rsidRPr="005E408A">
        <w:t xml:space="preserve">Zakon o tržištu plina (NN 28/13, 14/14); </w:t>
      </w:r>
    </w:p>
    <w:p w14:paraId="4AA797D3" w14:textId="77777777" w:rsidR="00390B65" w:rsidRPr="005E408A" w:rsidRDefault="00390B65" w:rsidP="00E92750">
      <w:pPr>
        <w:spacing w:after="240" w:line="240" w:lineRule="auto"/>
        <w:jc w:val="both"/>
      </w:pPr>
      <w:r w:rsidRPr="005E408A">
        <w:t>Zakon o biogorivima za prijevoz (NN 65/09, 145/10, 26/11, 144/12, 14/14);</w:t>
      </w:r>
    </w:p>
    <w:p w14:paraId="1A786361" w14:textId="77777777" w:rsidR="00390B65" w:rsidRPr="005554BC" w:rsidRDefault="00390B65" w:rsidP="00E92750">
      <w:pPr>
        <w:spacing w:after="240" w:line="240" w:lineRule="auto"/>
        <w:jc w:val="both"/>
      </w:pPr>
      <w:r w:rsidRPr="005554BC">
        <w:lastRenderedPageBreak/>
        <w:t>Zakon o gradnji (NN 153/13);</w:t>
      </w:r>
    </w:p>
    <w:p w14:paraId="11C82573" w14:textId="2E77853F" w:rsidR="00E67D54" w:rsidRPr="005554BC" w:rsidRDefault="00E67D54" w:rsidP="00E92750">
      <w:pPr>
        <w:spacing w:after="240" w:line="240" w:lineRule="auto"/>
        <w:jc w:val="both"/>
      </w:pPr>
      <w:r w:rsidRPr="005554BC">
        <w:t>Energija u Hrvatskoj</w:t>
      </w:r>
    </w:p>
    <w:p w14:paraId="221A84CB" w14:textId="79000B8D" w:rsidR="00390B65" w:rsidRPr="005554BC" w:rsidRDefault="00390B65" w:rsidP="00E92750">
      <w:pPr>
        <w:spacing w:after="240" w:line="240" w:lineRule="auto"/>
        <w:jc w:val="both"/>
      </w:pPr>
      <w:r w:rsidRPr="005554BC">
        <w:t>Ministarstvo unutarnjih poslova</w:t>
      </w:r>
      <w:r w:rsidR="0084698C" w:rsidRPr="005554BC">
        <w:t xml:space="preserve"> Republike Hrvatske</w:t>
      </w:r>
      <w:r w:rsidRPr="005554BC">
        <w:t>;</w:t>
      </w:r>
    </w:p>
    <w:p w14:paraId="3D815342" w14:textId="529F96FF" w:rsidR="002B2C68" w:rsidRPr="005554BC" w:rsidRDefault="002B2C68" w:rsidP="00E92750">
      <w:pPr>
        <w:pStyle w:val="NoSpacing"/>
        <w:spacing w:after="240"/>
      </w:pPr>
      <w:r w:rsidRPr="005554BC">
        <w:t>Statistički ljetopis Grada Zagreba 2015.;</w:t>
      </w:r>
    </w:p>
    <w:p w14:paraId="72979551" w14:textId="4FC2D571" w:rsidR="002B2C68" w:rsidRPr="005554BC" w:rsidRDefault="002B2C68" w:rsidP="00E92750">
      <w:pPr>
        <w:pStyle w:val="NoSpacing"/>
        <w:spacing w:after="240"/>
      </w:pPr>
      <w:r w:rsidRPr="005554BC">
        <w:t>Podružnica, trgovačkih društava i ustanove u vlasništvu Zagrebačkog holdinga d.o.o.;</w:t>
      </w:r>
    </w:p>
    <w:p w14:paraId="6BE63DFE" w14:textId="77777777" w:rsidR="00935F2C" w:rsidRPr="005554BC" w:rsidRDefault="00935F2C" w:rsidP="00E92750">
      <w:pPr>
        <w:spacing w:line="240" w:lineRule="auto"/>
        <w:jc w:val="both"/>
      </w:pPr>
      <w:r w:rsidRPr="005554BC">
        <w:t>AGM d.o.o.;</w:t>
      </w:r>
    </w:p>
    <w:p w14:paraId="7AE53B7F" w14:textId="77777777" w:rsidR="00935F2C" w:rsidRPr="005554BC" w:rsidRDefault="00935F2C" w:rsidP="00E92750">
      <w:pPr>
        <w:spacing w:line="240" w:lineRule="auto"/>
        <w:jc w:val="both"/>
      </w:pPr>
      <w:r w:rsidRPr="005554BC">
        <w:t>Arena Zagreb;</w:t>
      </w:r>
    </w:p>
    <w:p w14:paraId="47286BA6" w14:textId="77777777" w:rsidR="00935F2C" w:rsidRPr="005554BC" w:rsidRDefault="00935F2C" w:rsidP="00E92750">
      <w:pPr>
        <w:spacing w:line="240" w:lineRule="auto"/>
        <w:jc w:val="both"/>
      </w:pPr>
      <w:r w:rsidRPr="005554BC">
        <w:t>Autobusni kolodvor;</w:t>
      </w:r>
    </w:p>
    <w:p w14:paraId="74B6AA86" w14:textId="77777777" w:rsidR="00935F2C" w:rsidRPr="005554BC" w:rsidRDefault="00935F2C" w:rsidP="00E92750">
      <w:pPr>
        <w:spacing w:line="240" w:lineRule="auto"/>
        <w:jc w:val="both"/>
      </w:pPr>
      <w:r w:rsidRPr="005554BC">
        <w:t>Centar d.o.o.;</w:t>
      </w:r>
    </w:p>
    <w:p w14:paraId="1EB8D41D" w14:textId="77777777" w:rsidR="00935F2C" w:rsidRPr="005554BC" w:rsidRDefault="00935F2C" w:rsidP="00E92750">
      <w:pPr>
        <w:spacing w:line="240" w:lineRule="auto"/>
        <w:jc w:val="both"/>
      </w:pPr>
      <w:r w:rsidRPr="005554BC">
        <w:t>Čistoća;</w:t>
      </w:r>
    </w:p>
    <w:p w14:paraId="33AE12B6" w14:textId="77777777" w:rsidR="00935F2C" w:rsidRPr="005554BC" w:rsidRDefault="00935F2C" w:rsidP="00E92750">
      <w:pPr>
        <w:spacing w:line="240" w:lineRule="auto"/>
        <w:jc w:val="both"/>
      </w:pPr>
      <w:r w:rsidRPr="005554BC">
        <w:t>Gradska groblja;</w:t>
      </w:r>
    </w:p>
    <w:p w14:paraId="3810901B" w14:textId="77777777" w:rsidR="00935F2C" w:rsidRPr="005554BC" w:rsidRDefault="00935F2C" w:rsidP="00E92750">
      <w:pPr>
        <w:spacing w:line="240" w:lineRule="auto"/>
        <w:jc w:val="both"/>
      </w:pPr>
      <w:r w:rsidRPr="005554BC">
        <w:t>Gradska ljekarna Zagreb;</w:t>
      </w:r>
    </w:p>
    <w:p w14:paraId="6E753A4A" w14:textId="77777777" w:rsidR="00935F2C" w:rsidRPr="005554BC" w:rsidRDefault="00935F2C" w:rsidP="00E92750">
      <w:pPr>
        <w:spacing w:line="240" w:lineRule="auto"/>
        <w:jc w:val="both"/>
      </w:pPr>
      <w:r w:rsidRPr="005554BC">
        <w:t>Gradska plinara Zagreb d.o.o.;</w:t>
      </w:r>
    </w:p>
    <w:p w14:paraId="224A2AF6" w14:textId="77777777" w:rsidR="00935F2C" w:rsidRPr="005554BC" w:rsidRDefault="00935F2C" w:rsidP="00E92750">
      <w:pPr>
        <w:spacing w:line="240" w:lineRule="auto"/>
        <w:jc w:val="both"/>
      </w:pPr>
      <w:r w:rsidRPr="005554BC">
        <w:t>Gradska plinara Zagreb Opskrba d.o.o.;</w:t>
      </w:r>
    </w:p>
    <w:p w14:paraId="125EDF6F" w14:textId="77777777" w:rsidR="00935F2C" w:rsidRPr="005554BC" w:rsidRDefault="00935F2C" w:rsidP="00E92750">
      <w:pPr>
        <w:spacing w:line="240" w:lineRule="auto"/>
        <w:jc w:val="both"/>
      </w:pPr>
      <w:r w:rsidRPr="005554BC">
        <w:t>Gradsko stambeno komunalno gospodarstvo d.o.o.;</w:t>
      </w:r>
    </w:p>
    <w:p w14:paraId="5CAE646A" w14:textId="77777777" w:rsidR="00935F2C" w:rsidRPr="005554BC" w:rsidRDefault="00935F2C" w:rsidP="00E92750">
      <w:pPr>
        <w:spacing w:line="240" w:lineRule="auto"/>
        <w:jc w:val="both"/>
      </w:pPr>
      <w:r w:rsidRPr="005554BC">
        <w:t>Robni terminali Zagreb;</w:t>
      </w:r>
    </w:p>
    <w:p w14:paraId="294F0E1A" w14:textId="77777777" w:rsidR="00935F2C" w:rsidRPr="005554BC" w:rsidRDefault="00935F2C" w:rsidP="00E92750">
      <w:pPr>
        <w:spacing w:line="240" w:lineRule="auto"/>
        <w:jc w:val="both"/>
      </w:pPr>
      <w:r w:rsidRPr="005554BC">
        <w:t>Upravljanje nekretninama;</w:t>
      </w:r>
    </w:p>
    <w:p w14:paraId="58DCBBE2" w14:textId="77777777" w:rsidR="00935F2C" w:rsidRPr="005554BC" w:rsidRDefault="00935F2C" w:rsidP="00E92750">
      <w:pPr>
        <w:spacing w:line="240" w:lineRule="auto"/>
        <w:jc w:val="both"/>
      </w:pPr>
      <w:r w:rsidRPr="005554BC">
        <w:t>Upravljanje projektima;</w:t>
      </w:r>
    </w:p>
    <w:p w14:paraId="2720AF09" w14:textId="77777777" w:rsidR="00935F2C" w:rsidRPr="005554BC" w:rsidRDefault="00935F2C" w:rsidP="00E92750">
      <w:pPr>
        <w:spacing w:line="240" w:lineRule="auto"/>
        <w:jc w:val="both"/>
      </w:pPr>
      <w:r w:rsidRPr="005554BC">
        <w:t>Tržnice Zagreb;</w:t>
      </w:r>
    </w:p>
    <w:p w14:paraId="2BE7AF42" w14:textId="77777777" w:rsidR="00935F2C" w:rsidRPr="005554BC" w:rsidRDefault="00935F2C" w:rsidP="00E92750">
      <w:pPr>
        <w:spacing w:line="240" w:lineRule="auto"/>
        <w:jc w:val="both"/>
      </w:pPr>
      <w:r w:rsidRPr="005554BC">
        <w:t>Vladimir Nazor;</w:t>
      </w:r>
    </w:p>
    <w:p w14:paraId="723B3949" w14:textId="77777777" w:rsidR="00935F2C" w:rsidRPr="005554BC" w:rsidRDefault="00935F2C" w:rsidP="00E92750">
      <w:pPr>
        <w:spacing w:line="240" w:lineRule="auto"/>
        <w:jc w:val="both"/>
      </w:pPr>
      <w:r w:rsidRPr="005554BC">
        <w:t>Vodoopskrba i odvodnja d.o.o.</w:t>
      </w:r>
    </w:p>
    <w:p w14:paraId="65119C34" w14:textId="77777777" w:rsidR="00935F2C" w:rsidRPr="005554BC" w:rsidRDefault="00935F2C" w:rsidP="00E92750">
      <w:pPr>
        <w:spacing w:line="240" w:lineRule="auto"/>
        <w:jc w:val="both"/>
      </w:pPr>
      <w:r w:rsidRPr="005554BC">
        <w:t>Zagreb plakat d.o.o.;</w:t>
      </w:r>
    </w:p>
    <w:p w14:paraId="6FA26C4D" w14:textId="77777777" w:rsidR="00935F2C" w:rsidRPr="005554BC" w:rsidRDefault="00935F2C" w:rsidP="00E92750">
      <w:pPr>
        <w:spacing w:line="240" w:lineRule="auto"/>
        <w:jc w:val="both"/>
      </w:pPr>
      <w:r w:rsidRPr="005554BC">
        <w:t>Zagrebačka stanogradnja d.o.o.;</w:t>
      </w:r>
    </w:p>
    <w:p w14:paraId="4521B803" w14:textId="77777777" w:rsidR="00935F2C" w:rsidRPr="005554BC" w:rsidRDefault="00935F2C" w:rsidP="00E92750">
      <w:pPr>
        <w:spacing w:line="240" w:lineRule="auto"/>
        <w:jc w:val="both"/>
      </w:pPr>
      <w:r w:rsidRPr="005554BC">
        <w:t>Zagrebparking;</w:t>
      </w:r>
    </w:p>
    <w:p w14:paraId="399D369D" w14:textId="77777777" w:rsidR="00935F2C" w:rsidRPr="005554BC" w:rsidRDefault="00935F2C" w:rsidP="00E92750">
      <w:pPr>
        <w:spacing w:line="240" w:lineRule="auto"/>
        <w:jc w:val="both"/>
      </w:pPr>
      <w:r w:rsidRPr="005554BC">
        <w:t>Zagrebačke ceste;</w:t>
      </w:r>
    </w:p>
    <w:p w14:paraId="5F44F19C" w14:textId="77777777" w:rsidR="00935F2C" w:rsidRPr="005554BC" w:rsidRDefault="00935F2C" w:rsidP="00E92750">
      <w:pPr>
        <w:spacing w:line="240" w:lineRule="auto"/>
        <w:jc w:val="both"/>
      </w:pPr>
      <w:r w:rsidRPr="005554BC">
        <w:t>Zagrebački digitalni grad;</w:t>
      </w:r>
    </w:p>
    <w:p w14:paraId="72F5DFEF" w14:textId="77777777" w:rsidR="00935F2C" w:rsidRPr="005554BC" w:rsidRDefault="00935F2C" w:rsidP="00E92750">
      <w:pPr>
        <w:spacing w:line="240" w:lineRule="auto"/>
        <w:jc w:val="both"/>
      </w:pPr>
      <w:r w:rsidRPr="005554BC">
        <w:t>Zagrebački električni tramvaj – ZET;</w:t>
      </w:r>
    </w:p>
    <w:p w14:paraId="5D9CD41A" w14:textId="77777777" w:rsidR="00935F2C" w:rsidRPr="005554BC" w:rsidRDefault="00935F2C" w:rsidP="00E92750">
      <w:pPr>
        <w:spacing w:line="240" w:lineRule="auto"/>
        <w:jc w:val="both"/>
      </w:pPr>
      <w:r w:rsidRPr="005554BC">
        <w:t>Zagrebački velesajam;</w:t>
      </w:r>
    </w:p>
    <w:p w14:paraId="6481C215" w14:textId="0308D1A3" w:rsidR="00935F2C" w:rsidRPr="00165488" w:rsidRDefault="00935F2C" w:rsidP="00E92750">
      <w:pPr>
        <w:spacing w:line="240" w:lineRule="auto"/>
        <w:jc w:val="both"/>
      </w:pPr>
      <w:r w:rsidRPr="00165488">
        <w:lastRenderedPageBreak/>
        <w:t>ZGOS d.o.o.;</w:t>
      </w:r>
    </w:p>
    <w:p w14:paraId="60FF9B42" w14:textId="045EFE1C" w:rsidR="00935F2C" w:rsidRPr="00165488" w:rsidRDefault="00935F2C" w:rsidP="00E92750">
      <w:pPr>
        <w:spacing w:line="240" w:lineRule="auto"/>
        <w:jc w:val="both"/>
      </w:pPr>
      <w:r w:rsidRPr="00165488">
        <w:t>Zrinjevac;</w:t>
      </w:r>
    </w:p>
    <w:p w14:paraId="2ECA445B" w14:textId="74A17F25" w:rsidR="002B2C68" w:rsidRPr="00165488" w:rsidRDefault="002B2C68" w:rsidP="00E92750">
      <w:pPr>
        <w:pStyle w:val="NoSpacing"/>
        <w:spacing w:after="240"/>
      </w:pPr>
      <w:r w:rsidRPr="00165488">
        <w:t>Službene stranice Zagrebačkog holdinga d.o.o. -  podružnice ZET;</w:t>
      </w:r>
    </w:p>
    <w:p w14:paraId="679C0F76" w14:textId="47AAC6AA" w:rsidR="002B2C68" w:rsidRPr="00165488" w:rsidRDefault="002B2C68" w:rsidP="00E92750">
      <w:pPr>
        <w:spacing w:line="240" w:lineRule="auto"/>
        <w:contextualSpacing/>
        <w:jc w:val="both"/>
        <w:rPr>
          <w:rFonts w:ascii="Calibri" w:eastAsia="Calibri" w:hAnsi="Calibri" w:cs="Times New Roman"/>
        </w:rPr>
      </w:pPr>
      <w:r w:rsidRPr="00165488">
        <w:t>HŽ Putnički prijevoz d.o.o.;</w:t>
      </w:r>
    </w:p>
    <w:p w14:paraId="604C76A7" w14:textId="627384A4" w:rsidR="002B2C68" w:rsidRPr="00165488" w:rsidRDefault="002B2C68" w:rsidP="00E92750">
      <w:pPr>
        <w:pStyle w:val="NoSpacing"/>
        <w:spacing w:after="240"/>
      </w:pPr>
      <w:r w:rsidRPr="00165488">
        <w:t>Odluka o prijevozu putnika u javnom prometu (20/13, 25/13).</w:t>
      </w:r>
    </w:p>
    <w:p w14:paraId="1F9AB3EA" w14:textId="5D7C1619" w:rsidR="009B1498" w:rsidRPr="00165488" w:rsidRDefault="00323A51" w:rsidP="00E92750">
      <w:pPr>
        <w:spacing w:line="240" w:lineRule="auto"/>
        <w:jc w:val="both"/>
        <w:rPr>
          <w:rStyle w:val="Hyperlink"/>
          <w:rFonts w:eastAsia="Times New Roman" w:cs="Arial"/>
        </w:rPr>
      </w:pPr>
      <w:hyperlink r:id="rId108" w:history="1">
        <w:r w:rsidR="002B2C68" w:rsidRPr="00165488">
          <w:rPr>
            <w:rStyle w:val="Hyperlink"/>
            <w:rFonts w:eastAsia="Times New Roman" w:cs="Arial"/>
          </w:rPr>
          <w:t>http://www.zet.hr/UserDocsImages/Dokumenti%20i%20obrasci%20za%20preuzimanje/Odredbe%20i%20pravilnici/Odluka%20o%20prijevozu%20putnika%20u%20javnom%20prometu.pdf</w:t>
        </w:r>
      </w:hyperlink>
    </w:p>
    <w:p w14:paraId="09CC6833" w14:textId="25FC4919" w:rsidR="00457F86" w:rsidRPr="00165488" w:rsidRDefault="00457F86" w:rsidP="00E92750">
      <w:pPr>
        <w:spacing w:line="240" w:lineRule="auto"/>
        <w:jc w:val="both"/>
        <w:rPr>
          <w:rStyle w:val="Hyperlink"/>
          <w:rFonts w:eastAsia="Times New Roman" w:cs="Arial"/>
          <w:color w:val="auto"/>
          <w:u w:val="none"/>
        </w:rPr>
      </w:pPr>
      <w:r w:rsidRPr="00165488">
        <w:rPr>
          <w:rStyle w:val="Hyperlink"/>
          <w:rFonts w:eastAsia="Times New Roman" w:cs="Arial"/>
          <w:color w:val="auto"/>
          <w:u w:val="none"/>
        </w:rPr>
        <w:t>Nastavni zavod za hitnu medicinu Grada Zagreba</w:t>
      </w:r>
      <w:r w:rsidR="007046D0" w:rsidRPr="00165488">
        <w:rPr>
          <w:rStyle w:val="Hyperlink"/>
          <w:rFonts w:eastAsia="Times New Roman" w:cs="Arial"/>
          <w:color w:val="auto"/>
          <w:u w:val="none"/>
        </w:rPr>
        <w:t>;</w:t>
      </w:r>
    </w:p>
    <w:p w14:paraId="60AE2C99" w14:textId="5A8D1BE6" w:rsidR="00457F86" w:rsidRPr="007046D0" w:rsidRDefault="007046D0" w:rsidP="007046D0">
      <w:pPr>
        <w:jc w:val="both"/>
        <w:rPr>
          <w:rStyle w:val="Hyperlink"/>
          <w:rFonts w:eastAsia="Times New Roman" w:cs="Arial"/>
          <w:color w:val="auto"/>
          <w:highlight w:val="yellow"/>
          <w:u w:val="none"/>
        </w:rPr>
      </w:pPr>
      <w:r w:rsidRPr="007046D0">
        <w:t>Javna vatrogasna postrojba Grada Zagreba, Zagreb, Savska cesta broj</w:t>
      </w:r>
      <w:r>
        <w:t xml:space="preserve"> </w:t>
      </w:r>
      <w:r w:rsidRPr="007046D0">
        <w:t>1</w:t>
      </w:r>
      <w:r>
        <w:t>;</w:t>
      </w:r>
    </w:p>
    <w:p w14:paraId="01C62E18" w14:textId="72741BE5" w:rsidR="00457F86" w:rsidRPr="007046D0" w:rsidRDefault="007046D0" w:rsidP="00E92750">
      <w:pPr>
        <w:spacing w:line="240" w:lineRule="auto"/>
        <w:jc w:val="both"/>
        <w:rPr>
          <w:rStyle w:val="Hyperlink"/>
          <w:rFonts w:eastAsia="Times New Roman" w:cstheme="minorHAnsi"/>
          <w:color w:val="auto"/>
          <w:highlight w:val="yellow"/>
        </w:rPr>
      </w:pPr>
      <w:r w:rsidRPr="007046D0">
        <w:rPr>
          <w:rFonts w:cstheme="minorHAnsi"/>
        </w:rPr>
        <w:t>Ustanova Upravljanje sportskim objektima</w:t>
      </w:r>
      <w:r>
        <w:rPr>
          <w:rFonts w:cstheme="minorHAnsi"/>
        </w:rPr>
        <w:t>;</w:t>
      </w:r>
    </w:p>
    <w:p w14:paraId="2AE2FFB9" w14:textId="6B5F1C1F" w:rsidR="00457F86" w:rsidRPr="007046D0" w:rsidRDefault="007046D0" w:rsidP="00E92750">
      <w:pPr>
        <w:spacing w:line="240" w:lineRule="auto"/>
        <w:jc w:val="both"/>
        <w:rPr>
          <w:rStyle w:val="Hyperlink"/>
          <w:rFonts w:eastAsia="Times New Roman" w:cs="Arial"/>
          <w:color w:val="auto"/>
          <w:highlight w:val="yellow"/>
          <w:u w:val="none"/>
        </w:rPr>
      </w:pPr>
      <w:r w:rsidRPr="007046D0">
        <w:rPr>
          <w:rStyle w:val="Hyperlink"/>
          <w:rFonts w:eastAsia="Times New Roman" w:cs="Arial"/>
          <w:color w:val="auto"/>
          <w:u w:val="none"/>
        </w:rPr>
        <w:t>Ustanova Zoološki Vrt Grada Zagreba</w:t>
      </w:r>
      <w:r>
        <w:rPr>
          <w:rStyle w:val="Hyperlink"/>
          <w:rFonts w:eastAsia="Times New Roman" w:cs="Arial"/>
          <w:color w:val="auto"/>
          <w:u w:val="none"/>
        </w:rPr>
        <w:t>;</w:t>
      </w:r>
    </w:p>
    <w:p w14:paraId="61792E1B" w14:textId="7522B938" w:rsidR="00457F86" w:rsidRPr="007046D0" w:rsidRDefault="007046D0" w:rsidP="00E92750">
      <w:pPr>
        <w:spacing w:line="240" w:lineRule="auto"/>
        <w:jc w:val="both"/>
        <w:rPr>
          <w:rStyle w:val="Hyperlink"/>
          <w:rFonts w:eastAsia="Times New Roman" w:cs="Arial"/>
          <w:color w:val="auto"/>
          <w:u w:val="none"/>
        </w:rPr>
      </w:pPr>
      <w:r w:rsidRPr="007046D0">
        <w:rPr>
          <w:rStyle w:val="Hyperlink"/>
          <w:rFonts w:eastAsia="Times New Roman" w:cs="Arial"/>
          <w:color w:val="auto"/>
          <w:u w:val="none"/>
        </w:rPr>
        <w:t>Mali Dom Zagreb</w:t>
      </w:r>
    </w:p>
    <w:p w14:paraId="3AC6BBE3" w14:textId="3BABF786" w:rsidR="007046D0" w:rsidRPr="00274134" w:rsidRDefault="00274134" w:rsidP="00E92750">
      <w:pPr>
        <w:spacing w:line="240" w:lineRule="auto"/>
        <w:jc w:val="both"/>
        <w:rPr>
          <w:rStyle w:val="Hyperlink"/>
          <w:rFonts w:eastAsia="Times New Roman" w:cs="Arial"/>
          <w:color w:val="auto"/>
          <w:u w:val="none"/>
        </w:rPr>
      </w:pPr>
      <w:r w:rsidRPr="00274134">
        <w:rPr>
          <w:rStyle w:val="Hyperlink"/>
          <w:rFonts w:eastAsia="Times New Roman" w:cs="Arial"/>
          <w:color w:val="auto"/>
          <w:u w:val="none"/>
        </w:rPr>
        <w:t>Knjižnice Zagreb</w:t>
      </w:r>
    </w:p>
    <w:p w14:paraId="12AFDAFB" w14:textId="77777777" w:rsidR="002B2C68" w:rsidRPr="00165488" w:rsidRDefault="002B2C68" w:rsidP="00E92750">
      <w:pPr>
        <w:spacing w:line="240" w:lineRule="auto"/>
        <w:jc w:val="both"/>
        <w:rPr>
          <w:rFonts w:ascii="Calibri" w:eastAsia="Calibri" w:hAnsi="Calibri" w:cs="Times New Roman"/>
        </w:rPr>
      </w:pPr>
      <w:r w:rsidRPr="00165488">
        <w:rPr>
          <w:rFonts w:ascii="Calibri" w:eastAsia="Calibri" w:hAnsi="Calibri" w:cs="Times New Roman"/>
        </w:rPr>
        <w:t>Državni zavod za statistiku;</w:t>
      </w:r>
    </w:p>
    <w:p w14:paraId="7D49021A" w14:textId="77777777" w:rsidR="002B2C68" w:rsidRPr="00165488" w:rsidRDefault="002B2C68" w:rsidP="00E92750">
      <w:pPr>
        <w:spacing w:line="240" w:lineRule="auto"/>
        <w:jc w:val="both"/>
        <w:rPr>
          <w:rFonts w:ascii="Calibri" w:eastAsia="Calibri" w:hAnsi="Calibri" w:cs="Times New Roman"/>
        </w:rPr>
      </w:pPr>
      <w:r w:rsidRPr="00165488">
        <w:rPr>
          <w:rFonts w:ascii="Calibri" w:eastAsia="Calibri" w:hAnsi="Calibri" w:cs="Times New Roman"/>
        </w:rPr>
        <w:t>HEP - TOPLINARSTVO d.o.o.;</w:t>
      </w:r>
    </w:p>
    <w:p w14:paraId="74E2A1F8" w14:textId="77777777" w:rsidR="002B2C68" w:rsidRPr="00165488" w:rsidRDefault="002B2C68" w:rsidP="00E92750">
      <w:pPr>
        <w:spacing w:line="240" w:lineRule="auto"/>
        <w:jc w:val="both"/>
        <w:rPr>
          <w:rFonts w:ascii="Calibri" w:eastAsia="Calibri" w:hAnsi="Calibri" w:cs="Times New Roman"/>
        </w:rPr>
      </w:pPr>
      <w:r w:rsidRPr="00165488">
        <w:rPr>
          <w:rFonts w:ascii="Calibri" w:eastAsia="Calibri" w:hAnsi="Calibri" w:cs="Times New Roman"/>
        </w:rPr>
        <w:t>Agencija za podršku informacijskim sustavima i informacijskim tehnologijama (APIS IT d.o.o.);</w:t>
      </w:r>
    </w:p>
    <w:p w14:paraId="4BF373C8" w14:textId="4B751160" w:rsidR="002B2C68" w:rsidRPr="00165488" w:rsidRDefault="002B2C68" w:rsidP="00E92750">
      <w:pPr>
        <w:spacing w:line="240" w:lineRule="auto"/>
        <w:jc w:val="both"/>
        <w:rPr>
          <w:rFonts w:ascii="Calibri" w:eastAsia="Calibri" w:hAnsi="Calibri" w:cs="Times New Roman"/>
        </w:rPr>
      </w:pPr>
      <w:r w:rsidRPr="00165488">
        <w:rPr>
          <w:rFonts w:ascii="Calibri" w:eastAsia="Calibri" w:hAnsi="Calibri" w:cs="Times New Roman"/>
        </w:rPr>
        <w:t>Gradska plinara Zagreb d.o.o. ;</w:t>
      </w:r>
    </w:p>
    <w:p w14:paraId="55AD8DF5" w14:textId="77777777" w:rsidR="002B2C68" w:rsidRPr="00165488" w:rsidRDefault="002B2C68" w:rsidP="00E92750">
      <w:pPr>
        <w:spacing w:line="240" w:lineRule="auto"/>
        <w:jc w:val="both"/>
        <w:rPr>
          <w:rFonts w:ascii="Calibri" w:eastAsia="Calibri" w:hAnsi="Calibri" w:cs="Times New Roman"/>
        </w:rPr>
      </w:pPr>
      <w:r w:rsidRPr="00165488">
        <w:rPr>
          <w:rFonts w:ascii="Calibri" w:eastAsia="Calibri" w:hAnsi="Calibri" w:cs="Times New Roman"/>
        </w:rPr>
        <w:t>HEP - OPERATOR DISTRIBUCIJSKOG SUSTAVA d.o.o.</w:t>
      </w:r>
    </w:p>
    <w:p w14:paraId="3F0801C5" w14:textId="500C9798" w:rsidR="00B47419" w:rsidRPr="00165488" w:rsidRDefault="00B47419" w:rsidP="00E92750">
      <w:pPr>
        <w:spacing w:line="240" w:lineRule="auto"/>
        <w:jc w:val="both"/>
      </w:pPr>
      <w:r w:rsidRPr="00165488">
        <w:t>Izvješće o izvršenju programa radova kapitalnih ulaganja u objekte društvenih djelatnost</w:t>
      </w:r>
      <w:r w:rsidR="000C7F26">
        <w:t>i u Gradu Zagrebu</w:t>
      </w:r>
      <w:r w:rsidRPr="00165488">
        <w:t>, Gradski ured za prostorno uređenje, izgradnju Grada, graditeljstvo, komunalne poslove i promet;</w:t>
      </w:r>
    </w:p>
    <w:p w14:paraId="3138A9C0" w14:textId="418F2F4B" w:rsidR="00B47419" w:rsidRPr="00165488" w:rsidRDefault="00B47419" w:rsidP="00E92750">
      <w:pPr>
        <w:spacing w:line="240" w:lineRule="auto"/>
        <w:jc w:val="both"/>
      </w:pPr>
      <w:r w:rsidRPr="00165488">
        <w:t>Izvješće o izvršenju programa radova kapitalnih ulaganja u objekte društvenih djelatnost</w:t>
      </w:r>
      <w:r w:rsidR="000C7F26">
        <w:t>i u Gradu Zagrebu</w:t>
      </w:r>
      <w:r w:rsidRPr="00165488">
        <w:t>, Gradski ured za prostorno uređenje, izgradnju Grada, graditeljstvo, komunalne poslove i promet;</w:t>
      </w:r>
    </w:p>
    <w:p w14:paraId="359443C2" w14:textId="235721E1" w:rsidR="00B47419" w:rsidRPr="00165488" w:rsidRDefault="00B47419" w:rsidP="00E92750">
      <w:pPr>
        <w:spacing w:line="240" w:lineRule="auto"/>
        <w:jc w:val="both"/>
      </w:pPr>
      <w:r w:rsidRPr="00165488">
        <w:t>Godišnji izvještaji o izvršenju Proračuna Grada Zagreba;</w:t>
      </w:r>
    </w:p>
    <w:p w14:paraId="13F82725" w14:textId="098812CF" w:rsidR="00B47419" w:rsidRPr="00E75B54" w:rsidRDefault="00B47419" w:rsidP="00E92750">
      <w:pPr>
        <w:spacing w:after="240" w:line="240" w:lineRule="auto"/>
        <w:jc w:val="both"/>
      </w:pPr>
      <w:r w:rsidRPr="00165488">
        <w:t>Fond za zaštitu okoliša i energetsku učinkovitost.</w:t>
      </w:r>
    </w:p>
    <w:p w14:paraId="4D0D6020" w14:textId="77777777" w:rsidR="002B2C68" w:rsidRPr="006A5B95" w:rsidRDefault="002B2C68" w:rsidP="00E92750">
      <w:pPr>
        <w:spacing w:line="240" w:lineRule="auto"/>
        <w:jc w:val="both"/>
        <w:rPr>
          <w:rFonts w:eastAsia="Times New Roman" w:cs="Arial"/>
        </w:rPr>
      </w:pPr>
    </w:p>
    <w:sectPr w:rsidR="002B2C68" w:rsidRPr="006A5B95" w:rsidSect="00A65100">
      <w:pgSz w:w="11906" w:h="16838"/>
      <w:pgMar w:top="99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9D9F0" w14:textId="77777777" w:rsidR="00323A51" w:rsidRDefault="00323A51">
      <w:pPr>
        <w:spacing w:after="0" w:line="240" w:lineRule="auto"/>
      </w:pPr>
      <w:r>
        <w:separator/>
      </w:r>
    </w:p>
  </w:endnote>
  <w:endnote w:type="continuationSeparator" w:id="0">
    <w:p w14:paraId="091F3DDD" w14:textId="77777777" w:rsidR="00323A51" w:rsidRDefault="00323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443410"/>
      <w:docPartObj>
        <w:docPartGallery w:val="Page Numbers (Bottom of Page)"/>
        <w:docPartUnique/>
      </w:docPartObj>
    </w:sdtPr>
    <w:sdtEndPr>
      <w:rPr>
        <w:noProof/>
      </w:rPr>
    </w:sdtEndPr>
    <w:sdtContent>
      <w:p w14:paraId="7D3B0305" w14:textId="77777777" w:rsidR="00B6080E" w:rsidRDefault="00B6080E">
        <w:pPr>
          <w:pStyle w:val="Footer"/>
          <w:jc w:val="center"/>
        </w:pPr>
        <w:r>
          <w:fldChar w:fldCharType="begin"/>
        </w:r>
        <w:r>
          <w:instrText xml:space="preserve"> PAGE  \* Arabic  \* MERGEFORMAT </w:instrText>
        </w:r>
        <w:r>
          <w:fldChar w:fldCharType="separate"/>
        </w:r>
        <w:r>
          <w:rPr>
            <w:noProof/>
          </w:rPr>
          <w:t>2</w:t>
        </w:r>
        <w:r>
          <w:fldChar w:fldCharType="end"/>
        </w:r>
      </w:p>
    </w:sdtContent>
  </w:sdt>
  <w:p w14:paraId="5BEFCEA0" w14:textId="77777777" w:rsidR="00B6080E" w:rsidRDefault="00B6080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87053" w14:textId="4A6E552C" w:rsidR="00B6080E" w:rsidRDefault="00B6080E">
    <w:pPr>
      <w:pStyle w:val="Footer"/>
      <w:jc w:val="center"/>
    </w:pPr>
  </w:p>
  <w:p w14:paraId="5DD29CEA" w14:textId="77777777" w:rsidR="00B6080E" w:rsidRDefault="00B6080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3F3A8" w14:textId="26A12E5D" w:rsidR="00B6080E" w:rsidRDefault="00B6080E">
    <w:pPr>
      <w:pStyle w:val="Footer"/>
      <w:jc w:val="center"/>
    </w:pPr>
  </w:p>
  <w:p w14:paraId="6097427B" w14:textId="77777777" w:rsidR="00B6080E" w:rsidRDefault="00B6080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120739"/>
      <w:docPartObj>
        <w:docPartGallery w:val="Page Numbers (Bottom of Page)"/>
        <w:docPartUnique/>
      </w:docPartObj>
    </w:sdtPr>
    <w:sdtEndPr/>
    <w:sdtContent>
      <w:p w14:paraId="3FB12171" w14:textId="26CE3F53" w:rsidR="00B6080E" w:rsidRDefault="00B6080E">
        <w:pPr>
          <w:pStyle w:val="Footer"/>
          <w:jc w:val="center"/>
        </w:pPr>
        <w:r>
          <w:fldChar w:fldCharType="begin"/>
        </w:r>
        <w:r>
          <w:instrText>PAGE   \* MERGEFORMAT</w:instrText>
        </w:r>
        <w:r>
          <w:fldChar w:fldCharType="separate"/>
        </w:r>
        <w:r w:rsidR="003038AC">
          <w:rPr>
            <w:noProof/>
          </w:rPr>
          <w:t>14</w:t>
        </w:r>
        <w:r>
          <w:fldChar w:fldCharType="end"/>
        </w:r>
      </w:p>
    </w:sdtContent>
  </w:sdt>
  <w:p w14:paraId="095CB02A" w14:textId="77777777" w:rsidR="00B6080E" w:rsidRDefault="00B6080E">
    <w:pPr>
      <w:pStyle w:val="Footer"/>
    </w:pPr>
  </w:p>
  <w:p w14:paraId="7CCC4643" w14:textId="77777777" w:rsidR="00B6080E" w:rsidRDefault="00B6080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0EDAD" w14:textId="77777777" w:rsidR="00323A51" w:rsidRDefault="00323A51">
      <w:pPr>
        <w:spacing w:after="0" w:line="240" w:lineRule="auto"/>
      </w:pPr>
      <w:r>
        <w:separator/>
      </w:r>
    </w:p>
  </w:footnote>
  <w:footnote w:type="continuationSeparator" w:id="0">
    <w:p w14:paraId="206D296B" w14:textId="77777777" w:rsidR="00323A51" w:rsidRDefault="00323A51">
      <w:pPr>
        <w:spacing w:after="0" w:line="240" w:lineRule="auto"/>
      </w:pPr>
      <w:r>
        <w:continuationSeparator/>
      </w:r>
    </w:p>
  </w:footnote>
  <w:footnote w:id="1">
    <w:p w14:paraId="1C490F52" w14:textId="1D1047AA" w:rsidR="00B6080E" w:rsidRPr="00745871" w:rsidRDefault="00B6080E" w:rsidP="00CB3ED1">
      <w:pPr>
        <w:pStyle w:val="FootnoteText"/>
        <w:jc w:val="both"/>
        <w:rPr>
          <w:rFonts w:asciiTheme="minorHAnsi" w:hAnsiTheme="minorHAnsi" w:cstheme="minorHAnsi"/>
          <w:sz w:val="18"/>
          <w:szCs w:val="18"/>
        </w:rPr>
      </w:pPr>
      <w:r w:rsidRPr="003E58FF">
        <w:rPr>
          <w:rStyle w:val="FootnoteReference"/>
          <w:sz w:val="16"/>
          <w:szCs w:val="16"/>
        </w:rPr>
        <w:footnoteRef/>
      </w:r>
      <w:r>
        <w:rPr>
          <w:sz w:val="16"/>
          <w:szCs w:val="16"/>
        </w:rPr>
        <w:t xml:space="preserve"> </w:t>
      </w:r>
      <w:r w:rsidRPr="00745871">
        <w:rPr>
          <w:rFonts w:asciiTheme="minorHAnsi" w:hAnsiTheme="minorHAnsi" w:cstheme="minorHAnsi"/>
          <w:sz w:val="18"/>
          <w:szCs w:val="18"/>
        </w:rPr>
        <w:t>Dostupno na: http://www.eko.zagreb.hr/UserDocsImages/akcijski_plan_2013.pdf</w:t>
      </w:r>
    </w:p>
  </w:footnote>
  <w:footnote w:id="2">
    <w:p w14:paraId="39DD8A0A" w14:textId="747373CD" w:rsidR="00B6080E" w:rsidRPr="003E58FF" w:rsidRDefault="00B6080E" w:rsidP="00CB3ED1">
      <w:pPr>
        <w:pStyle w:val="FootnoteText"/>
        <w:jc w:val="both"/>
        <w:rPr>
          <w:sz w:val="16"/>
          <w:szCs w:val="16"/>
        </w:rPr>
      </w:pPr>
      <w:r w:rsidRPr="003E58FF">
        <w:rPr>
          <w:rStyle w:val="FootnoteReference"/>
          <w:sz w:val="16"/>
          <w:szCs w:val="16"/>
        </w:rPr>
        <w:footnoteRef/>
      </w:r>
      <w:r>
        <w:rPr>
          <w:sz w:val="16"/>
          <w:szCs w:val="16"/>
        </w:rPr>
        <w:t xml:space="preserve"> </w:t>
      </w:r>
      <w:r w:rsidRPr="00745871">
        <w:rPr>
          <w:rFonts w:asciiTheme="minorHAnsi" w:hAnsiTheme="minorHAnsi" w:cstheme="minorHAnsi"/>
          <w:sz w:val="18"/>
          <w:szCs w:val="18"/>
        </w:rPr>
        <w:t>Dostupno na: http://www.covenantofmayors.eu/index_en.html</w:t>
      </w:r>
    </w:p>
  </w:footnote>
  <w:footnote w:id="3">
    <w:p w14:paraId="192ECE98" w14:textId="2CF68964" w:rsidR="00B6080E" w:rsidRPr="00E83F75" w:rsidRDefault="00B6080E" w:rsidP="00BF7CCD">
      <w:pPr>
        <w:pStyle w:val="FootnoteText"/>
        <w:jc w:val="both"/>
        <w:rPr>
          <w:rFonts w:asciiTheme="minorHAnsi" w:hAnsiTheme="minorHAnsi" w:cstheme="minorHAnsi"/>
          <w:sz w:val="18"/>
          <w:szCs w:val="18"/>
        </w:rPr>
      </w:pPr>
      <w:r>
        <w:rPr>
          <w:rStyle w:val="FootnoteReference"/>
        </w:rPr>
        <w:footnoteRef/>
      </w:r>
      <w:r>
        <w:t xml:space="preserve"> </w:t>
      </w:r>
      <w:r w:rsidRPr="00E83F75">
        <w:rPr>
          <w:rFonts w:asciiTheme="minorHAnsi" w:hAnsiTheme="minorHAnsi" w:cstheme="minorHAnsi"/>
          <w:sz w:val="18"/>
          <w:szCs w:val="18"/>
        </w:rPr>
        <w:t>Obveza se računa od dana usvajanja Akcijskog plana na Gradskoj skupštini Grada Zagreba, a stupila je na snagu donošenjem Priručnika, detaljnije objašnjeno u poglavlju 3. ovog dokumenta.</w:t>
      </w:r>
    </w:p>
  </w:footnote>
  <w:footnote w:id="4">
    <w:p w14:paraId="0C92C31A" w14:textId="169B33B5" w:rsidR="00B6080E" w:rsidRPr="009B0130" w:rsidRDefault="00B6080E" w:rsidP="006304A0">
      <w:pPr>
        <w:pStyle w:val="FootnoteText"/>
        <w:jc w:val="both"/>
        <w:rPr>
          <w:sz w:val="18"/>
          <w:szCs w:val="18"/>
        </w:rPr>
      </w:pPr>
      <w:r>
        <w:rPr>
          <w:rStyle w:val="FootnoteReference"/>
        </w:rPr>
        <w:footnoteRef/>
      </w:r>
      <w:r>
        <w:t xml:space="preserve"> </w:t>
      </w:r>
      <w:r w:rsidRPr="009B0130">
        <w:rPr>
          <w:rFonts w:asciiTheme="minorHAnsi" w:hAnsiTheme="minorHAnsi"/>
          <w:sz w:val="18"/>
          <w:szCs w:val="18"/>
        </w:rPr>
        <w:t>Podaci se odnose na dan 15. studenog 2016. godine.</w:t>
      </w:r>
    </w:p>
  </w:footnote>
  <w:footnote w:id="5">
    <w:p w14:paraId="55C9593C" w14:textId="315767BA" w:rsidR="00B6080E" w:rsidRPr="009B0130" w:rsidRDefault="00B6080E" w:rsidP="006304A0">
      <w:pPr>
        <w:pStyle w:val="FootnoteText"/>
        <w:jc w:val="both"/>
        <w:rPr>
          <w:rFonts w:asciiTheme="minorHAnsi" w:hAnsiTheme="minorHAnsi" w:cstheme="minorHAnsi"/>
          <w:sz w:val="18"/>
          <w:szCs w:val="18"/>
        </w:rPr>
      </w:pPr>
      <w:r>
        <w:rPr>
          <w:rStyle w:val="FootnoteReference"/>
        </w:rPr>
        <w:footnoteRef/>
      </w:r>
      <w:r>
        <w:t xml:space="preserve"> </w:t>
      </w:r>
      <w:r w:rsidRPr="009B0130">
        <w:rPr>
          <w:rFonts w:asciiTheme="minorHAnsi" w:eastAsia="Calibri" w:hAnsiTheme="minorHAnsi" w:cstheme="minorHAnsi"/>
          <w:sz w:val="18"/>
          <w:szCs w:val="18"/>
        </w:rPr>
        <w:t>Prema službenoj definiciji Europske komisije koordinatori Sporazuma su javne administracije koje pružaju strateško vodstvo te financijsku i tehničku podršku gradovima potpisnicima Sporazuma kojima nedostaju potrebni resursi za ispunjavanje obveza preuzetih pristupanjem Sporazumu. Europska komisija razlikuje nacionalne i teritorijalne koordinatore. Nacionalni koordinatori su javne</w:t>
      </w:r>
      <w:r>
        <w:rPr>
          <w:rFonts w:asciiTheme="minorHAnsi" w:eastAsia="Calibri" w:hAnsiTheme="minorHAnsi" w:cstheme="minorHAnsi"/>
          <w:sz w:val="18"/>
          <w:szCs w:val="18"/>
        </w:rPr>
        <w:t xml:space="preserve"> ustanove na državnoj razini, n</w:t>
      </w:r>
      <w:r w:rsidRPr="009B0130">
        <w:rPr>
          <w:rFonts w:asciiTheme="minorHAnsi" w:eastAsia="Calibri" w:hAnsiTheme="minorHAnsi" w:cstheme="minorHAnsi"/>
          <w:sz w:val="18"/>
          <w:szCs w:val="18"/>
        </w:rPr>
        <w:t>pr. nacionalne energetske agencije i resorna ministarstva. Teritorijalni koordinatori mogu biti javne ustanove na regionalnoj i lokalnoj razini kao što su regionalne energetske agencije, regionalna i lokalna upravljačka tijela, udruge gradova i dr.</w:t>
      </w:r>
    </w:p>
  </w:footnote>
  <w:footnote w:id="6">
    <w:p w14:paraId="287D4F09" w14:textId="77777777" w:rsidR="00B6080E" w:rsidRPr="009B0130" w:rsidRDefault="00B6080E" w:rsidP="00957207">
      <w:pPr>
        <w:spacing w:after="0"/>
        <w:jc w:val="both"/>
        <w:rPr>
          <w:rFonts w:cstheme="minorHAnsi"/>
          <w:sz w:val="18"/>
          <w:szCs w:val="18"/>
        </w:rPr>
      </w:pPr>
      <w:r w:rsidRPr="009B0130">
        <w:rPr>
          <w:rStyle w:val="FootnoteReference"/>
          <w:rFonts w:cstheme="minorHAnsi"/>
          <w:sz w:val="18"/>
          <w:szCs w:val="18"/>
        </w:rPr>
        <w:footnoteRef/>
      </w:r>
      <w:r w:rsidRPr="009B0130">
        <w:rPr>
          <w:rFonts w:cstheme="minorHAnsi"/>
          <w:sz w:val="18"/>
          <w:szCs w:val="18"/>
        </w:rPr>
        <w:t xml:space="preserve"> Priručnik za praćenje i izvještavanje o provedbi Akcijskog plana</w:t>
      </w:r>
    </w:p>
    <w:p w14:paraId="6A4DCC42" w14:textId="77777777" w:rsidR="00B6080E" w:rsidRPr="009B0130" w:rsidRDefault="00323A51" w:rsidP="00957207">
      <w:pPr>
        <w:pStyle w:val="FootnoteText"/>
        <w:jc w:val="both"/>
        <w:rPr>
          <w:rFonts w:asciiTheme="minorHAnsi" w:hAnsiTheme="minorHAnsi" w:cstheme="minorHAnsi"/>
          <w:sz w:val="18"/>
          <w:szCs w:val="18"/>
        </w:rPr>
      </w:pPr>
      <w:hyperlink r:id="rId1" w:history="1">
        <w:r w:rsidR="00B6080E" w:rsidRPr="009B0130">
          <w:rPr>
            <w:rFonts w:asciiTheme="minorHAnsi" w:hAnsiTheme="minorHAnsi" w:cstheme="minorHAnsi"/>
            <w:color w:val="0000FF"/>
            <w:sz w:val="18"/>
            <w:szCs w:val="18"/>
            <w:u w:val="single"/>
          </w:rPr>
          <w:t>http://www.covenantofmayors.eu/IMG/pdf/Reporting_Guidelines_SEAP_and_Monitoring.pdf</w:t>
        </w:r>
      </w:hyperlink>
    </w:p>
  </w:footnote>
  <w:footnote w:id="7">
    <w:p w14:paraId="4952F0B3" w14:textId="1B5DAC2E" w:rsidR="00B6080E" w:rsidRDefault="00B6080E" w:rsidP="00EF5B29">
      <w:pPr>
        <w:pStyle w:val="FootnoteText"/>
        <w:jc w:val="both"/>
      </w:pPr>
      <w:r>
        <w:rPr>
          <w:rStyle w:val="FootnoteReference"/>
        </w:rPr>
        <w:footnoteRef/>
      </w:r>
      <w:r>
        <w:t xml:space="preserve"> </w:t>
      </w:r>
      <w:r w:rsidRPr="00EF5B29">
        <w:rPr>
          <w:rFonts w:asciiTheme="minorHAnsi" w:hAnsiTheme="minorHAnsi"/>
          <w:sz w:val="18"/>
          <w:szCs w:val="18"/>
        </w:rPr>
        <w:t>Zaključno do 31.12.2015. godine</w:t>
      </w:r>
    </w:p>
  </w:footnote>
  <w:footnote w:id="8">
    <w:p w14:paraId="53BF3DC1" w14:textId="5DA70B27" w:rsidR="00B6080E" w:rsidRDefault="00B6080E" w:rsidP="00AA230E">
      <w:pPr>
        <w:pStyle w:val="FootnoteText"/>
        <w:jc w:val="both"/>
        <w:rPr>
          <w:rFonts w:asciiTheme="minorHAnsi" w:hAnsiTheme="minorHAnsi"/>
          <w:sz w:val="18"/>
          <w:szCs w:val="18"/>
        </w:rPr>
      </w:pPr>
      <w:r>
        <w:rPr>
          <w:rStyle w:val="FootnoteReference"/>
        </w:rPr>
        <w:footnoteRef/>
      </w:r>
      <w:r>
        <w:t xml:space="preserve"> </w:t>
      </w:r>
      <w:r>
        <w:rPr>
          <w:rFonts w:asciiTheme="minorHAnsi" w:hAnsiTheme="minorHAnsi"/>
          <w:sz w:val="18"/>
          <w:szCs w:val="18"/>
        </w:rPr>
        <w:t>Godišnji plan energetske učinkovitosti Grada Zagreba</w:t>
      </w:r>
      <w:r w:rsidRPr="00D372BB">
        <w:rPr>
          <w:rFonts w:asciiTheme="minorHAnsi" w:hAnsiTheme="minorHAnsi"/>
          <w:sz w:val="18"/>
          <w:szCs w:val="18"/>
        </w:rPr>
        <w:t xml:space="preserve"> za</w:t>
      </w:r>
      <w:r>
        <w:rPr>
          <w:rFonts w:asciiTheme="minorHAnsi" w:hAnsiTheme="minorHAnsi"/>
          <w:sz w:val="18"/>
          <w:szCs w:val="18"/>
        </w:rPr>
        <w:t xml:space="preserve"> 2015. godinu, 2015. godina, </w:t>
      </w:r>
      <w:r w:rsidRPr="00D372BB">
        <w:rPr>
          <w:rFonts w:asciiTheme="minorHAnsi" w:hAnsiTheme="minorHAnsi"/>
          <w:sz w:val="18"/>
          <w:szCs w:val="18"/>
        </w:rPr>
        <w:t>Godišnji plan energet</w:t>
      </w:r>
      <w:r>
        <w:rPr>
          <w:rFonts w:asciiTheme="minorHAnsi" w:hAnsiTheme="minorHAnsi"/>
          <w:sz w:val="18"/>
          <w:szCs w:val="18"/>
        </w:rPr>
        <w:t>ske učinkovitosti Grada Zagreba</w:t>
      </w:r>
      <w:r w:rsidRPr="00D372BB">
        <w:rPr>
          <w:rFonts w:asciiTheme="minorHAnsi" w:hAnsiTheme="minorHAnsi"/>
          <w:sz w:val="18"/>
          <w:szCs w:val="18"/>
        </w:rPr>
        <w:t xml:space="preserve"> za 201</w:t>
      </w:r>
      <w:r>
        <w:rPr>
          <w:rFonts w:asciiTheme="minorHAnsi" w:hAnsiTheme="minorHAnsi"/>
          <w:sz w:val="18"/>
          <w:szCs w:val="18"/>
        </w:rPr>
        <w:t>6</w:t>
      </w:r>
      <w:r w:rsidRPr="00D372BB">
        <w:rPr>
          <w:rFonts w:asciiTheme="minorHAnsi" w:hAnsiTheme="minorHAnsi"/>
          <w:sz w:val="18"/>
          <w:szCs w:val="18"/>
        </w:rPr>
        <w:t>. godinu, 201</w:t>
      </w:r>
      <w:r>
        <w:rPr>
          <w:rFonts w:asciiTheme="minorHAnsi" w:hAnsiTheme="minorHAnsi"/>
          <w:sz w:val="18"/>
          <w:szCs w:val="18"/>
        </w:rPr>
        <w:t>6</w:t>
      </w:r>
      <w:r w:rsidRPr="00D372BB">
        <w:rPr>
          <w:rFonts w:asciiTheme="minorHAnsi" w:hAnsiTheme="minorHAnsi"/>
          <w:sz w:val="18"/>
          <w:szCs w:val="18"/>
        </w:rPr>
        <w:t>. godina</w:t>
      </w:r>
    </w:p>
    <w:p w14:paraId="6AB0E85B" w14:textId="77777777" w:rsidR="00B6080E" w:rsidRPr="00D372BB" w:rsidRDefault="00B6080E" w:rsidP="007F3FCE">
      <w:pPr>
        <w:pStyle w:val="FootnoteText"/>
        <w:rPr>
          <w:rFonts w:asciiTheme="minorHAnsi" w:hAnsiTheme="minorHAnsi"/>
          <w:sz w:val="18"/>
          <w:szCs w:val="18"/>
        </w:rPr>
      </w:pPr>
    </w:p>
  </w:footnote>
  <w:footnote w:id="9">
    <w:p w14:paraId="7C680882" w14:textId="77777777" w:rsidR="00B6080E" w:rsidRPr="002E1CF7" w:rsidRDefault="00B6080E" w:rsidP="00653B87">
      <w:pPr>
        <w:pStyle w:val="FootnoteText"/>
        <w:rPr>
          <w:rFonts w:asciiTheme="minorHAnsi" w:hAnsiTheme="minorHAnsi"/>
          <w:sz w:val="16"/>
          <w:szCs w:val="16"/>
        </w:rPr>
      </w:pPr>
      <w:r w:rsidRPr="002E1CF7">
        <w:rPr>
          <w:rStyle w:val="FootnoteReference"/>
          <w:rFonts w:asciiTheme="minorHAnsi" w:hAnsiTheme="minorHAnsi"/>
          <w:sz w:val="16"/>
          <w:szCs w:val="16"/>
        </w:rPr>
        <w:footnoteRef/>
      </w:r>
      <w:r w:rsidRPr="002E1CF7">
        <w:rPr>
          <w:rFonts w:asciiTheme="minorHAnsi" w:hAnsiTheme="minorHAnsi"/>
          <w:sz w:val="16"/>
          <w:szCs w:val="16"/>
        </w:rPr>
        <w:t xml:space="preserve"> Dostupan na Internet stranici: http://www.covenantofmayors.eu/IMG/pdf/Reporting_Guidelines_SEAP_and_Monitoring.pdf</w:t>
      </w:r>
    </w:p>
  </w:footnote>
  <w:footnote w:id="10">
    <w:p w14:paraId="62B41A2E" w14:textId="5053797E" w:rsidR="00B6080E" w:rsidRPr="00FE64C4" w:rsidRDefault="00B6080E" w:rsidP="003D7C95">
      <w:pPr>
        <w:pStyle w:val="FootnoteText"/>
        <w:rPr>
          <w:rFonts w:asciiTheme="minorHAnsi" w:hAnsiTheme="minorHAnsi"/>
          <w:sz w:val="18"/>
          <w:szCs w:val="18"/>
        </w:rPr>
      </w:pPr>
      <w:r w:rsidRPr="009F6BAE">
        <w:rPr>
          <w:rStyle w:val="FootnoteReference"/>
          <w:rFonts w:asciiTheme="minorHAnsi" w:hAnsiTheme="minorHAnsi"/>
          <w:sz w:val="16"/>
          <w:szCs w:val="16"/>
        </w:rPr>
        <w:footnoteRef/>
      </w:r>
      <w:r>
        <w:t xml:space="preserve"> </w:t>
      </w:r>
      <w:r>
        <w:rPr>
          <w:rFonts w:asciiTheme="minorHAnsi" w:hAnsiTheme="minorHAnsi"/>
          <w:sz w:val="18"/>
          <w:szCs w:val="18"/>
        </w:rPr>
        <w:t xml:space="preserve">Dostupan na Internet stranici: </w:t>
      </w:r>
      <w:r w:rsidRPr="00FE64C4">
        <w:rPr>
          <w:rFonts w:asciiTheme="minorHAnsi" w:hAnsiTheme="minorHAnsi"/>
          <w:sz w:val="18"/>
          <w:szCs w:val="18"/>
        </w:rPr>
        <w:t>http://www.covenantofmayors.eu/IMG/pdf/Reporting_Guidelines_SEAP_and_Monitoring.pdf</w:t>
      </w:r>
    </w:p>
  </w:footnote>
  <w:footnote w:id="11">
    <w:p w14:paraId="325D51BF" w14:textId="77777777" w:rsidR="00B6080E" w:rsidRPr="00FE64C4" w:rsidRDefault="00B6080E" w:rsidP="003D7C95">
      <w:pPr>
        <w:pStyle w:val="FootnoteText"/>
        <w:rPr>
          <w:rFonts w:asciiTheme="minorHAnsi" w:hAnsiTheme="minorHAnsi"/>
          <w:sz w:val="18"/>
          <w:szCs w:val="18"/>
        </w:rPr>
      </w:pPr>
      <w:r w:rsidRPr="00FE64C4">
        <w:rPr>
          <w:rStyle w:val="FootnoteReference"/>
          <w:rFonts w:asciiTheme="minorHAnsi" w:hAnsiTheme="minorHAnsi"/>
          <w:sz w:val="16"/>
          <w:szCs w:val="16"/>
        </w:rPr>
        <w:footnoteRef/>
      </w:r>
      <w:r w:rsidRPr="00FE64C4">
        <w:rPr>
          <w:rFonts w:asciiTheme="minorHAnsi" w:hAnsiTheme="minorHAnsi"/>
          <w:sz w:val="16"/>
          <w:szCs w:val="16"/>
        </w:rPr>
        <w:t xml:space="preserve"> </w:t>
      </w:r>
      <w:r w:rsidRPr="00FE64C4">
        <w:rPr>
          <w:rFonts w:asciiTheme="minorHAnsi" w:hAnsiTheme="minorHAnsi"/>
          <w:sz w:val="18"/>
          <w:szCs w:val="18"/>
        </w:rPr>
        <w:t xml:space="preserve">Dostupno na Internet stranici </w:t>
      </w:r>
      <w:hyperlink r:id="rId2" w:history="1">
        <w:r w:rsidRPr="00FE64C4">
          <w:rPr>
            <w:rStyle w:val="Hyperlink"/>
            <w:rFonts w:asciiTheme="minorHAnsi" w:eastAsia="Calibri" w:hAnsiTheme="minorHAnsi"/>
            <w:sz w:val="18"/>
            <w:szCs w:val="18"/>
          </w:rPr>
          <w:t>www.eumayors.eu</w:t>
        </w:r>
      </w:hyperlink>
    </w:p>
  </w:footnote>
  <w:footnote w:id="12">
    <w:p w14:paraId="0C2A6E06" w14:textId="427B7393" w:rsidR="00B6080E" w:rsidRDefault="00B6080E" w:rsidP="006F617C">
      <w:pPr>
        <w:pStyle w:val="FootnoteText"/>
        <w:jc w:val="both"/>
      </w:pPr>
      <w:r>
        <w:rPr>
          <w:rStyle w:val="FootnoteReference"/>
        </w:rPr>
        <w:footnoteRef/>
      </w:r>
      <w:r>
        <w:t xml:space="preserve"> </w:t>
      </w:r>
      <w:r w:rsidRPr="006F617C">
        <w:rPr>
          <w:rFonts w:asciiTheme="minorHAnsi" w:hAnsiTheme="minorHAnsi" w:cstheme="minorHAnsi"/>
          <w:sz w:val="18"/>
          <w:szCs w:val="18"/>
        </w:rPr>
        <w:t>Ispunjava se prilikom izrade Akcijskog plana</w:t>
      </w:r>
    </w:p>
  </w:footnote>
  <w:footnote w:id="13">
    <w:p w14:paraId="03D54E31" w14:textId="77777777" w:rsidR="00B6080E" w:rsidRPr="0034000C" w:rsidRDefault="00B6080E" w:rsidP="00437FFC">
      <w:pPr>
        <w:pStyle w:val="FootnoteText"/>
        <w:rPr>
          <w:rFonts w:asciiTheme="minorHAnsi" w:hAnsiTheme="minorHAnsi"/>
          <w:sz w:val="16"/>
          <w:szCs w:val="16"/>
        </w:rPr>
      </w:pPr>
      <w:r w:rsidRPr="0034000C">
        <w:rPr>
          <w:rStyle w:val="FootnoteReference"/>
          <w:sz w:val="16"/>
          <w:szCs w:val="16"/>
        </w:rPr>
        <w:footnoteRef/>
      </w:r>
      <w:r w:rsidRPr="0034000C">
        <w:rPr>
          <w:sz w:val="16"/>
          <w:szCs w:val="16"/>
        </w:rPr>
        <w:t xml:space="preserve"> </w:t>
      </w:r>
      <w:r w:rsidRPr="001562C2">
        <w:rPr>
          <w:rFonts w:asciiTheme="minorHAnsi" w:hAnsiTheme="minorHAnsi"/>
          <w:sz w:val="18"/>
          <w:szCs w:val="18"/>
        </w:rPr>
        <w:t>Baseline emission inventory -BEI</w:t>
      </w:r>
    </w:p>
  </w:footnote>
  <w:footnote w:id="14">
    <w:p w14:paraId="292563D3" w14:textId="7017A1E1" w:rsidR="00B6080E" w:rsidRPr="0034000C" w:rsidRDefault="00B6080E" w:rsidP="00437FFC">
      <w:pPr>
        <w:pStyle w:val="FootnoteText"/>
        <w:rPr>
          <w:rFonts w:asciiTheme="minorHAnsi" w:hAnsiTheme="minorHAnsi"/>
          <w:sz w:val="16"/>
          <w:szCs w:val="16"/>
        </w:rPr>
      </w:pPr>
      <w:r w:rsidRPr="0034000C">
        <w:rPr>
          <w:rStyle w:val="FootnoteReference"/>
          <w:rFonts w:asciiTheme="minorHAnsi" w:hAnsiTheme="minorHAnsi"/>
          <w:sz w:val="16"/>
          <w:szCs w:val="16"/>
        </w:rPr>
        <w:footnoteRef/>
      </w:r>
      <w:r>
        <w:rPr>
          <w:rFonts w:asciiTheme="minorHAnsi" w:hAnsiTheme="minorHAnsi"/>
          <w:sz w:val="16"/>
          <w:szCs w:val="16"/>
        </w:rPr>
        <w:t xml:space="preserve"> </w:t>
      </w:r>
      <w:r w:rsidRPr="001562C2">
        <w:rPr>
          <w:rFonts w:asciiTheme="minorHAnsi" w:hAnsiTheme="minorHAnsi"/>
          <w:sz w:val="18"/>
          <w:szCs w:val="18"/>
        </w:rPr>
        <w:t xml:space="preserve">Za </w:t>
      </w:r>
      <w:r>
        <w:rPr>
          <w:rFonts w:asciiTheme="minorHAnsi" w:hAnsiTheme="minorHAnsi"/>
          <w:sz w:val="18"/>
          <w:szCs w:val="18"/>
        </w:rPr>
        <w:t>Zagreb</w:t>
      </w:r>
      <w:r w:rsidRPr="001562C2">
        <w:rPr>
          <w:rFonts w:asciiTheme="minorHAnsi" w:hAnsiTheme="minorHAnsi"/>
          <w:sz w:val="18"/>
          <w:szCs w:val="18"/>
        </w:rPr>
        <w:t xml:space="preserve"> od</w:t>
      </w:r>
      <w:r>
        <w:rPr>
          <w:rFonts w:asciiTheme="minorHAnsi" w:hAnsiTheme="minorHAnsi"/>
          <w:sz w:val="18"/>
          <w:szCs w:val="18"/>
        </w:rPr>
        <w:t>abrana referentna godina je 2008</w:t>
      </w:r>
      <w:r w:rsidRPr="001562C2">
        <w:rPr>
          <w:rFonts w:asciiTheme="minorHAnsi" w:hAnsiTheme="minorHAnsi"/>
          <w:sz w:val="18"/>
          <w:szCs w:val="18"/>
        </w:rPr>
        <w:t>.</w:t>
      </w:r>
      <w:r w:rsidRPr="0034000C">
        <w:rPr>
          <w:rFonts w:asciiTheme="minorHAnsi" w:hAnsiTheme="minorHAnsi"/>
          <w:sz w:val="16"/>
          <w:szCs w:val="16"/>
        </w:rPr>
        <w:t xml:space="preserve"> </w:t>
      </w:r>
    </w:p>
  </w:footnote>
  <w:footnote w:id="15">
    <w:p w14:paraId="7DAD68C4" w14:textId="552879B9" w:rsidR="00B6080E" w:rsidRPr="001562C2" w:rsidRDefault="00B6080E" w:rsidP="000A5E32">
      <w:pPr>
        <w:pStyle w:val="FootnoteText"/>
        <w:jc w:val="both"/>
        <w:rPr>
          <w:rFonts w:asciiTheme="minorHAnsi" w:hAnsiTheme="minorHAnsi" w:cstheme="minorHAnsi"/>
          <w:sz w:val="18"/>
          <w:szCs w:val="18"/>
        </w:rPr>
      </w:pPr>
      <w:r w:rsidRPr="000A5E32">
        <w:rPr>
          <w:rStyle w:val="FootnoteReference"/>
          <w:rFonts w:asciiTheme="minorHAnsi" w:hAnsiTheme="minorHAnsi" w:cstheme="minorHAnsi"/>
        </w:rPr>
        <w:footnoteRef/>
      </w:r>
      <w:r w:rsidRPr="000A5E32">
        <w:rPr>
          <w:rFonts w:asciiTheme="minorHAnsi" w:hAnsiTheme="minorHAnsi" w:cstheme="minorHAnsi"/>
        </w:rPr>
        <w:t xml:space="preserve"> </w:t>
      </w:r>
      <w:r w:rsidRPr="001562C2">
        <w:rPr>
          <w:rFonts w:asciiTheme="minorHAnsi" w:hAnsiTheme="minorHAnsi" w:cstheme="minorHAnsi"/>
          <w:sz w:val="18"/>
          <w:szCs w:val="18"/>
        </w:rPr>
        <w:t>Obveza je stupila donošenjem Priručnika za praćenje i izvještavanje o provedbi Akcijskog plana</w:t>
      </w:r>
    </w:p>
  </w:footnote>
  <w:footnote w:id="16">
    <w:p w14:paraId="269744FB" w14:textId="47DFD1E2" w:rsidR="00B6080E" w:rsidRDefault="00B6080E" w:rsidP="003C36BA">
      <w:pPr>
        <w:pStyle w:val="FootnoteText"/>
        <w:jc w:val="both"/>
      </w:pPr>
      <w:r w:rsidRPr="00B30B88">
        <w:rPr>
          <w:rStyle w:val="FootnoteReference"/>
          <w:rFonts w:asciiTheme="minorHAnsi" w:hAnsiTheme="minorHAnsi" w:cstheme="minorHAnsi"/>
        </w:rPr>
        <w:footnoteRef/>
      </w:r>
      <w:r w:rsidRPr="00B30B88">
        <w:rPr>
          <w:rFonts w:asciiTheme="minorHAnsi" w:hAnsiTheme="minorHAnsi" w:cstheme="minorHAnsi"/>
        </w:rPr>
        <w:t xml:space="preserve"> Priručnik za potpisnike Sporazuma gradonačelnika i Priručnik za praćenje i izvještavanje o provedbi Akcijskog plana energetski</w:t>
      </w:r>
      <w:r>
        <w:rPr>
          <w:rFonts w:asciiTheme="minorHAnsi" w:hAnsiTheme="minorHAnsi" w:cstheme="minorHAnsi"/>
        </w:rPr>
        <w:t xml:space="preserve"> održivog razvitka grada (SEAP</w:t>
      </w:r>
      <w:r w:rsidRPr="00B30B88">
        <w:rPr>
          <w:rFonts w:asciiTheme="minorHAnsi" w:hAnsiTheme="minorHAnsi" w:cstheme="minorHAnsi"/>
        </w:rPr>
        <w:t>).</w:t>
      </w:r>
    </w:p>
  </w:footnote>
  <w:footnote w:id="17">
    <w:p w14:paraId="10BEA834" w14:textId="335239CA" w:rsidR="00B6080E" w:rsidRPr="00203F49" w:rsidRDefault="00B6080E" w:rsidP="00203F49">
      <w:pPr>
        <w:pStyle w:val="FootnoteText"/>
        <w:jc w:val="both"/>
        <w:rPr>
          <w:rFonts w:asciiTheme="minorHAnsi" w:hAnsiTheme="minorHAnsi" w:cstheme="minorHAnsi"/>
        </w:rPr>
      </w:pPr>
      <w:r>
        <w:rPr>
          <w:rStyle w:val="FootnoteReference"/>
        </w:rPr>
        <w:footnoteRef/>
      </w:r>
      <w:r>
        <w:t xml:space="preserve"> </w:t>
      </w:r>
      <w:r w:rsidRPr="00203F49">
        <w:rPr>
          <w:rFonts w:asciiTheme="minorHAnsi" w:hAnsiTheme="minorHAnsi" w:cstheme="minorHAnsi"/>
        </w:rPr>
        <w:t>Osobna računala, unutarnja rasvjeta, rashladna energija</w:t>
      </w:r>
    </w:p>
  </w:footnote>
  <w:footnote w:id="18">
    <w:p w14:paraId="2FD83999" w14:textId="77777777" w:rsidR="00B6080E" w:rsidRPr="00BE539F" w:rsidRDefault="00B6080E" w:rsidP="00BE539F">
      <w:pPr>
        <w:pStyle w:val="FootnoteText"/>
        <w:jc w:val="both"/>
        <w:rPr>
          <w:rFonts w:asciiTheme="minorHAnsi" w:hAnsiTheme="minorHAnsi" w:cstheme="minorHAnsi"/>
        </w:rPr>
      </w:pPr>
      <w:r w:rsidRPr="00BE539F">
        <w:rPr>
          <w:rStyle w:val="FootnoteReference"/>
          <w:rFonts w:asciiTheme="minorHAnsi" w:hAnsiTheme="minorHAnsi" w:cstheme="minorHAnsi"/>
        </w:rPr>
        <w:footnoteRef/>
      </w:r>
      <w:r w:rsidRPr="00BE539F">
        <w:rPr>
          <w:rFonts w:asciiTheme="minorHAnsi" w:hAnsiTheme="minorHAnsi" w:cstheme="minorHAnsi"/>
        </w:rPr>
        <w:t xml:space="preserve"> </w:t>
      </w:r>
      <w:r w:rsidRPr="00BE539F">
        <w:rPr>
          <w:rFonts w:asciiTheme="minorHAnsi" w:hAnsiTheme="minorHAnsi" w:cstheme="minorHAnsi"/>
          <w:bCs/>
          <w:sz w:val="18"/>
          <w:szCs w:val="18"/>
        </w:rPr>
        <w:t xml:space="preserve">Zakon o energetskoj učinkovitosti (NN 127/14), članak 4., stavak 33. </w:t>
      </w:r>
    </w:p>
  </w:footnote>
  <w:footnote w:id="19">
    <w:p w14:paraId="34E559D2" w14:textId="140AC336" w:rsidR="00B6080E" w:rsidRDefault="00B6080E" w:rsidP="0061686A">
      <w:pPr>
        <w:pStyle w:val="FootnoteText"/>
        <w:jc w:val="both"/>
      </w:pPr>
      <w:r>
        <w:rPr>
          <w:rStyle w:val="FootnoteReference"/>
        </w:rPr>
        <w:footnoteRef/>
      </w:r>
      <w:r>
        <w:t xml:space="preserve"> </w:t>
      </w:r>
      <w:r w:rsidRPr="0061686A">
        <w:rPr>
          <w:rFonts w:asciiTheme="minorHAnsi" w:hAnsiTheme="minorHAnsi" w:cstheme="minorHAnsi"/>
        </w:rPr>
        <w:t>Pravilnik o sustavu za praćenje, mjerenje i verifikaciju ušteda energije (NN 71/15)</w:t>
      </w:r>
    </w:p>
  </w:footnote>
  <w:footnote w:id="20">
    <w:p w14:paraId="644936C8" w14:textId="66A8AE4D" w:rsidR="00B6080E" w:rsidRPr="00721C9C" w:rsidRDefault="00B6080E" w:rsidP="00721C9C">
      <w:pPr>
        <w:pStyle w:val="FootnoteText"/>
        <w:jc w:val="both"/>
        <w:rPr>
          <w:rFonts w:asciiTheme="minorHAnsi" w:hAnsiTheme="minorHAnsi" w:cstheme="minorHAnsi"/>
        </w:rPr>
      </w:pPr>
      <w:r w:rsidRPr="00721C9C">
        <w:rPr>
          <w:rStyle w:val="FootnoteReference"/>
          <w:rFonts w:asciiTheme="minorHAnsi" w:hAnsiTheme="minorHAnsi" w:cstheme="minorHAnsi"/>
        </w:rPr>
        <w:footnoteRef/>
      </w:r>
      <w:r w:rsidRPr="00721C9C">
        <w:rPr>
          <w:rFonts w:asciiTheme="minorHAnsi" w:hAnsiTheme="minorHAnsi" w:cstheme="minorHAnsi"/>
        </w:rPr>
        <w:t xml:space="preserve"> Pravilnik o sustavu za praćenje, mjerenje i verifikaciju ušteda energije NN 71/15, Prilog B</w:t>
      </w:r>
    </w:p>
  </w:footnote>
  <w:footnote w:id="21">
    <w:p w14:paraId="032BC0E0" w14:textId="77777777" w:rsidR="00B6080E" w:rsidRPr="00721C9C" w:rsidRDefault="00B6080E" w:rsidP="00121FBD">
      <w:pPr>
        <w:pStyle w:val="FootnoteText"/>
        <w:jc w:val="both"/>
        <w:rPr>
          <w:rFonts w:asciiTheme="minorHAnsi" w:hAnsiTheme="minorHAnsi" w:cstheme="minorHAnsi"/>
        </w:rPr>
      </w:pPr>
      <w:r w:rsidRPr="00721C9C">
        <w:rPr>
          <w:rStyle w:val="FootnoteReference"/>
          <w:rFonts w:asciiTheme="minorHAnsi" w:hAnsiTheme="minorHAnsi" w:cstheme="minorHAnsi"/>
        </w:rPr>
        <w:footnoteRef/>
      </w:r>
      <w:r w:rsidRPr="00721C9C">
        <w:rPr>
          <w:rFonts w:asciiTheme="minorHAnsi" w:hAnsiTheme="minorHAnsi" w:cstheme="minorHAnsi"/>
        </w:rPr>
        <w:t xml:space="preserve"> Pravilnik o sustavu za praćenje, mjerenje i verifikaciju ušteda energije NN 71/15, Prilog B</w:t>
      </w:r>
    </w:p>
  </w:footnote>
  <w:footnote w:id="22">
    <w:p w14:paraId="723C2AC8" w14:textId="568234FA" w:rsidR="00B6080E" w:rsidRPr="00B6112C" w:rsidRDefault="00B6080E" w:rsidP="00FD7195">
      <w:pPr>
        <w:pStyle w:val="FootnoteText"/>
        <w:jc w:val="both"/>
        <w:rPr>
          <w:rFonts w:asciiTheme="minorHAnsi" w:hAnsiTheme="minorHAnsi" w:cstheme="minorHAnsi"/>
        </w:rPr>
      </w:pPr>
      <w:r w:rsidRPr="00B6112C">
        <w:rPr>
          <w:rStyle w:val="FootnoteReference"/>
          <w:rFonts w:asciiTheme="minorHAnsi" w:hAnsiTheme="minorHAnsi" w:cstheme="minorHAnsi"/>
        </w:rPr>
        <w:footnoteRef/>
      </w:r>
      <w:r w:rsidRPr="00B6112C">
        <w:rPr>
          <w:rFonts w:asciiTheme="minorHAnsi" w:hAnsiTheme="minorHAnsi" w:cstheme="minorHAnsi"/>
        </w:rPr>
        <w:t xml:space="preserve"> Odluka o prijevozu putnika u javnom prometu</w:t>
      </w:r>
      <w:r>
        <w:rPr>
          <w:rFonts w:asciiTheme="minorHAnsi" w:hAnsiTheme="minorHAnsi" w:cstheme="minorHAnsi"/>
        </w:rPr>
        <w:t xml:space="preserve"> (20/13, 25/13</w:t>
      </w:r>
      <w:r w:rsidRPr="00B6112C">
        <w:rPr>
          <w:rFonts w:asciiTheme="minorHAnsi" w:hAnsiTheme="minorHAnsi" w:cstheme="minorHAnsi"/>
        </w:rPr>
        <w:t>), Članak 2.</w:t>
      </w:r>
    </w:p>
  </w:footnote>
  <w:footnote w:id="23">
    <w:p w14:paraId="2DE5E631" w14:textId="3773A298" w:rsidR="00B6080E" w:rsidRDefault="00B6080E" w:rsidP="00FD7195">
      <w:pPr>
        <w:pStyle w:val="FootnoteText"/>
        <w:jc w:val="both"/>
      </w:pPr>
      <w:r w:rsidRPr="00B6112C">
        <w:rPr>
          <w:rStyle w:val="FootnoteReference"/>
          <w:rFonts w:asciiTheme="minorHAnsi" w:hAnsiTheme="minorHAnsi" w:cstheme="minorHAnsi"/>
        </w:rPr>
        <w:footnoteRef/>
      </w:r>
      <w:r w:rsidRPr="00B6112C">
        <w:rPr>
          <w:rFonts w:asciiTheme="minorHAnsi" w:hAnsiTheme="minorHAnsi" w:cstheme="minorHAnsi"/>
        </w:rPr>
        <w:t xml:space="preserve"> Odluka o prijevozu putnika u javnom prometu</w:t>
      </w:r>
      <w:r>
        <w:rPr>
          <w:rFonts w:asciiTheme="minorHAnsi" w:hAnsiTheme="minorHAnsi" w:cstheme="minorHAnsi"/>
        </w:rPr>
        <w:t xml:space="preserve"> (20/13, 25/13</w:t>
      </w:r>
      <w:r w:rsidRPr="00B6112C">
        <w:rPr>
          <w:rFonts w:asciiTheme="minorHAnsi" w:hAnsiTheme="minorHAnsi" w:cstheme="minorHAnsi"/>
        </w:rPr>
        <w:t>), Članak 3.</w:t>
      </w:r>
    </w:p>
  </w:footnote>
  <w:footnote w:id="24">
    <w:p w14:paraId="0F70FE09" w14:textId="04534F27" w:rsidR="00B6080E" w:rsidRDefault="00B6080E" w:rsidP="00FD7195">
      <w:pPr>
        <w:pStyle w:val="FootnoteText"/>
        <w:jc w:val="both"/>
      </w:pPr>
      <w:r>
        <w:rPr>
          <w:rStyle w:val="FootnoteReference"/>
        </w:rPr>
        <w:footnoteRef/>
      </w:r>
      <w:r>
        <w:t xml:space="preserve"> </w:t>
      </w:r>
      <w:r w:rsidRPr="00B6112C">
        <w:rPr>
          <w:rFonts w:asciiTheme="minorHAnsi" w:hAnsiTheme="minorHAnsi" w:cstheme="minorHAnsi"/>
        </w:rPr>
        <w:t>Odluka o prijevozu putnika u javnom prometu</w:t>
      </w:r>
      <w:r>
        <w:rPr>
          <w:rFonts w:asciiTheme="minorHAnsi" w:hAnsiTheme="minorHAnsi" w:cstheme="minorHAnsi"/>
        </w:rPr>
        <w:t xml:space="preserve"> (20/13, 25/13</w:t>
      </w:r>
      <w:r w:rsidRPr="00B6112C">
        <w:rPr>
          <w:rFonts w:asciiTheme="minorHAnsi" w:hAnsiTheme="minorHAnsi" w:cstheme="minorHAnsi"/>
        </w:rPr>
        <w:t xml:space="preserve">), Članak </w:t>
      </w:r>
      <w:r>
        <w:rPr>
          <w:rFonts w:asciiTheme="minorHAnsi" w:hAnsiTheme="minorHAnsi" w:cstheme="minorHAnsi"/>
        </w:rPr>
        <w:t>4</w:t>
      </w:r>
      <w:r w:rsidRPr="00B6112C">
        <w:rPr>
          <w:rFonts w:asciiTheme="minorHAnsi" w:hAnsiTheme="minorHAnsi" w:cstheme="minorHAnsi"/>
        </w:rPr>
        <w:t>.</w:t>
      </w:r>
    </w:p>
  </w:footnote>
  <w:footnote w:id="25">
    <w:p w14:paraId="48A607DC" w14:textId="262CCE67" w:rsidR="00B6080E" w:rsidRPr="00DE1E8B" w:rsidRDefault="00B6080E" w:rsidP="00DE1E8B">
      <w:pPr>
        <w:pStyle w:val="FootnoteText"/>
        <w:jc w:val="both"/>
        <w:rPr>
          <w:rFonts w:asciiTheme="minorHAnsi" w:hAnsiTheme="minorHAnsi" w:cstheme="minorHAnsi"/>
          <w:sz w:val="18"/>
          <w:szCs w:val="18"/>
        </w:rPr>
      </w:pPr>
      <w:r>
        <w:rPr>
          <w:rStyle w:val="FootnoteReference"/>
        </w:rPr>
        <w:footnoteRef/>
      </w:r>
      <w:r>
        <w:t xml:space="preserve"> </w:t>
      </w:r>
      <w:r w:rsidRPr="00DE1E8B">
        <w:rPr>
          <w:rFonts w:asciiTheme="minorHAnsi" w:hAnsiTheme="minorHAnsi" w:cstheme="minorHAnsi"/>
          <w:sz w:val="18"/>
          <w:szCs w:val="18"/>
        </w:rPr>
        <w:t>http://www.zet.hr/default.aspx?id=302</w:t>
      </w:r>
    </w:p>
  </w:footnote>
  <w:footnote w:id="26">
    <w:p w14:paraId="27B9FDC0" w14:textId="19805B1F" w:rsidR="00B6080E" w:rsidRPr="00ED6776" w:rsidRDefault="00B6080E" w:rsidP="00ED6776">
      <w:pPr>
        <w:pStyle w:val="FootnoteText"/>
        <w:jc w:val="both"/>
        <w:rPr>
          <w:rFonts w:asciiTheme="minorHAnsi" w:hAnsiTheme="minorHAnsi" w:cstheme="minorHAnsi"/>
        </w:rPr>
      </w:pPr>
      <w:r>
        <w:rPr>
          <w:rStyle w:val="FootnoteReference"/>
        </w:rPr>
        <w:footnoteRef/>
      </w:r>
      <w:r>
        <w:t xml:space="preserve"> </w:t>
      </w:r>
      <w:r w:rsidRPr="00ED6776">
        <w:rPr>
          <w:rFonts w:asciiTheme="minorHAnsi" w:hAnsiTheme="minorHAnsi" w:cstheme="minorHAnsi"/>
        </w:rPr>
        <w:t>Podatak o potrošnji električne energije je procijenjen na temelju računa za gorivo dobivenog od HŽ-a</w:t>
      </w:r>
    </w:p>
  </w:footnote>
  <w:footnote w:id="27">
    <w:p w14:paraId="698A2747" w14:textId="3B24B466" w:rsidR="00B6080E" w:rsidRDefault="00B6080E" w:rsidP="00D40527">
      <w:pPr>
        <w:pStyle w:val="FootnoteText"/>
        <w:jc w:val="both"/>
      </w:pPr>
      <w:r>
        <w:rPr>
          <w:rStyle w:val="FootnoteReference"/>
        </w:rPr>
        <w:footnoteRef/>
      </w:r>
      <w:r>
        <w:t xml:space="preserve">  </w:t>
      </w:r>
      <w:r w:rsidRPr="00D40527">
        <w:rPr>
          <w:rFonts w:asciiTheme="minorHAnsi" w:hAnsiTheme="minorHAnsi" w:cstheme="minorHAnsi"/>
        </w:rPr>
        <w:t>U Akcijskom planu energetski održivog razvitka Grada Zagreba proračun je rađen računalnim programom COPERT III, a isti nije uzimao u obzir potrošnju međugradskih autobusa.</w:t>
      </w:r>
    </w:p>
  </w:footnote>
  <w:footnote w:id="28">
    <w:p w14:paraId="77540D38" w14:textId="69C372C1" w:rsidR="00B6080E" w:rsidRPr="008A68D4" w:rsidRDefault="00B6080E" w:rsidP="008A68D4">
      <w:pPr>
        <w:pStyle w:val="FootnoteText"/>
        <w:jc w:val="both"/>
        <w:rPr>
          <w:rFonts w:asciiTheme="minorHAnsi" w:hAnsiTheme="minorHAnsi" w:cstheme="minorHAnsi"/>
        </w:rPr>
      </w:pPr>
      <w:r>
        <w:rPr>
          <w:rStyle w:val="FootnoteReference"/>
        </w:rPr>
        <w:footnoteRef/>
      </w:r>
      <w:r>
        <w:t xml:space="preserve"> </w:t>
      </w:r>
      <w:r w:rsidRPr="008A68D4">
        <w:rPr>
          <w:rFonts w:asciiTheme="minorHAnsi" w:hAnsiTheme="minorHAnsi" w:cstheme="minorHAnsi"/>
        </w:rPr>
        <w:t>Zakon o komunalnom gospodarstvu (NN 36/95, 70/97, 128/99, 57/00, 129/00, 59/01, 26/03, 82/04, 110/04, 178/04, 38/09, 79/09, 153/09, 49/11, 84/11, 90/11, 144/12, 94/13, 153/13, 147/14, 36/15)</w:t>
      </w:r>
    </w:p>
  </w:footnote>
  <w:footnote w:id="29">
    <w:p w14:paraId="7F9D9304" w14:textId="77777777" w:rsidR="00B6080E" w:rsidRDefault="00B6080E" w:rsidP="00A34917">
      <w:pPr>
        <w:pStyle w:val="FootnoteText"/>
        <w:jc w:val="both"/>
      </w:pPr>
      <w:r>
        <w:rPr>
          <w:rStyle w:val="FootnoteReference"/>
        </w:rPr>
        <w:footnoteRef/>
      </w:r>
      <w:r>
        <w:t xml:space="preserve"> </w:t>
      </w:r>
      <w:r w:rsidRPr="00560D82">
        <w:rPr>
          <w:rFonts w:asciiTheme="minorHAnsi" w:hAnsiTheme="minorHAnsi"/>
          <w:sz w:val="18"/>
          <w:szCs w:val="18"/>
        </w:rPr>
        <w:t>Biomasa se odnosi na ogrjevno drvo, drvenu sječku, drvene pelete, drvene brikete, drveni ugljen.</w:t>
      </w:r>
      <w:r>
        <w:rPr>
          <w:rFonts w:asciiTheme="minorHAnsi" w:hAnsiTheme="minorHAnsi"/>
          <w:sz w:val="18"/>
          <w:szCs w:val="18"/>
        </w:rPr>
        <w:t xml:space="preserve"> Emisije CO</w:t>
      </w:r>
      <w:r w:rsidRPr="00A74BCA">
        <w:rPr>
          <w:rFonts w:asciiTheme="minorHAnsi" w:hAnsiTheme="minorHAnsi"/>
          <w:sz w:val="18"/>
          <w:szCs w:val="18"/>
          <w:vertAlign w:val="subscript"/>
        </w:rPr>
        <w:t>2</w:t>
      </w:r>
      <w:r>
        <w:rPr>
          <w:rFonts w:asciiTheme="minorHAnsi" w:hAnsiTheme="minorHAnsi"/>
          <w:sz w:val="18"/>
          <w:szCs w:val="18"/>
        </w:rPr>
        <w:t xml:space="preserve"> pojavljuju se i kod spaljivanja biomase, ali se prema IPCC preporukama one ne računaju jer se smatra da se radi o CO</w:t>
      </w:r>
      <w:r w:rsidRPr="00A74BCA">
        <w:rPr>
          <w:rFonts w:asciiTheme="minorHAnsi" w:hAnsiTheme="minorHAnsi"/>
          <w:sz w:val="18"/>
          <w:szCs w:val="18"/>
          <w:vertAlign w:val="subscript"/>
        </w:rPr>
        <w:t>2</w:t>
      </w:r>
      <w:r>
        <w:rPr>
          <w:rFonts w:asciiTheme="minorHAnsi" w:hAnsiTheme="minorHAnsi"/>
          <w:sz w:val="18"/>
          <w:szCs w:val="18"/>
        </w:rPr>
        <w:t xml:space="preserve"> koje su biljke tijekom rasta apsorbirale iz atmosfere.</w:t>
      </w:r>
    </w:p>
  </w:footnote>
  <w:footnote w:id="30">
    <w:p w14:paraId="06274258" w14:textId="77777777" w:rsidR="00B6080E" w:rsidRDefault="00B6080E" w:rsidP="0090320D">
      <w:pPr>
        <w:pStyle w:val="FootnoteText"/>
        <w:jc w:val="both"/>
      </w:pPr>
      <w:r>
        <w:rPr>
          <w:rStyle w:val="FootnoteReference"/>
        </w:rPr>
        <w:footnoteRef/>
      </w:r>
      <w:r>
        <w:t xml:space="preserve"> </w:t>
      </w:r>
      <w:r w:rsidRPr="00061B04">
        <w:rPr>
          <w:rFonts w:asciiTheme="minorHAnsi" w:hAnsiTheme="minorHAnsi" w:cstheme="minorHAnsi"/>
        </w:rPr>
        <w:t>Energija u Hrvatskoj 2014.</w:t>
      </w:r>
    </w:p>
  </w:footnote>
  <w:footnote w:id="31">
    <w:p w14:paraId="22AC071C" w14:textId="6748818F" w:rsidR="00B6080E" w:rsidRDefault="00B6080E" w:rsidP="001B0276">
      <w:pPr>
        <w:pStyle w:val="FootnoteText"/>
        <w:jc w:val="both"/>
      </w:pPr>
      <w:r>
        <w:rPr>
          <w:rStyle w:val="FootnoteReference"/>
        </w:rPr>
        <w:footnoteRef/>
      </w:r>
      <w:r>
        <w:t xml:space="preserve"> </w:t>
      </w:r>
      <w:r w:rsidRPr="001B0276">
        <w:rPr>
          <w:rFonts w:asciiTheme="minorHAnsi" w:hAnsiTheme="minorHAnsi" w:cstheme="minorHAnsi"/>
          <w:sz w:val="18"/>
          <w:szCs w:val="18"/>
        </w:rPr>
        <w:t>Direktiva EU – povlačenje žarnih i halogenih žarulja.</w:t>
      </w:r>
    </w:p>
  </w:footnote>
  <w:footnote w:id="32">
    <w:p w14:paraId="32C0A4E7" w14:textId="4509E32D" w:rsidR="00B6080E" w:rsidRDefault="00B6080E" w:rsidP="0094749F">
      <w:pPr>
        <w:pStyle w:val="FootnoteText"/>
        <w:jc w:val="both"/>
      </w:pPr>
      <w:r>
        <w:rPr>
          <w:rStyle w:val="FootnoteReference"/>
        </w:rPr>
        <w:footnoteRef/>
      </w:r>
      <w:r>
        <w:t xml:space="preserve"> </w:t>
      </w:r>
      <w:r w:rsidRPr="0094749F">
        <w:rPr>
          <w:rFonts w:asciiTheme="minorHAnsi" w:hAnsiTheme="minorHAnsi" w:cstheme="minorHAnsi"/>
          <w:sz w:val="18"/>
          <w:szCs w:val="18"/>
        </w:rPr>
        <w:t xml:space="preserve">Natječaj FZOEU – </w:t>
      </w:r>
      <w:r>
        <w:rPr>
          <w:rFonts w:asciiTheme="minorHAnsi" w:hAnsiTheme="minorHAnsi" w:cstheme="minorHAnsi"/>
          <w:sz w:val="18"/>
          <w:szCs w:val="18"/>
        </w:rPr>
        <w:t xml:space="preserve">isključivo </w:t>
      </w:r>
      <w:r w:rsidRPr="0094749F">
        <w:rPr>
          <w:rFonts w:asciiTheme="minorHAnsi" w:hAnsiTheme="minorHAnsi" w:cstheme="minorHAnsi"/>
          <w:sz w:val="18"/>
          <w:szCs w:val="18"/>
        </w:rPr>
        <w:t>za fizičke osobe.</w:t>
      </w:r>
    </w:p>
  </w:footnote>
  <w:footnote w:id="33">
    <w:p w14:paraId="417D6337" w14:textId="71381F0A" w:rsidR="00B6080E" w:rsidRDefault="00B6080E">
      <w:pPr>
        <w:pStyle w:val="FootnoteText"/>
      </w:pPr>
      <w:r>
        <w:rPr>
          <w:rStyle w:val="FootnoteReference"/>
        </w:rPr>
        <w:footnoteRef/>
      </w:r>
      <w:r>
        <w:t xml:space="preserve"> </w:t>
      </w:r>
      <w:r w:rsidRPr="0078702D">
        <w:rPr>
          <w:rFonts w:asciiTheme="minorHAnsi" w:hAnsiTheme="minorHAnsi" w:cstheme="minorHAnsi"/>
          <w:sz w:val="18"/>
          <w:szCs w:val="18"/>
        </w:rPr>
        <w:t>Potvrđeno od ZET-a da nije korišteno b</w:t>
      </w:r>
      <w:r>
        <w:rPr>
          <w:rFonts w:asciiTheme="minorHAnsi" w:hAnsiTheme="minorHAnsi" w:cstheme="minorHAnsi"/>
          <w:sz w:val="18"/>
          <w:szCs w:val="18"/>
        </w:rPr>
        <w:t>iogorivo</w:t>
      </w:r>
      <w:r w:rsidRPr="0078702D">
        <w:rPr>
          <w:rFonts w:asciiTheme="minorHAnsi" w:hAnsiTheme="minorHAnsi" w:cstheme="minorHAnsi"/>
          <w:sz w:val="18"/>
          <w:szCs w:val="18"/>
        </w:rPr>
        <w:t>.</w:t>
      </w:r>
    </w:p>
  </w:footnote>
  <w:footnote w:id="34">
    <w:p w14:paraId="16B59B83" w14:textId="1CB9E289" w:rsidR="00B6080E" w:rsidRDefault="00B6080E" w:rsidP="0078702D">
      <w:pPr>
        <w:pStyle w:val="FootnoteText"/>
        <w:jc w:val="both"/>
      </w:pPr>
      <w:r>
        <w:rPr>
          <w:rStyle w:val="FootnoteReference"/>
        </w:rPr>
        <w:footnoteRef/>
      </w:r>
      <w:r>
        <w:t xml:space="preserve"> </w:t>
      </w:r>
      <w:r w:rsidRPr="0078702D">
        <w:rPr>
          <w:rFonts w:asciiTheme="minorHAnsi" w:hAnsiTheme="minorHAnsi" w:cstheme="minorHAnsi"/>
          <w:sz w:val="18"/>
          <w:szCs w:val="18"/>
        </w:rPr>
        <w:t>Europski dan bez automobila – zatvaranje centra Grada za promet</w:t>
      </w:r>
      <w:r>
        <w:rPr>
          <w:rFonts w:asciiTheme="minorHAnsi" w:hAnsiTheme="minorHAnsi" w:cstheme="minorHAnsi"/>
          <w:sz w:val="18"/>
          <w:szCs w:val="18"/>
        </w:rPr>
        <w:t>.</w:t>
      </w:r>
    </w:p>
  </w:footnote>
  <w:footnote w:id="35">
    <w:p w14:paraId="6E48FE4D" w14:textId="15BA6A8D" w:rsidR="00B6080E" w:rsidRDefault="00B6080E" w:rsidP="0078702D">
      <w:pPr>
        <w:pStyle w:val="FootnoteText"/>
        <w:jc w:val="both"/>
      </w:pPr>
      <w:r>
        <w:rPr>
          <w:rStyle w:val="FootnoteReference"/>
        </w:rPr>
        <w:footnoteRef/>
      </w:r>
      <w:r>
        <w:t xml:space="preserve"> </w:t>
      </w:r>
      <w:r w:rsidRPr="0078702D">
        <w:rPr>
          <w:rFonts w:asciiTheme="minorHAnsi" w:hAnsiTheme="minorHAnsi" w:cstheme="minorHAnsi"/>
          <w:sz w:val="18"/>
          <w:szCs w:val="18"/>
        </w:rPr>
        <w:t>Spin City – 2016- godina.</w:t>
      </w:r>
    </w:p>
  </w:footnote>
  <w:footnote w:id="36">
    <w:p w14:paraId="4D32BDFF" w14:textId="07132AF9" w:rsidR="00B6080E" w:rsidRDefault="00B6080E" w:rsidP="0078702D">
      <w:pPr>
        <w:pStyle w:val="FootnoteText"/>
        <w:jc w:val="both"/>
      </w:pPr>
      <w:r>
        <w:rPr>
          <w:rStyle w:val="FootnoteReference"/>
        </w:rPr>
        <w:footnoteRef/>
      </w:r>
      <w:r>
        <w:t xml:space="preserve"> </w:t>
      </w:r>
      <w:r w:rsidRPr="0078702D">
        <w:rPr>
          <w:rFonts w:asciiTheme="minorHAnsi" w:hAnsiTheme="minorHAnsi" w:cstheme="minorHAnsi"/>
          <w:sz w:val="18"/>
          <w:szCs w:val="18"/>
        </w:rPr>
        <w:t>Uštede – 2016. godina.</w:t>
      </w:r>
    </w:p>
  </w:footnote>
  <w:footnote w:id="37">
    <w:p w14:paraId="5F671B63" w14:textId="77777777" w:rsidR="00B6080E" w:rsidRPr="00B30B88" w:rsidRDefault="00B6080E" w:rsidP="009D1558">
      <w:pPr>
        <w:pStyle w:val="FootnoteText"/>
        <w:jc w:val="both"/>
        <w:rPr>
          <w:rFonts w:asciiTheme="minorHAnsi" w:hAnsiTheme="minorHAnsi" w:cstheme="minorHAnsi"/>
        </w:rPr>
      </w:pPr>
      <w:r w:rsidRPr="00B30B88">
        <w:rPr>
          <w:rStyle w:val="FootnoteReference"/>
          <w:rFonts w:asciiTheme="minorHAnsi" w:hAnsiTheme="minorHAnsi" w:cstheme="minorHAnsi"/>
        </w:rPr>
        <w:footnoteRef/>
      </w:r>
      <w:r w:rsidRPr="00B30B88">
        <w:rPr>
          <w:rFonts w:asciiTheme="minorHAnsi" w:hAnsiTheme="minorHAnsi" w:cstheme="minorHAnsi"/>
        </w:rPr>
        <w:t xml:space="preserve"> Propis je prestao važiti, ali se primjenjuju odredbe u dijelu koji se odnosi na provođenje energetskih pregleda građevina i javne rasvjete do donošenja posebnog propisa kojim će se urediti to područje.</w:t>
      </w:r>
    </w:p>
  </w:footnote>
  <w:footnote w:id="38">
    <w:p w14:paraId="26AF0E13" w14:textId="77777777" w:rsidR="00B6080E" w:rsidRPr="003E58FF" w:rsidRDefault="00B6080E" w:rsidP="00B51CEF">
      <w:pPr>
        <w:pStyle w:val="FootnoteText"/>
        <w:jc w:val="both"/>
        <w:rPr>
          <w:sz w:val="16"/>
          <w:szCs w:val="16"/>
        </w:rPr>
      </w:pPr>
      <w:r w:rsidRPr="003E58FF">
        <w:rPr>
          <w:rStyle w:val="FootnoteReference"/>
          <w:sz w:val="16"/>
          <w:szCs w:val="16"/>
        </w:rPr>
        <w:footnoteRef/>
      </w:r>
      <w:r>
        <w:rPr>
          <w:sz w:val="16"/>
          <w:szCs w:val="16"/>
        </w:rPr>
        <w:t xml:space="preserve"> </w:t>
      </w:r>
      <w:r w:rsidRPr="003E58FF">
        <w:rPr>
          <w:sz w:val="16"/>
          <w:szCs w:val="16"/>
        </w:rPr>
        <w:t xml:space="preserve">Akcijski plan energetski održivog </w:t>
      </w:r>
      <w:r>
        <w:rPr>
          <w:sz w:val="16"/>
          <w:szCs w:val="16"/>
        </w:rPr>
        <w:t xml:space="preserve">razvitka </w:t>
      </w:r>
      <w:r w:rsidRPr="003E58FF">
        <w:rPr>
          <w:sz w:val="16"/>
          <w:szCs w:val="16"/>
        </w:rPr>
        <w:t xml:space="preserve">Grada Zagreba, </w:t>
      </w:r>
      <w:r>
        <w:rPr>
          <w:sz w:val="16"/>
          <w:szCs w:val="16"/>
        </w:rPr>
        <w:t xml:space="preserve">ožujak.2010., Regionalna energetska agencija Sjeverozapadne Hrvatske, dostupno na </w:t>
      </w:r>
      <w:hyperlink r:id="rId3" w:history="1">
        <w:r w:rsidRPr="00E23D21">
          <w:rPr>
            <w:rStyle w:val="Hyperlink"/>
            <w:sz w:val="16"/>
            <w:szCs w:val="16"/>
          </w:rPr>
          <w:t>http://www.eko.zagreb.hr/UserDocsImages/akcijski_plan_2013.pdf</w:t>
        </w:r>
      </w:hyperlink>
    </w:p>
  </w:footnote>
  <w:footnote w:id="39">
    <w:p w14:paraId="09EBCDDB" w14:textId="77777777" w:rsidR="00B6080E" w:rsidRPr="006E4400" w:rsidRDefault="00B6080E" w:rsidP="00BD2E4B">
      <w:pPr>
        <w:pStyle w:val="FootnoteText"/>
        <w:jc w:val="both"/>
        <w:rPr>
          <w:rFonts w:asciiTheme="minorHAnsi" w:hAnsiTheme="minorHAnsi" w:cstheme="minorHAnsi"/>
        </w:rPr>
      </w:pPr>
      <w:r>
        <w:rPr>
          <w:rStyle w:val="FootnoteReference"/>
        </w:rPr>
        <w:footnoteRef/>
      </w:r>
      <w:r w:rsidRPr="006E4400">
        <w:rPr>
          <w:rFonts w:asciiTheme="minorHAnsi" w:hAnsiTheme="minorHAnsi" w:cstheme="minorHAnsi"/>
        </w:rPr>
        <w:t>Poglavlje 3 ovog dokumenta, Praćenje i izvještavanje o provedbi Akcijskog plana energetski održivog razvitka Grada Zagreba</w:t>
      </w:r>
    </w:p>
    <w:p w14:paraId="71E979DF" w14:textId="66C19554" w:rsidR="00B6080E" w:rsidRDefault="00B6080E">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5" w:type="pct"/>
      <w:tblBorders>
        <w:bottom w:val="single" w:sz="18" w:space="0" w:color="808080"/>
        <w:insideH w:val="single" w:sz="4" w:space="0" w:color="auto"/>
      </w:tblBorders>
      <w:tblCellMar>
        <w:top w:w="72" w:type="dxa"/>
        <w:left w:w="115" w:type="dxa"/>
        <w:bottom w:w="72" w:type="dxa"/>
        <w:right w:w="115" w:type="dxa"/>
      </w:tblCellMar>
      <w:tblLook w:val="04A0" w:firstRow="1" w:lastRow="0" w:firstColumn="1" w:lastColumn="0" w:noHBand="0" w:noVBand="1"/>
    </w:tblPr>
    <w:tblGrid>
      <w:gridCol w:w="1099"/>
      <w:gridCol w:w="6877"/>
      <w:gridCol w:w="1123"/>
    </w:tblGrid>
    <w:tr w:rsidR="00B6080E" w:rsidRPr="006557FA" w14:paraId="27D524B3" w14:textId="77777777" w:rsidTr="00A43849">
      <w:trPr>
        <w:trHeight w:val="495"/>
      </w:trPr>
      <w:tc>
        <w:tcPr>
          <w:tcW w:w="1108" w:type="dxa"/>
        </w:tcPr>
        <w:p w14:paraId="28F18FC0" w14:textId="1415C46E" w:rsidR="00B6080E" w:rsidRPr="006557FA" w:rsidRDefault="00B6080E" w:rsidP="00A43849">
          <w:pPr>
            <w:tabs>
              <w:tab w:val="left" w:pos="1161"/>
            </w:tabs>
            <w:spacing w:after="0" w:line="240" w:lineRule="auto"/>
            <w:rPr>
              <w:rFonts w:ascii="Cambria" w:eastAsia="Times New Roman" w:hAnsi="Cambria"/>
              <w:b/>
              <w:bCs/>
              <w:color w:val="4F81BD"/>
              <w:sz w:val="2"/>
              <w:szCs w:val="2"/>
            </w:rPr>
          </w:pPr>
          <w:r>
            <w:rPr>
              <w:rFonts w:ascii="Cambria" w:eastAsia="Times New Roman" w:hAnsi="Cambria"/>
              <w:b/>
              <w:bCs/>
              <w:noProof/>
              <w:color w:val="4F81BD"/>
              <w:sz w:val="2"/>
              <w:szCs w:val="2"/>
              <w:lang w:eastAsia="hr-HR"/>
            </w:rPr>
            <w:drawing>
              <wp:inline distT="0" distB="0" distL="0" distR="0" wp14:anchorId="42494928" wp14:editId="75713BF3">
                <wp:extent cx="371475" cy="438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pic:spPr>
                    </pic:pic>
                  </a:graphicData>
                </a:graphic>
              </wp:inline>
            </w:drawing>
          </w:r>
        </w:p>
      </w:tc>
      <w:tc>
        <w:tcPr>
          <w:tcW w:w="7088" w:type="dxa"/>
          <w:vAlign w:val="center"/>
        </w:tcPr>
        <w:p w14:paraId="562470A5" w14:textId="43B76B4F" w:rsidR="00B6080E" w:rsidRPr="00A43849" w:rsidRDefault="00B6080E" w:rsidP="00A43849">
          <w:pPr>
            <w:tabs>
              <w:tab w:val="center" w:pos="4138"/>
              <w:tab w:val="right" w:pos="9072"/>
            </w:tabs>
            <w:spacing w:after="0" w:line="240" w:lineRule="auto"/>
            <w:ind w:left="-257" w:right="-1958" w:firstLine="142"/>
            <w:rPr>
              <w:rFonts w:cs="Arial"/>
              <w:bCs/>
              <w:sz w:val="18"/>
              <w:szCs w:val="18"/>
            </w:rPr>
          </w:pPr>
          <w:r>
            <w:rPr>
              <w:rFonts w:cs="Arial"/>
              <w:sz w:val="18"/>
              <w:szCs w:val="18"/>
            </w:rPr>
            <w:t>Revizija</w:t>
          </w:r>
          <w:r w:rsidRPr="00A43849">
            <w:rPr>
              <w:rFonts w:cs="Arial"/>
              <w:sz w:val="18"/>
              <w:szCs w:val="18"/>
            </w:rPr>
            <w:t xml:space="preserve"> Akcijskog plana energetski</w:t>
          </w:r>
          <w:r>
            <w:rPr>
              <w:rFonts w:cs="Arial"/>
              <w:sz w:val="18"/>
              <w:szCs w:val="18"/>
            </w:rPr>
            <w:t xml:space="preserve"> održivog razvitka Grada Zagreba</w:t>
          </w:r>
          <w:r w:rsidRPr="00A43849">
            <w:rPr>
              <w:rFonts w:cs="Arial"/>
              <w:sz w:val="18"/>
              <w:szCs w:val="18"/>
            </w:rPr>
            <w:t xml:space="preserve"> </w:t>
          </w:r>
          <w:r>
            <w:rPr>
              <w:rFonts w:cs="Arial"/>
              <w:sz w:val="18"/>
              <w:szCs w:val="18"/>
            </w:rPr>
            <w:t>(SEAP-a)</w:t>
          </w:r>
        </w:p>
        <w:p w14:paraId="4F02571D" w14:textId="77777777" w:rsidR="00B6080E" w:rsidRPr="00FC71AC" w:rsidRDefault="00B6080E" w:rsidP="00A43849">
          <w:pPr>
            <w:tabs>
              <w:tab w:val="center" w:pos="4138"/>
              <w:tab w:val="right" w:pos="9072"/>
            </w:tabs>
            <w:spacing w:after="0" w:line="240" w:lineRule="auto"/>
            <w:ind w:right="-1958"/>
            <w:rPr>
              <w:rFonts w:ascii="Cambria" w:eastAsia="Times New Roman" w:hAnsi="Cambria"/>
              <w:b/>
              <w:bCs/>
              <w:color w:val="4F81BD"/>
              <w:sz w:val="20"/>
              <w:szCs w:val="20"/>
            </w:rPr>
          </w:pPr>
        </w:p>
      </w:tc>
      <w:tc>
        <w:tcPr>
          <w:tcW w:w="1134" w:type="dxa"/>
        </w:tcPr>
        <w:p w14:paraId="27D4BFF7" w14:textId="77777777" w:rsidR="00B6080E" w:rsidRPr="006557FA" w:rsidRDefault="00B6080E" w:rsidP="00AF3826">
          <w:pPr>
            <w:tabs>
              <w:tab w:val="center" w:pos="4536"/>
              <w:tab w:val="right" w:pos="9072"/>
            </w:tabs>
            <w:spacing w:after="0" w:line="240" w:lineRule="auto"/>
            <w:ind w:left="-257" w:right="27" w:hanging="142"/>
            <w:jc w:val="right"/>
            <w:rPr>
              <w:rFonts w:ascii="Cambria" w:eastAsia="Times New Roman" w:hAnsi="Cambria"/>
              <w:b/>
              <w:bCs/>
              <w:color w:val="4F81BD"/>
              <w:sz w:val="2"/>
              <w:szCs w:val="2"/>
            </w:rPr>
          </w:pPr>
          <w:r>
            <w:rPr>
              <w:noProof/>
              <w:lang w:eastAsia="hr-HR"/>
            </w:rPr>
            <w:drawing>
              <wp:inline distT="0" distB="0" distL="0" distR="0" wp14:anchorId="767916AC" wp14:editId="1E67BB8D">
                <wp:extent cx="594360" cy="448945"/>
                <wp:effectExtent l="0" t="0" r="0" b="8255"/>
                <wp:docPr id="18" name="Picture 18" descr="Description: C:\REGEA_radno_ Ivana\Brošure\CoM_2\slike\logo_convenato-of-may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REGEA_radno_ Ivana\Brošure\CoM_2\slike\logo_convenato-of-mayor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 cy="448945"/>
                        </a:xfrm>
                        <a:prstGeom prst="rect">
                          <a:avLst/>
                        </a:prstGeom>
                        <a:noFill/>
                        <a:ln>
                          <a:noFill/>
                        </a:ln>
                      </pic:spPr>
                    </pic:pic>
                  </a:graphicData>
                </a:graphic>
              </wp:inline>
            </w:drawing>
          </w:r>
        </w:p>
      </w:tc>
    </w:tr>
  </w:tbl>
  <w:p w14:paraId="36EDA2D2" w14:textId="77777777" w:rsidR="00B6080E" w:rsidRPr="00B032FC" w:rsidRDefault="00B6080E" w:rsidP="002E5DA8">
    <w:pPr>
      <w:pStyle w:val="Header"/>
      <w:rPr>
        <w:b/>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2D5"/>
    <w:multiLevelType w:val="multilevel"/>
    <w:tmpl w:val="A9C46C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8C5AAE"/>
    <w:multiLevelType w:val="multilevel"/>
    <w:tmpl w:val="193A42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75F6990"/>
    <w:multiLevelType w:val="hybridMultilevel"/>
    <w:tmpl w:val="F2E875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C2F0BC8"/>
    <w:multiLevelType w:val="hybridMultilevel"/>
    <w:tmpl w:val="B040FB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D813D1E"/>
    <w:multiLevelType w:val="hybridMultilevel"/>
    <w:tmpl w:val="E53CBAD8"/>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0DC5024D"/>
    <w:multiLevelType w:val="hybridMultilevel"/>
    <w:tmpl w:val="DB7A86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AD136A"/>
    <w:multiLevelType w:val="hybridMultilevel"/>
    <w:tmpl w:val="0A8C19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C76659"/>
    <w:multiLevelType w:val="hybridMultilevel"/>
    <w:tmpl w:val="0AB66B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61423F5"/>
    <w:multiLevelType w:val="hybridMultilevel"/>
    <w:tmpl w:val="5246D9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7E14F4A"/>
    <w:multiLevelType w:val="hybridMultilevel"/>
    <w:tmpl w:val="03841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EB3AB7"/>
    <w:multiLevelType w:val="hybridMultilevel"/>
    <w:tmpl w:val="E632C0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DE80114"/>
    <w:multiLevelType w:val="hybridMultilevel"/>
    <w:tmpl w:val="1F1614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E167B1D"/>
    <w:multiLevelType w:val="multilevel"/>
    <w:tmpl w:val="D9BEDA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E281740"/>
    <w:multiLevelType w:val="hybridMultilevel"/>
    <w:tmpl w:val="371823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EAA1145"/>
    <w:multiLevelType w:val="hybridMultilevel"/>
    <w:tmpl w:val="495006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36E64A1"/>
    <w:multiLevelType w:val="hybridMultilevel"/>
    <w:tmpl w:val="8ECA3E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4976677"/>
    <w:multiLevelType w:val="hybridMultilevel"/>
    <w:tmpl w:val="48A8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D77564"/>
    <w:multiLevelType w:val="hybridMultilevel"/>
    <w:tmpl w:val="C21643C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291D6AB4"/>
    <w:multiLevelType w:val="hybridMultilevel"/>
    <w:tmpl w:val="3C60AE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95971A3"/>
    <w:multiLevelType w:val="hybridMultilevel"/>
    <w:tmpl w:val="A6C8B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C491E99"/>
    <w:multiLevelType w:val="hybridMultilevel"/>
    <w:tmpl w:val="231E8C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F3119F3"/>
    <w:multiLevelType w:val="hybridMultilevel"/>
    <w:tmpl w:val="799CE71E"/>
    <w:lvl w:ilvl="0" w:tplc="79B23C2E">
      <w:start w:val="1"/>
      <w:numFmt w:val="bullet"/>
      <w:lvlText w:val=""/>
      <w:lvlJc w:val="left"/>
      <w:pPr>
        <w:ind w:left="720" w:hanging="360"/>
      </w:pPr>
      <w:rPr>
        <w:rFonts w:ascii="Symbol" w:hAnsi="Symbol" w:hint="default"/>
      </w:rPr>
    </w:lvl>
    <w:lvl w:ilvl="1" w:tplc="33A48D6A" w:tentative="1">
      <w:start w:val="1"/>
      <w:numFmt w:val="bullet"/>
      <w:lvlText w:val="o"/>
      <w:lvlJc w:val="left"/>
      <w:pPr>
        <w:ind w:left="1440" w:hanging="360"/>
      </w:pPr>
      <w:rPr>
        <w:rFonts w:ascii="Courier New" w:hAnsi="Courier New" w:cs="Courier New" w:hint="default"/>
      </w:rPr>
    </w:lvl>
    <w:lvl w:ilvl="2" w:tplc="A2D2C3B6" w:tentative="1">
      <w:start w:val="1"/>
      <w:numFmt w:val="bullet"/>
      <w:lvlText w:val=""/>
      <w:lvlJc w:val="left"/>
      <w:pPr>
        <w:ind w:left="2160" w:hanging="360"/>
      </w:pPr>
      <w:rPr>
        <w:rFonts w:ascii="Wingdings" w:hAnsi="Wingdings" w:hint="default"/>
      </w:rPr>
    </w:lvl>
    <w:lvl w:ilvl="3" w:tplc="CAAA63D2" w:tentative="1">
      <w:start w:val="1"/>
      <w:numFmt w:val="bullet"/>
      <w:lvlText w:val=""/>
      <w:lvlJc w:val="left"/>
      <w:pPr>
        <w:ind w:left="2880" w:hanging="360"/>
      </w:pPr>
      <w:rPr>
        <w:rFonts w:ascii="Symbol" w:hAnsi="Symbol" w:hint="default"/>
      </w:rPr>
    </w:lvl>
    <w:lvl w:ilvl="4" w:tplc="E0F81E9C" w:tentative="1">
      <w:start w:val="1"/>
      <w:numFmt w:val="bullet"/>
      <w:lvlText w:val="o"/>
      <w:lvlJc w:val="left"/>
      <w:pPr>
        <w:ind w:left="3600" w:hanging="360"/>
      </w:pPr>
      <w:rPr>
        <w:rFonts w:ascii="Courier New" w:hAnsi="Courier New" w:cs="Courier New" w:hint="default"/>
      </w:rPr>
    </w:lvl>
    <w:lvl w:ilvl="5" w:tplc="A6DCD356" w:tentative="1">
      <w:start w:val="1"/>
      <w:numFmt w:val="bullet"/>
      <w:lvlText w:val=""/>
      <w:lvlJc w:val="left"/>
      <w:pPr>
        <w:ind w:left="4320" w:hanging="360"/>
      </w:pPr>
      <w:rPr>
        <w:rFonts w:ascii="Wingdings" w:hAnsi="Wingdings" w:hint="default"/>
      </w:rPr>
    </w:lvl>
    <w:lvl w:ilvl="6" w:tplc="43AC7E88" w:tentative="1">
      <w:start w:val="1"/>
      <w:numFmt w:val="bullet"/>
      <w:lvlText w:val=""/>
      <w:lvlJc w:val="left"/>
      <w:pPr>
        <w:ind w:left="5040" w:hanging="360"/>
      </w:pPr>
      <w:rPr>
        <w:rFonts w:ascii="Symbol" w:hAnsi="Symbol" w:hint="default"/>
      </w:rPr>
    </w:lvl>
    <w:lvl w:ilvl="7" w:tplc="CA166A44" w:tentative="1">
      <w:start w:val="1"/>
      <w:numFmt w:val="bullet"/>
      <w:lvlText w:val="o"/>
      <w:lvlJc w:val="left"/>
      <w:pPr>
        <w:ind w:left="5760" w:hanging="360"/>
      </w:pPr>
      <w:rPr>
        <w:rFonts w:ascii="Courier New" w:hAnsi="Courier New" w:cs="Courier New" w:hint="default"/>
      </w:rPr>
    </w:lvl>
    <w:lvl w:ilvl="8" w:tplc="45C27882" w:tentative="1">
      <w:start w:val="1"/>
      <w:numFmt w:val="bullet"/>
      <w:lvlText w:val=""/>
      <w:lvlJc w:val="left"/>
      <w:pPr>
        <w:ind w:left="6480" w:hanging="360"/>
      </w:pPr>
      <w:rPr>
        <w:rFonts w:ascii="Wingdings" w:hAnsi="Wingdings" w:hint="default"/>
      </w:rPr>
    </w:lvl>
  </w:abstractNum>
  <w:abstractNum w:abstractNumId="22" w15:restartNumberingAfterBreak="0">
    <w:nsid w:val="30DB09FB"/>
    <w:multiLevelType w:val="hybridMultilevel"/>
    <w:tmpl w:val="137491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1413D4B"/>
    <w:multiLevelType w:val="hybridMultilevel"/>
    <w:tmpl w:val="6BDEAC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1A95B91"/>
    <w:multiLevelType w:val="hybridMultilevel"/>
    <w:tmpl w:val="36CA5F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5111D09"/>
    <w:multiLevelType w:val="hybridMultilevel"/>
    <w:tmpl w:val="164E10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5CC1D31"/>
    <w:multiLevelType w:val="hybridMultilevel"/>
    <w:tmpl w:val="EC1A4A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7F57A32"/>
    <w:multiLevelType w:val="hybridMultilevel"/>
    <w:tmpl w:val="380C85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FAF5980"/>
    <w:multiLevelType w:val="hybridMultilevel"/>
    <w:tmpl w:val="1ED682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0430E1A"/>
    <w:multiLevelType w:val="hybridMultilevel"/>
    <w:tmpl w:val="631A49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404D1177"/>
    <w:multiLevelType w:val="hybridMultilevel"/>
    <w:tmpl w:val="64905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31D6C67"/>
    <w:multiLevelType w:val="hybridMultilevel"/>
    <w:tmpl w:val="2B4A13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34E53AF"/>
    <w:multiLevelType w:val="hybridMultilevel"/>
    <w:tmpl w:val="4448CCB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43FE1731"/>
    <w:multiLevelType w:val="hybridMultilevel"/>
    <w:tmpl w:val="F2647D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5687122"/>
    <w:multiLevelType w:val="hybridMultilevel"/>
    <w:tmpl w:val="010211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64A37EA"/>
    <w:multiLevelType w:val="hybridMultilevel"/>
    <w:tmpl w:val="9D4028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89D70D2"/>
    <w:multiLevelType w:val="multilevel"/>
    <w:tmpl w:val="D5A4A820"/>
    <w:lvl w:ilvl="0">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asciiTheme="minorHAnsi" w:hAnsiTheme="minorHAnsi"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49B038D6"/>
    <w:multiLevelType w:val="hybridMultilevel"/>
    <w:tmpl w:val="04382A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9E515F3"/>
    <w:multiLevelType w:val="hybridMultilevel"/>
    <w:tmpl w:val="B60A33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B203F61"/>
    <w:multiLevelType w:val="hybridMultilevel"/>
    <w:tmpl w:val="679403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B7B697C"/>
    <w:multiLevelType w:val="hybridMultilevel"/>
    <w:tmpl w:val="F02AFF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DF50494"/>
    <w:multiLevelType w:val="hybridMultilevel"/>
    <w:tmpl w:val="88EA1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376279F"/>
    <w:multiLevelType w:val="hybridMultilevel"/>
    <w:tmpl w:val="8AA09A82"/>
    <w:lvl w:ilvl="0" w:tplc="041A000B">
      <w:start w:val="1"/>
      <w:numFmt w:val="bullet"/>
      <w:lvlText w:val=""/>
      <w:lvlJc w:val="left"/>
      <w:pPr>
        <w:ind w:left="2160" w:hanging="360"/>
      </w:pPr>
      <w:rPr>
        <w:rFonts w:ascii="Wingdings" w:hAnsi="Wingdings"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43" w15:restartNumberingAfterBreak="0">
    <w:nsid w:val="54306E2C"/>
    <w:multiLevelType w:val="hybridMultilevel"/>
    <w:tmpl w:val="88B87492"/>
    <w:lvl w:ilvl="0" w:tplc="041A0001">
      <w:start w:val="1"/>
      <w:numFmt w:val="bullet"/>
      <w:lvlText w:val=""/>
      <w:lvlJc w:val="left"/>
      <w:pPr>
        <w:ind w:left="720" w:hanging="360"/>
      </w:pPr>
      <w:rPr>
        <w:rFonts w:ascii="Symbol" w:hAnsi="Symbol" w:hint="default"/>
      </w:rPr>
    </w:lvl>
    <w:lvl w:ilvl="1" w:tplc="041A000B">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45F1737"/>
    <w:multiLevelType w:val="hybridMultilevel"/>
    <w:tmpl w:val="9F40CF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4702292"/>
    <w:multiLevelType w:val="hybridMultilevel"/>
    <w:tmpl w:val="CD00FE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7C90D05"/>
    <w:multiLevelType w:val="hybridMultilevel"/>
    <w:tmpl w:val="595A6CBA"/>
    <w:lvl w:ilvl="0" w:tplc="041A000B">
      <w:start w:val="1"/>
      <w:numFmt w:val="bullet"/>
      <w:lvlText w:val=""/>
      <w:lvlJc w:val="left"/>
      <w:pPr>
        <w:ind w:left="2136" w:hanging="360"/>
      </w:pPr>
      <w:rPr>
        <w:rFonts w:ascii="Wingdings" w:hAnsi="Wingdings"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47" w15:restartNumberingAfterBreak="0">
    <w:nsid w:val="597061DB"/>
    <w:multiLevelType w:val="hybridMultilevel"/>
    <w:tmpl w:val="AA167A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B8718DA"/>
    <w:multiLevelType w:val="hybridMultilevel"/>
    <w:tmpl w:val="4A3090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C796383"/>
    <w:multiLevelType w:val="hybridMultilevel"/>
    <w:tmpl w:val="EE7228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D664FE2"/>
    <w:multiLevelType w:val="hybridMultilevel"/>
    <w:tmpl w:val="C756E7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0473FBD"/>
    <w:multiLevelType w:val="multilevel"/>
    <w:tmpl w:val="F37693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60B84153"/>
    <w:multiLevelType w:val="hybridMultilevel"/>
    <w:tmpl w:val="B5483F02"/>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3" w15:restartNumberingAfterBreak="0">
    <w:nsid w:val="60FE4A59"/>
    <w:multiLevelType w:val="hybridMultilevel"/>
    <w:tmpl w:val="072441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4557043"/>
    <w:multiLevelType w:val="hybridMultilevel"/>
    <w:tmpl w:val="02F235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4A67214"/>
    <w:multiLevelType w:val="hybridMultilevel"/>
    <w:tmpl w:val="8B3270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65443CB1"/>
    <w:multiLevelType w:val="hybridMultilevel"/>
    <w:tmpl w:val="1D049D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6FC1567"/>
    <w:multiLevelType w:val="hybridMultilevel"/>
    <w:tmpl w:val="68CCB3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700E2591"/>
    <w:multiLevelType w:val="multilevel"/>
    <w:tmpl w:val="EA36A47A"/>
    <w:styleLink w:val="WWOutlineListStyle4"/>
    <w:lvl w:ilvl="0">
      <w:start w:val="1"/>
      <w:numFmt w:val="decimal"/>
      <w:lvlText w:val="%1."/>
      <w:lvlJc w:val="left"/>
      <w:pPr>
        <w:ind w:left="284" w:hanging="284"/>
      </w:pPr>
      <w:rPr>
        <w:rFonts w:cs="Times New Roman"/>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284" w:hanging="284"/>
      </w:pPr>
      <w:rPr>
        <w:rFonts w:cs="Times New Roman"/>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284" w:hanging="284"/>
      </w:pPr>
    </w:lvl>
    <w:lvl w:ilvl="4">
      <w:start w:val="1"/>
      <w:numFmt w:val="decimal"/>
      <w:lvlText w:val="%1.%2.%3.%4.%5."/>
      <w:lvlJc w:val="left"/>
      <w:pPr>
        <w:ind w:left="284" w:hanging="284"/>
      </w:pPr>
    </w:lvl>
    <w:lvl w:ilvl="5">
      <w:start w:val="1"/>
      <w:numFmt w:val="none"/>
      <w:lvlText w:val="%6"/>
      <w:lvlJc w:val="left"/>
    </w:lvl>
    <w:lvl w:ilvl="6">
      <w:start w:val="1"/>
      <w:numFmt w:val="none"/>
      <w:lvlText w:val=""/>
      <w:lvlJc w:val="left"/>
    </w:lvl>
    <w:lvl w:ilvl="7">
      <w:start w:val="1"/>
      <w:numFmt w:val="none"/>
      <w:lvlText w:val="%8"/>
      <w:lvlJc w:val="left"/>
    </w:lvl>
    <w:lvl w:ilvl="8">
      <w:start w:val="1"/>
      <w:numFmt w:val="none"/>
      <w:lvlText w:val=""/>
      <w:lvlJc w:val="left"/>
    </w:lvl>
  </w:abstractNum>
  <w:abstractNum w:abstractNumId="59" w15:restartNumberingAfterBreak="0">
    <w:nsid w:val="73BA666C"/>
    <w:multiLevelType w:val="hybridMultilevel"/>
    <w:tmpl w:val="28AA46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74B33D1B"/>
    <w:multiLevelType w:val="hybridMultilevel"/>
    <w:tmpl w:val="C65A16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8582B2A"/>
    <w:multiLevelType w:val="hybridMultilevel"/>
    <w:tmpl w:val="3294E8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798532C8"/>
    <w:multiLevelType w:val="multilevel"/>
    <w:tmpl w:val="07FCAAC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tabs>
          <w:tab w:val="num" w:pos="1440"/>
        </w:tabs>
        <w:ind w:left="1440" w:hanging="360"/>
      </w:pPr>
      <w:rPr>
        <w:rFonts w:ascii="Calibri" w:hAnsi="Calibri" w:cs="Times New Roman"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4B60A7"/>
    <w:multiLevelType w:val="hybridMultilevel"/>
    <w:tmpl w:val="88BAF1D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4" w15:restartNumberingAfterBreak="0">
    <w:nsid w:val="7B385E60"/>
    <w:multiLevelType w:val="hybridMultilevel"/>
    <w:tmpl w:val="9378EF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3"/>
  </w:num>
  <w:num w:numId="2">
    <w:abstractNumId w:val="55"/>
  </w:num>
  <w:num w:numId="3">
    <w:abstractNumId w:val="7"/>
  </w:num>
  <w:num w:numId="4">
    <w:abstractNumId w:val="47"/>
  </w:num>
  <w:num w:numId="5">
    <w:abstractNumId w:val="44"/>
  </w:num>
  <w:num w:numId="6">
    <w:abstractNumId w:val="20"/>
  </w:num>
  <w:num w:numId="7">
    <w:abstractNumId w:val="22"/>
  </w:num>
  <w:num w:numId="8">
    <w:abstractNumId w:val="35"/>
  </w:num>
  <w:num w:numId="9">
    <w:abstractNumId w:val="61"/>
  </w:num>
  <w:num w:numId="10">
    <w:abstractNumId w:val="38"/>
  </w:num>
  <w:num w:numId="11">
    <w:abstractNumId w:val="16"/>
  </w:num>
  <w:num w:numId="12">
    <w:abstractNumId w:val="28"/>
  </w:num>
  <w:num w:numId="13">
    <w:abstractNumId w:val="2"/>
  </w:num>
  <w:num w:numId="14">
    <w:abstractNumId w:val="10"/>
  </w:num>
  <w:num w:numId="15">
    <w:abstractNumId w:val="60"/>
  </w:num>
  <w:num w:numId="16">
    <w:abstractNumId w:val="64"/>
  </w:num>
  <w:num w:numId="17">
    <w:abstractNumId w:val="48"/>
  </w:num>
  <w:num w:numId="18">
    <w:abstractNumId w:val="0"/>
  </w:num>
  <w:num w:numId="19">
    <w:abstractNumId w:val="26"/>
  </w:num>
  <w:num w:numId="20">
    <w:abstractNumId w:val="58"/>
  </w:num>
  <w:num w:numId="21">
    <w:abstractNumId w:val="14"/>
  </w:num>
  <w:num w:numId="22">
    <w:abstractNumId w:val="19"/>
  </w:num>
  <w:num w:numId="23">
    <w:abstractNumId w:val="27"/>
  </w:num>
  <w:num w:numId="24">
    <w:abstractNumId w:val="43"/>
  </w:num>
  <w:num w:numId="25">
    <w:abstractNumId w:val="30"/>
  </w:num>
  <w:num w:numId="26">
    <w:abstractNumId w:val="6"/>
  </w:num>
  <w:num w:numId="27">
    <w:abstractNumId w:val="1"/>
  </w:num>
  <w:num w:numId="28">
    <w:abstractNumId w:val="51"/>
  </w:num>
  <w:num w:numId="29">
    <w:abstractNumId w:val="12"/>
  </w:num>
  <w:num w:numId="30">
    <w:abstractNumId w:val="50"/>
  </w:num>
  <w:num w:numId="31">
    <w:abstractNumId w:val="36"/>
  </w:num>
  <w:num w:numId="32">
    <w:abstractNumId w:val="3"/>
  </w:num>
  <w:num w:numId="33">
    <w:abstractNumId w:val="46"/>
  </w:num>
  <w:num w:numId="34">
    <w:abstractNumId w:val="32"/>
  </w:num>
  <w:num w:numId="35">
    <w:abstractNumId w:val="24"/>
  </w:num>
  <w:num w:numId="36">
    <w:abstractNumId w:val="5"/>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num>
  <w:num w:numId="39">
    <w:abstractNumId w:val="40"/>
  </w:num>
  <w:num w:numId="40">
    <w:abstractNumId w:val="17"/>
  </w:num>
  <w:num w:numId="41">
    <w:abstractNumId w:val="34"/>
  </w:num>
  <w:num w:numId="42">
    <w:abstractNumId w:val="49"/>
  </w:num>
  <w:num w:numId="43">
    <w:abstractNumId w:val="4"/>
  </w:num>
  <w:num w:numId="44">
    <w:abstractNumId w:val="11"/>
  </w:num>
  <w:num w:numId="45">
    <w:abstractNumId w:val="52"/>
  </w:num>
  <w:num w:numId="46">
    <w:abstractNumId w:val="42"/>
  </w:num>
  <w:num w:numId="47">
    <w:abstractNumId w:val="8"/>
  </w:num>
  <w:num w:numId="48">
    <w:abstractNumId w:val="41"/>
  </w:num>
  <w:num w:numId="49">
    <w:abstractNumId w:val="31"/>
  </w:num>
  <w:num w:numId="50">
    <w:abstractNumId w:val="15"/>
  </w:num>
  <w:num w:numId="51">
    <w:abstractNumId w:val="18"/>
  </w:num>
  <w:num w:numId="52">
    <w:abstractNumId w:val="39"/>
  </w:num>
  <w:num w:numId="53">
    <w:abstractNumId w:val="53"/>
  </w:num>
  <w:num w:numId="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37"/>
  </w:num>
  <w:num w:numId="57">
    <w:abstractNumId w:val="62"/>
    <w:lvlOverride w:ilvl="0"/>
    <w:lvlOverride w:ilvl="1">
      <w:startOverride w:val="5"/>
    </w:lvlOverride>
    <w:lvlOverride w:ilvl="2"/>
    <w:lvlOverride w:ilvl="3"/>
    <w:lvlOverride w:ilvl="4"/>
    <w:lvlOverride w:ilvl="5"/>
    <w:lvlOverride w:ilvl="6"/>
    <w:lvlOverride w:ilvl="7"/>
    <w:lvlOverride w:ilvl="8"/>
  </w:num>
  <w:num w:numId="58">
    <w:abstractNumId w:val="59"/>
  </w:num>
  <w:num w:numId="59">
    <w:abstractNumId w:val="25"/>
  </w:num>
  <w:num w:numId="60">
    <w:abstractNumId w:val="21"/>
  </w:num>
  <w:num w:numId="61">
    <w:abstractNumId w:val="57"/>
  </w:num>
  <w:num w:numId="62">
    <w:abstractNumId w:val="45"/>
  </w:num>
  <w:num w:numId="63">
    <w:abstractNumId w:val="56"/>
  </w:num>
  <w:num w:numId="64">
    <w:abstractNumId w:val="9"/>
  </w:num>
  <w:num w:numId="65">
    <w:abstractNumId w:val="29"/>
  </w:num>
  <w:num w:numId="66">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FCE"/>
    <w:rsid w:val="00000821"/>
    <w:rsid w:val="000009A3"/>
    <w:rsid w:val="000009FB"/>
    <w:rsid w:val="00000BA7"/>
    <w:rsid w:val="000012EA"/>
    <w:rsid w:val="00001A83"/>
    <w:rsid w:val="00001D20"/>
    <w:rsid w:val="000022DE"/>
    <w:rsid w:val="000036AE"/>
    <w:rsid w:val="00003F10"/>
    <w:rsid w:val="000054FB"/>
    <w:rsid w:val="0000615F"/>
    <w:rsid w:val="000064BC"/>
    <w:rsid w:val="000071FD"/>
    <w:rsid w:val="0000789E"/>
    <w:rsid w:val="00007B9C"/>
    <w:rsid w:val="0001027F"/>
    <w:rsid w:val="000109DB"/>
    <w:rsid w:val="0001181C"/>
    <w:rsid w:val="0001190C"/>
    <w:rsid w:val="000120FF"/>
    <w:rsid w:val="00012C77"/>
    <w:rsid w:val="00013101"/>
    <w:rsid w:val="0001318F"/>
    <w:rsid w:val="0001395C"/>
    <w:rsid w:val="000148EE"/>
    <w:rsid w:val="00014949"/>
    <w:rsid w:val="00014EAB"/>
    <w:rsid w:val="00015692"/>
    <w:rsid w:val="0001581C"/>
    <w:rsid w:val="00017281"/>
    <w:rsid w:val="000175E8"/>
    <w:rsid w:val="00017986"/>
    <w:rsid w:val="00017CE6"/>
    <w:rsid w:val="00017F16"/>
    <w:rsid w:val="0002089F"/>
    <w:rsid w:val="00020C9F"/>
    <w:rsid w:val="0002106F"/>
    <w:rsid w:val="000228C8"/>
    <w:rsid w:val="00022C42"/>
    <w:rsid w:val="00022E79"/>
    <w:rsid w:val="00025A63"/>
    <w:rsid w:val="00025DD1"/>
    <w:rsid w:val="000260F5"/>
    <w:rsid w:val="00026AE0"/>
    <w:rsid w:val="00027740"/>
    <w:rsid w:val="0002785C"/>
    <w:rsid w:val="00030174"/>
    <w:rsid w:val="00030532"/>
    <w:rsid w:val="000318AD"/>
    <w:rsid w:val="00031D35"/>
    <w:rsid w:val="000322A5"/>
    <w:rsid w:val="000326DA"/>
    <w:rsid w:val="00032CAF"/>
    <w:rsid w:val="00032D5B"/>
    <w:rsid w:val="0003300F"/>
    <w:rsid w:val="00033290"/>
    <w:rsid w:val="00033A2E"/>
    <w:rsid w:val="00033D2A"/>
    <w:rsid w:val="000358D4"/>
    <w:rsid w:val="000366B2"/>
    <w:rsid w:val="000367F7"/>
    <w:rsid w:val="00037252"/>
    <w:rsid w:val="000376B1"/>
    <w:rsid w:val="00037741"/>
    <w:rsid w:val="0003797D"/>
    <w:rsid w:val="00040F79"/>
    <w:rsid w:val="00041885"/>
    <w:rsid w:val="00041C3A"/>
    <w:rsid w:val="00042866"/>
    <w:rsid w:val="000429A1"/>
    <w:rsid w:val="00042CAF"/>
    <w:rsid w:val="000433EE"/>
    <w:rsid w:val="00043732"/>
    <w:rsid w:val="000437E2"/>
    <w:rsid w:val="00043A7D"/>
    <w:rsid w:val="000447E0"/>
    <w:rsid w:val="000450E1"/>
    <w:rsid w:val="000456CD"/>
    <w:rsid w:val="00045DF3"/>
    <w:rsid w:val="00046069"/>
    <w:rsid w:val="00047152"/>
    <w:rsid w:val="0004725C"/>
    <w:rsid w:val="00047D4D"/>
    <w:rsid w:val="00047FD8"/>
    <w:rsid w:val="000503E7"/>
    <w:rsid w:val="00050DFE"/>
    <w:rsid w:val="000510B1"/>
    <w:rsid w:val="00051529"/>
    <w:rsid w:val="00051700"/>
    <w:rsid w:val="00051EAD"/>
    <w:rsid w:val="000528C6"/>
    <w:rsid w:val="00052ED6"/>
    <w:rsid w:val="00052F02"/>
    <w:rsid w:val="00053209"/>
    <w:rsid w:val="00053336"/>
    <w:rsid w:val="00053C1A"/>
    <w:rsid w:val="0005441F"/>
    <w:rsid w:val="00054D0F"/>
    <w:rsid w:val="00054DFE"/>
    <w:rsid w:val="000550E2"/>
    <w:rsid w:val="000552F9"/>
    <w:rsid w:val="000554FC"/>
    <w:rsid w:val="000555B1"/>
    <w:rsid w:val="00055F52"/>
    <w:rsid w:val="0005608F"/>
    <w:rsid w:val="0005645D"/>
    <w:rsid w:val="0005676D"/>
    <w:rsid w:val="00056921"/>
    <w:rsid w:val="00056E2A"/>
    <w:rsid w:val="00056F11"/>
    <w:rsid w:val="000601D5"/>
    <w:rsid w:val="000604AA"/>
    <w:rsid w:val="00060EF0"/>
    <w:rsid w:val="000611D9"/>
    <w:rsid w:val="000617E8"/>
    <w:rsid w:val="00061971"/>
    <w:rsid w:val="00061B04"/>
    <w:rsid w:val="00061B9D"/>
    <w:rsid w:val="00062329"/>
    <w:rsid w:val="0006264E"/>
    <w:rsid w:val="0006302C"/>
    <w:rsid w:val="00064A8F"/>
    <w:rsid w:val="0006574A"/>
    <w:rsid w:val="00065A37"/>
    <w:rsid w:val="00066105"/>
    <w:rsid w:val="00066D25"/>
    <w:rsid w:val="00066D84"/>
    <w:rsid w:val="00066EAA"/>
    <w:rsid w:val="00066EE9"/>
    <w:rsid w:val="00067670"/>
    <w:rsid w:val="0006793F"/>
    <w:rsid w:val="00070A57"/>
    <w:rsid w:val="0007113B"/>
    <w:rsid w:val="00071B82"/>
    <w:rsid w:val="000722CA"/>
    <w:rsid w:val="000724D3"/>
    <w:rsid w:val="00073448"/>
    <w:rsid w:val="0007349B"/>
    <w:rsid w:val="00075028"/>
    <w:rsid w:val="00075037"/>
    <w:rsid w:val="000752FE"/>
    <w:rsid w:val="0007537F"/>
    <w:rsid w:val="00075C4F"/>
    <w:rsid w:val="00075C6F"/>
    <w:rsid w:val="000769FD"/>
    <w:rsid w:val="00076FB2"/>
    <w:rsid w:val="000772DA"/>
    <w:rsid w:val="00080013"/>
    <w:rsid w:val="000800B6"/>
    <w:rsid w:val="00080236"/>
    <w:rsid w:val="00080544"/>
    <w:rsid w:val="00080596"/>
    <w:rsid w:val="000805AE"/>
    <w:rsid w:val="000805E9"/>
    <w:rsid w:val="00080784"/>
    <w:rsid w:val="00080B0C"/>
    <w:rsid w:val="00080BAB"/>
    <w:rsid w:val="00080E71"/>
    <w:rsid w:val="00081A2B"/>
    <w:rsid w:val="00081AF5"/>
    <w:rsid w:val="000823A0"/>
    <w:rsid w:val="000828D7"/>
    <w:rsid w:val="00082B79"/>
    <w:rsid w:val="000840EF"/>
    <w:rsid w:val="00084338"/>
    <w:rsid w:val="000843F6"/>
    <w:rsid w:val="000846BA"/>
    <w:rsid w:val="00084949"/>
    <w:rsid w:val="00084963"/>
    <w:rsid w:val="000849E4"/>
    <w:rsid w:val="00084B2C"/>
    <w:rsid w:val="00084EA7"/>
    <w:rsid w:val="00085050"/>
    <w:rsid w:val="00085D62"/>
    <w:rsid w:val="00085EF0"/>
    <w:rsid w:val="00087B7B"/>
    <w:rsid w:val="00087E39"/>
    <w:rsid w:val="000901DA"/>
    <w:rsid w:val="00091226"/>
    <w:rsid w:val="00093362"/>
    <w:rsid w:val="00094DB3"/>
    <w:rsid w:val="000951E4"/>
    <w:rsid w:val="0009541C"/>
    <w:rsid w:val="000956DF"/>
    <w:rsid w:val="00095A13"/>
    <w:rsid w:val="00095B23"/>
    <w:rsid w:val="00096049"/>
    <w:rsid w:val="0009608E"/>
    <w:rsid w:val="0009615B"/>
    <w:rsid w:val="000967C3"/>
    <w:rsid w:val="0009695A"/>
    <w:rsid w:val="00097197"/>
    <w:rsid w:val="0009736A"/>
    <w:rsid w:val="0009739E"/>
    <w:rsid w:val="000976B2"/>
    <w:rsid w:val="00097C18"/>
    <w:rsid w:val="00097CC9"/>
    <w:rsid w:val="000A008A"/>
    <w:rsid w:val="000A00F2"/>
    <w:rsid w:val="000A07C4"/>
    <w:rsid w:val="000A0E3A"/>
    <w:rsid w:val="000A12E1"/>
    <w:rsid w:val="000A1F46"/>
    <w:rsid w:val="000A2E16"/>
    <w:rsid w:val="000A38EA"/>
    <w:rsid w:val="000A39AB"/>
    <w:rsid w:val="000A43FC"/>
    <w:rsid w:val="000A4981"/>
    <w:rsid w:val="000A4C88"/>
    <w:rsid w:val="000A4FEC"/>
    <w:rsid w:val="000A5168"/>
    <w:rsid w:val="000A5E32"/>
    <w:rsid w:val="000A6633"/>
    <w:rsid w:val="000A6B59"/>
    <w:rsid w:val="000A79E1"/>
    <w:rsid w:val="000A7FD6"/>
    <w:rsid w:val="000B073F"/>
    <w:rsid w:val="000B0A61"/>
    <w:rsid w:val="000B19E0"/>
    <w:rsid w:val="000B1B64"/>
    <w:rsid w:val="000B27C7"/>
    <w:rsid w:val="000B29CF"/>
    <w:rsid w:val="000B29DA"/>
    <w:rsid w:val="000B2BBC"/>
    <w:rsid w:val="000B2E1F"/>
    <w:rsid w:val="000B3203"/>
    <w:rsid w:val="000B3499"/>
    <w:rsid w:val="000B3717"/>
    <w:rsid w:val="000B3E8E"/>
    <w:rsid w:val="000B3F43"/>
    <w:rsid w:val="000B4310"/>
    <w:rsid w:val="000B471B"/>
    <w:rsid w:val="000B4DD7"/>
    <w:rsid w:val="000B642F"/>
    <w:rsid w:val="000B6D54"/>
    <w:rsid w:val="000B700A"/>
    <w:rsid w:val="000B7469"/>
    <w:rsid w:val="000C05DE"/>
    <w:rsid w:val="000C11C4"/>
    <w:rsid w:val="000C17CD"/>
    <w:rsid w:val="000C2C6F"/>
    <w:rsid w:val="000C385C"/>
    <w:rsid w:val="000C40DC"/>
    <w:rsid w:val="000C4111"/>
    <w:rsid w:val="000C4200"/>
    <w:rsid w:val="000C472A"/>
    <w:rsid w:val="000C54CE"/>
    <w:rsid w:val="000C5A17"/>
    <w:rsid w:val="000C5B98"/>
    <w:rsid w:val="000C5D0C"/>
    <w:rsid w:val="000C6211"/>
    <w:rsid w:val="000C6F67"/>
    <w:rsid w:val="000C704A"/>
    <w:rsid w:val="000C76D1"/>
    <w:rsid w:val="000C7F26"/>
    <w:rsid w:val="000D0327"/>
    <w:rsid w:val="000D053A"/>
    <w:rsid w:val="000D1533"/>
    <w:rsid w:val="000D17F4"/>
    <w:rsid w:val="000D1899"/>
    <w:rsid w:val="000D1FF6"/>
    <w:rsid w:val="000D208F"/>
    <w:rsid w:val="000D34F6"/>
    <w:rsid w:val="000D34FA"/>
    <w:rsid w:val="000D3A03"/>
    <w:rsid w:val="000D3B10"/>
    <w:rsid w:val="000D4831"/>
    <w:rsid w:val="000D5416"/>
    <w:rsid w:val="000D54CF"/>
    <w:rsid w:val="000D5CF8"/>
    <w:rsid w:val="000D628F"/>
    <w:rsid w:val="000D681F"/>
    <w:rsid w:val="000D7A14"/>
    <w:rsid w:val="000E0E8F"/>
    <w:rsid w:val="000E0FDB"/>
    <w:rsid w:val="000E1956"/>
    <w:rsid w:val="000E1EB0"/>
    <w:rsid w:val="000E213E"/>
    <w:rsid w:val="000E2573"/>
    <w:rsid w:val="000E2DAC"/>
    <w:rsid w:val="000E39E2"/>
    <w:rsid w:val="000E3CC3"/>
    <w:rsid w:val="000E4490"/>
    <w:rsid w:val="000E4FDA"/>
    <w:rsid w:val="000E5A91"/>
    <w:rsid w:val="000E6023"/>
    <w:rsid w:val="000E6196"/>
    <w:rsid w:val="000E638E"/>
    <w:rsid w:val="000E6508"/>
    <w:rsid w:val="000E7E3B"/>
    <w:rsid w:val="000E7E52"/>
    <w:rsid w:val="000F0B1B"/>
    <w:rsid w:val="000F0D34"/>
    <w:rsid w:val="000F1067"/>
    <w:rsid w:val="000F10C2"/>
    <w:rsid w:val="000F153C"/>
    <w:rsid w:val="000F158C"/>
    <w:rsid w:val="000F179B"/>
    <w:rsid w:val="000F24E6"/>
    <w:rsid w:val="000F327B"/>
    <w:rsid w:val="000F3288"/>
    <w:rsid w:val="000F373E"/>
    <w:rsid w:val="000F38A9"/>
    <w:rsid w:val="000F3F04"/>
    <w:rsid w:val="000F43A2"/>
    <w:rsid w:val="000F4526"/>
    <w:rsid w:val="000F525B"/>
    <w:rsid w:val="000F5CFA"/>
    <w:rsid w:val="000F6202"/>
    <w:rsid w:val="000F6403"/>
    <w:rsid w:val="000F64C5"/>
    <w:rsid w:val="000F69C0"/>
    <w:rsid w:val="000F6D58"/>
    <w:rsid w:val="000F73F3"/>
    <w:rsid w:val="000F7899"/>
    <w:rsid w:val="000F7A2C"/>
    <w:rsid w:val="000F7CA3"/>
    <w:rsid w:val="001019B7"/>
    <w:rsid w:val="00101E2D"/>
    <w:rsid w:val="00102062"/>
    <w:rsid w:val="001020B4"/>
    <w:rsid w:val="00102893"/>
    <w:rsid w:val="001028A4"/>
    <w:rsid w:val="001031E2"/>
    <w:rsid w:val="001032DA"/>
    <w:rsid w:val="00103973"/>
    <w:rsid w:val="00103AAA"/>
    <w:rsid w:val="00104A81"/>
    <w:rsid w:val="00105D81"/>
    <w:rsid w:val="0010775E"/>
    <w:rsid w:val="00107772"/>
    <w:rsid w:val="00107868"/>
    <w:rsid w:val="001104EC"/>
    <w:rsid w:val="00110E44"/>
    <w:rsid w:val="00110EB0"/>
    <w:rsid w:val="0011114A"/>
    <w:rsid w:val="0011248B"/>
    <w:rsid w:val="0011257E"/>
    <w:rsid w:val="001130D8"/>
    <w:rsid w:val="00113CEC"/>
    <w:rsid w:val="00113D06"/>
    <w:rsid w:val="00114582"/>
    <w:rsid w:val="0011468D"/>
    <w:rsid w:val="00114E05"/>
    <w:rsid w:val="00114F88"/>
    <w:rsid w:val="0011579D"/>
    <w:rsid w:val="00116277"/>
    <w:rsid w:val="00116978"/>
    <w:rsid w:val="00116A67"/>
    <w:rsid w:val="00116D2D"/>
    <w:rsid w:val="00117797"/>
    <w:rsid w:val="00121FBD"/>
    <w:rsid w:val="00121FD9"/>
    <w:rsid w:val="00122411"/>
    <w:rsid w:val="00122690"/>
    <w:rsid w:val="001237CA"/>
    <w:rsid w:val="0012404B"/>
    <w:rsid w:val="001243FB"/>
    <w:rsid w:val="001246D7"/>
    <w:rsid w:val="00124700"/>
    <w:rsid w:val="00124946"/>
    <w:rsid w:val="00125094"/>
    <w:rsid w:val="0012519F"/>
    <w:rsid w:val="00125743"/>
    <w:rsid w:val="00126439"/>
    <w:rsid w:val="0012698C"/>
    <w:rsid w:val="00126B09"/>
    <w:rsid w:val="00126B1E"/>
    <w:rsid w:val="00127042"/>
    <w:rsid w:val="001301FE"/>
    <w:rsid w:val="00130A2B"/>
    <w:rsid w:val="001312CC"/>
    <w:rsid w:val="00131530"/>
    <w:rsid w:val="0013167D"/>
    <w:rsid w:val="00131CE5"/>
    <w:rsid w:val="001327C7"/>
    <w:rsid w:val="00132D24"/>
    <w:rsid w:val="00133CE0"/>
    <w:rsid w:val="001340C0"/>
    <w:rsid w:val="00134303"/>
    <w:rsid w:val="001349F5"/>
    <w:rsid w:val="00134EA8"/>
    <w:rsid w:val="00135152"/>
    <w:rsid w:val="0013518B"/>
    <w:rsid w:val="00135218"/>
    <w:rsid w:val="001359F4"/>
    <w:rsid w:val="00136389"/>
    <w:rsid w:val="00136CE7"/>
    <w:rsid w:val="00137E89"/>
    <w:rsid w:val="001402C4"/>
    <w:rsid w:val="0014050D"/>
    <w:rsid w:val="0014093F"/>
    <w:rsid w:val="00140BA6"/>
    <w:rsid w:val="00140EEF"/>
    <w:rsid w:val="0014152B"/>
    <w:rsid w:val="00141A3C"/>
    <w:rsid w:val="00142346"/>
    <w:rsid w:val="001424B5"/>
    <w:rsid w:val="00142C68"/>
    <w:rsid w:val="00142F1A"/>
    <w:rsid w:val="00143AF0"/>
    <w:rsid w:val="00143B9B"/>
    <w:rsid w:val="001444BB"/>
    <w:rsid w:val="00144B1F"/>
    <w:rsid w:val="00145101"/>
    <w:rsid w:val="00146139"/>
    <w:rsid w:val="00147184"/>
    <w:rsid w:val="001474DE"/>
    <w:rsid w:val="00147BC7"/>
    <w:rsid w:val="00150028"/>
    <w:rsid w:val="001508C2"/>
    <w:rsid w:val="00150B30"/>
    <w:rsid w:val="00150CE2"/>
    <w:rsid w:val="00150FDA"/>
    <w:rsid w:val="00151166"/>
    <w:rsid w:val="0015205F"/>
    <w:rsid w:val="00152065"/>
    <w:rsid w:val="001522D1"/>
    <w:rsid w:val="0015248A"/>
    <w:rsid w:val="00153809"/>
    <w:rsid w:val="00153D93"/>
    <w:rsid w:val="0015428F"/>
    <w:rsid w:val="001545E2"/>
    <w:rsid w:val="00154B92"/>
    <w:rsid w:val="0015516E"/>
    <w:rsid w:val="00155A9B"/>
    <w:rsid w:val="00155D05"/>
    <w:rsid w:val="00156149"/>
    <w:rsid w:val="001562C2"/>
    <w:rsid w:val="0015660A"/>
    <w:rsid w:val="00156D36"/>
    <w:rsid w:val="001600EC"/>
    <w:rsid w:val="001601D7"/>
    <w:rsid w:val="0016053D"/>
    <w:rsid w:val="00160689"/>
    <w:rsid w:val="00160AB8"/>
    <w:rsid w:val="0016104D"/>
    <w:rsid w:val="00161095"/>
    <w:rsid w:val="0016163F"/>
    <w:rsid w:val="00161D78"/>
    <w:rsid w:val="001620DB"/>
    <w:rsid w:val="0016226B"/>
    <w:rsid w:val="00162DFC"/>
    <w:rsid w:val="001631B4"/>
    <w:rsid w:val="001652DF"/>
    <w:rsid w:val="001653E7"/>
    <w:rsid w:val="00165488"/>
    <w:rsid w:val="00165CF8"/>
    <w:rsid w:val="00165D86"/>
    <w:rsid w:val="001665D7"/>
    <w:rsid w:val="00166715"/>
    <w:rsid w:val="00166EB7"/>
    <w:rsid w:val="0016789B"/>
    <w:rsid w:val="00170A12"/>
    <w:rsid w:val="00170A87"/>
    <w:rsid w:val="00171323"/>
    <w:rsid w:val="001714D0"/>
    <w:rsid w:val="00171D5C"/>
    <w:rsid w:val="00173679"/>
    <w:rsid w:val="00173805"/>
    <w:rsid w:val="00173E20"/>
    <w:rsid w:val="00174889"/>
    <w:rsid w:val="00176238"/>
    <w:rsid w:val="001770C4"/>
    <w:rsid w:val="001771A1"/>
    <w:rsid w:val="0017796C"/>
    <w:rsid w:val="0017799B"/>
    <w:rsid w:val="00177AC9"/>
    <w:rsid w:val="00177EC5"/>
    <w:rsid w:val="00180057"/>
    <w:rsid w:val="001800EA"/>
    <w:rsid w:val="0018028B"/>
    <w:rsid w:val="00180B75"/>
    <w:rsid w:val="00180DAE"/>
    <w:rsid w:val="00180EB7"/>
    <w:rsid w:val="00180EBC"/>
    <w:rsid w:val="00181356"/>
    <w:rsid w:val="001816D3"/>
    <w:rsid w:val="00181E06"/>
    <w:rsid w:val="001823EF"/>
    <w:rsid w:val="00182FBF"/>
    <w:rsid w:val="0018393C"/>
    <w:rsid w:val="0018406C"/>
    <w:rsid w:val="00184348"/>
    <w:rsid w:val="00184B58"/>
    <w:rsid w:val="00184F38"/>
    <w:rsid w:val="0018602D"/>
    <w:rsid w:val="0018606A"/>
    <w:rsid w:val="0018664F"/>
    <w:rsid w:val="001868DC"/>
    <w:rsid w:val="00186A4C"/>
    <w:rsid w:val="00186E7F"/>
    <w:rsid w:val="00187057"/>
    <w:rsid w:val="00187215"/>
    <w:rsid w:val="00187717"/>
    <w:rsid w:val="001902D2"/>
    <w:rsid w:val="001906BE"/>
    <w:rsid w:val="00190781"/>
    <w:rsid w:val="00190BE8"/>
    <w:rsid w:val="00191C88"/>
    <w:rsid w:val="00191FBA"/>
    <w:rsid w:val="00191FD0"/>
    <w:rsid w:val="00192241"/>
    <w:rsid w:val="00192AA7"/>
    <w:rsid w:val="00192D96"/>
    <w:rsid w:val="00192E65"/>
    <w:rsid w:val="0019396D"/>
    <w:rsid w:val="00193F46"/>
    <w:rsid w:val="0019442E"/>
    <w:rsid w:val="00194844"/>
    <w:rsid w:val="00194CE7"/>
    <w:rsid w:val="00195D15"/>
    <w:rsid w:val="00195EAA"/>
    <w:rsid w:val="001973E7"/>
    <w:rsid w:val="00197461"/>
    <w:rsid w:val="0019746C"/>
    <w:rsid w:val="0019750C"/>
    <w:rsid w:val="0019785C"/>
    <w:rsid w:val="001A0CF3"/>
    <w:rsid w:val="001A102E"/>
    <w:rsid w:val="001A10CE"/>
    <w:rsid w:val="001A11D9"/>
    <w:rsid w:val="001A1222"/>
    <w:rsid w:val="001A1529"/>
    <w:rsid w:val="001A2009"/>
    <w:rsid w:val="001A2FFD"/>
    <w:rsid w:val="001A35AB"/>
    <w:rsid w:val="001A35C1"/>
    <w:rsid w:val="001A3E5C"/>
    <w:rsid w:val="001A41CD"/>
    <w:rsid w:val="001A4464"/>
    <w:rsid w:val="001A45D3"/>
    <w:rsid w:val="001A47FF"/>
    <w:rsid w:val="001A5C99"/>
    <w:rsid w:val="001A61FC"/>
    <w:rsid w:val="001A6487"/>
    <w:rsid w:val="001A6744"/>
    <w:rsid w:val="001A69DB"/>
    <w:rsid w:val="001A6E66"/>
    <w:rsid w:val="001A7E54"/>
    <w:rsid w:val="001B010A"/>
    <w:rsid w:val="001B0276"/>
    <w:rsid w:val="001B03D8"/>
    <w:rsid w:val="001B1093"/>
    <w:rsid w:val="001B12C0"/>
    <w:rsid w:val="001B23DF"/>
    <w:rsid w:val="001B2E0E"/>
    <w:rsid w:val="001B32D7"/>
    <w:rsid w:val="001B33B3"/>
    <w:rsid w:val="001B35D1"/>
    <w:rsid w:val="001B3F89"/>
    <w:rsid w:val="001B4EDF"/>
    <w:rsid w:val="001B4FE8"/>
    <w:rsid w:val="001B5978"/>
    <w:rsid w:val="001B5D56"/>
    <w:rsid w:val="001B694B"/>
    <w:rsid w:val="001B6A4E"/>
    <w:rsid w:val="001B6D58"/>
    <w:rsid w:val="001B6DCE"/>
    <w:rsid w:val="001B74BD"/>
    <w:rsid w:val="001B7F84"/>
    <w:rsid w:val="001C0122"/>
    <w:rsid w:val="001C0830"/>
    <w:rsid w:val="001C1143"/>
    <w:rsid w:val="001C14B6"/>
    <w:rsid w:val="001C1906"/>
    <w:rsid w:val="001C222E"/>
    <w:rsid w:val="001C244D"/>
    <w:rsid w:val="001C26A0"/>
    <w:rsid w:val="001C26C1"/>
    <w:rsid w:val="001C2913"/>
    <w:rsid w:val="001C2955"/>
    <w:rsid w:val="001C2A80"/>
    <w:rsid w:val="001C377A"/>
    <w:rsid w:val="001C39F2"/>
    <w:rsid w:val="001C3B96"/>
    <w:rsid w:val="001C3C2E"/>
    <w:rsid w:val="001C4383"/>
    <w:rsid w:val="001C43E4"/>
    <w:rsid w:val="001C4976"/>
    <w:rsid w:val="001C4BC3"/>
    <w:rsid w:val="001C4CFC"/>
    <w:rsid w:val="001C51E0"/>
    <w:rsid w:val="001C5223"/>
    <w:rsid w:val="001C5530"/>
    <w:rsid w:val="001C75B5"/>
    <w:rsid w:val="001D0EE7"/>
    <w:rsid w:val="001D14CB"/>
    <w:rsid w:val="001D199D"/>
    <w:rsid w:val="001D1A52"/>
    <w:rsid w:val="001D266D"/>
    <w:rsid w:val="001D271F"/>
    <w:rsid w:val="001D30A5"/>
    <w:rsid w:val="001D3340"/>
    <w:rsid w:val="001D3A5E"/>
    <w:rsid w:val="001D3D58"/>
    <w:rsid w:val="001D4A0C"/>
    <w:rsid w:val="001D5116"/>
    <w:rsid w:val="001D550D"/>
    <w:rsid w:val="001D551B"/>
    <w:rsid w:val="001D569B"/>
    <w:rsid w:val="001D59F0"/>
    <w:rsid w:val="001D5DF5"/>
    <w:rsid w:val="001D6890"/>
    <w:rsid w:val="001D76DC"/>
    <w:rsid w:val="001D78EB"/>
    <w:rsid w:val="001D7D90"/>
    <w:rsid w:val="001E00D6"/>
    <w:rsid w:val="001E0AE9"/>
    <w:rsid w:val="001E0B04"/>
    <w:rsid w:val="001E15C9"/>
    <w:rsid w:val="001E17B4"/>
    <w:rsid w:val="001E1A3A"/>
    <w:rsid w:val="001E1BB4"/>
    <w:rsid w:val="001E2BE6"/>
    <w:rsid w:val="001E386F"/>
    <w:rsid w:val="001E39F8"/>
    <w:rsid w:val="001E3A2C"/>
    <w:rsid w:val="001E44F6"/>
    <w:rsid w:val="001E45F2"/>
    <w:rsid w:val="001E4A19"/>
    <w:rsid w:val="001E57BC"/>
    <w:rsid w:val="001E65A7"/>
    <w:rsid w:val="001E693C"/>
    <w:rsid w:val="001F049A"/>
    <w:rsid w:val="001F0A04"/>
    <w:rsid w:val="001F1288"/>
    <w:rsid w:val="001F161D"/>
    <w:rsid w:val="001F1889"/>
    <w:rsid w:val="001F306E"/>
    <w:rsid w:val="001F3725"/>
    <w:rsid w:val="001F3925"/>
    <w:rsid w:val="001F3B36"/>
    <w:rsid w:val="001F3B6C"/>
    <w:rsid w:val="001F3CD8"/>
    <w:rsid w:val="001F4530"/>
    <w:rsid w:val="001F4710"/>
    <w:rsid w:val="001F519F"/>
    <w:rsid w:val="001F6576"/>
    <w:rsid w:val="001F672F"/>
    <w:rsid w:val="001F6916"/>
    <w:rsid w:val="001F6A30"/>
    <w:rsid w:val="001F7192"/>
    <w:rsid w:val="002000BD"/>
    <w:rsid w:val="00200E50"/>
    <w:rsid w:val="00201479"/>
    <w:rsid w:val="0020148B"/>
    <w:rsid w:val="00201C8A"/>
    <w:rsid w:val="00202109"/>
    <w:rsid w:val="00202D60"/>
    <w:rsid w:val="0020313F"/>
    <w:rsid w:val="00203734"/>
    <w:rsid w:val="002038CC"/>
    <w:rsid w:val="0020392D"/>
    <w:rsid w:val="00203B61"/>
    <w:rsid w:val="00203F49"/>
    <w:rsid w:val="002046A0"/>
    <w:rsid w:val="00204E38"/>
    <w:rsid w:val="00205CCF"/>
    <w:rsid w:val="00205D8B"/>
    <w:rsid w:val="00206939"/>
    <w:rsid w:val="002072D1"/>
    <w:rsid w:val="002075C5"/>
    <w:rsid w:val="0020763C"/>
    <w:rsid w:val="00207AAE"/>
    <w:rsid w:val="00211380"/>
    <w:rsid w:val="00212081"/>
    <w:rsid w:val="0021220A"/>
    <w:rsid w:val="00212435"/>
    <w:rsid w:val="00212A39"/>
    <w:rsid w:val="00212A90"/>
    <w:rsid w:val="002135B6"/>
    <w:rsid w:val="00213968"/>
    <w:rsid w:val="00214437"/>
    <w:rsid w:val="0021485C"/>
    <w:rsid w:val="00214E29"/>
    <w:rsid w:val="0021520B"/>
    <w:rsid w:val="00216049"/>
    <w:rsid w:val="002162CC"/>
    <w:rsid w:val="00217104"/>
    <w:rsid w:val="00217695"/>
    <w:rsid w:val="00217DB3"/>
    <w:rsid w:val="00217DBF"/>
    <w:rsid w:val="002201AE"/>
    <w:rsid w:val="00220356"/>
    <w:rsid w:val="00220866"/>
    <w:rsid w:val="00220A5E"/>
    <w:rsid w:val="00220CD2"/>
    <w:rsid w:val="00220D05"/>
    <w:rsid w:val="0022154D"/>
    <w:rsid w:val="00221CBA"/>
    <w:rsid w:val="00222582"/>
    <w:rsid w:val="00222587"/>
    <w:rsid w:val="00222A98"/>
    <w:rsid w:val="002238B9"/>
    <w:rsid w:val="00224B17"/>
    <w:rsid w:val="0022572D"/>
    <w:rsid w:val="00225752"/>
    <w:rsid w:val="00225865"/>
    <w:rsid w:val="00225AC5"/>
    <w:rsid w:val="00225B2C"/>
    <w:rsid w:val="00225B34"/>
    <w:rsid w:val="00226767"/>
    <w:rsid w:val="00226790"/>
    <w:rsid w:val="0022733A"/>
    <w:rsid w:val="00227BDE"/>
    <w:rsid w:val="00230220"/>
    <w:rsid w:val="0023045B"/>
    <w:rsid w:val="00230703"/>
    <w:rsid w:val="00231005"/>
    <w:rsid w:val="002312A1"/>
    <w:rsid w:val="00231471"/>
    <w:rsid w:val="0023147C"/>
    <w:rsid w:val="00231797"/>
    <w:rsid w:val="002318A3"/>
    <w:rsid w:val="002318E2"/>
    <w:rsid w:val="00232009"/>
    <w:rsid w:val="00232075"/>
    <w:rsid w:val="00232756"/>
    <w:rsid w:val="00232B66"/>
    <w:rsid w:val="00232F61"/>
    <w:rsid w:val="00233E0C"/>
    <w:rsid w:val="002349A8"/>
    <w:rsid w:val="00234DA1"/>
    <w:rsid w:val="0023515E"/>
    <w:rsid w:val="00235222"/>
    <w:rsid w:val="002358CD"/>
    <w:rsid w:val="00235CBC"/>
    <w:rsid w:val="00236313"/>
    <w:rsid w:val="002365B9"/>
    <w:rsid w:val="002372F0"/>
    <w:rsid w:val="00237772"/>
    <w:rsid w:val="00237C9F"/>
    <w:rsid w:val="002409AF"/>
    <w:rsid w:val="00240AB6"/>
    <w:rsid w:val="002415D9"/>
    <w:rsid w:val="00241903"/>
    <w:rsid w:val="00241AEB"/>
    <w:rsid w:val="00241C6D"/>
    <w:rsid w:val="00241E6A"/>
    <w:rsid w:val="00241EA5"/>
    <w:rsid w:val="00242E22"/>
    <w:rsid w:val="00242F62"/>
    <w:rsid w:val="00243DBD"/>
    <w:rsid w:val="0024403A"/>
    <w:rsid w:val="002444F5"/>
    <w:rsid w:val="0024533C"/>
    <w:rsid w:val="0024589D"/>
    <w:rsid w:val="00245AA2"/>
    <w:rsid w:val="00245C44"/>
    <w:rsid w:val="00250097"/>
    <w:rsid w:val="00250274"/>
    <w:rsid w:val="0025039E"/>
    <w:rsid w:val="00250EF8"/>
    <w:rsid w:val="00251100"/>
    <w:rsid w:val="00251FDF"/>
    <w:rsid w:val="002521E0"/>
    <w:rsid w:val="00252297"/>
    <w:rsid w:val="0025287C"/>
    <w:rsid w:val="00252BEC"/>
    <w:rsid w:val="00252FFA"/>
    <w:rsid w:val="00253504"/>
    <w:rsid w:val="002539C4"/>
    <w:rsid w:val="00253D5B"/>
    <w:rsid w:val="0025413F"/>
    <w:rsid w:val="00254431"/>
    <w:rsid w:val="00254894"/>
    <w:rsid w:val="002550C6"/>
    <w:rsid w:val="0025538A"/>
    <w:rsid w:val="00255B14"/>
    <w:rsid w:val="00255D9F"/>
    <w:rsid w:val="00256E75"/>
    <w:rsid w:val="00256FC7"/>
    <w:rsid w:val="00257569"/>
    <w:rsid w:val="002575E1"/>
    <w:rsid w:val="00257C34"/>
    <w:rsid w:val="00257DC3"/>
    <w:rsid w:val="00257E4F"/>
    <w:rsid w:val="0026008C"/>
    <w:rsid w:val="0026016D"/>
    <w:rsid w:val="002601D1"/>
    <w:rsid w:val="002606C4"/>
    <w:rsid w:val="002607D4"/>
    <w:rsid w:val="002616C6"/>
    <w:rsid w:val="0026236C"/>
    <w:rsid w:val="00262474"/>
    <w:rsid w:val="0026292E"/>
    <w:rsid w:val="00262CC5"/>
    <w:rsid w:val="0026328A"/>
    <w:rsid w:val="00263CAF"/>
    <w:rsid w:val="00265406"/>
    <w:rsid w:val="00266D03"/>
    <w:rsid w:val="002714BC"/>
    <w:rsid w:val="00272455"/>
    <w:rsid w:val="0027276D"/>
    <w:rsid w:val="00274038"/>
    <w:rsid w:val="00274134"/>
    <w:rsid w:val="0027432B"/>
    <w:rsid w:val="00274550"/>
    <w:rsid w:val="0027550C"/>
    <w:rsid w:val="00276799"/>
    <w:rsid w:val="002769AD"/>
    <w:rsid w:val="00276D99"/>
    <w:rsid w:val="002770D7"/>
    <w:rsid w:val="0027799B"/>
    <w:rsid w:val="00277DE3"/>
    <w:rsid w:val="00277E2C"/>
    <w:rsid w:val="00280271"/>
    <w:rsid w:val="002802E9"/>
    <w:rsid w:val="00280640"/>
    <w:rsid w:val="0028076F"/>
    <w:rsid w:val="00280FE5"/>
    <w:rsid w:val="0028121E"/>
    <w:rsid w:val="00281B2B"/>
    <w:rsid w:val="00282306"/>
    <w:rsid w:val="002830D6"/>
    <w:rsid w:val="00283478"/>
    <w:rsid w:val="00283C0F"/>
    <w:rsid w:val="002856B4"/>
    <w:rsid w:val="0028612A"/>
    <w:rsid w:val="0028675B"/>
    <w:rsid w:val="0028690B"/>
    <w:rsid w:val="00287324"/>
    <w:rsid w:val="00287406"/>
    <w:rsid w:val="0028749D"/>
    <w:rsid w:val="00287AF8"/>
    <w:rsid w:val="00287C3C"/>
    <w:rsid w:val="00287CD2"/>
    <w:rsid w:val="002900D3"/>
    <w:rsid w:val="00290C9C"/>
    <w:rsid w:val="0029103E"/>
    <w:rsid w:val="002922B8"/>
    <w:rsid w:val="00292AA8"/>
    <w:rsid w:val="002934BF"/>
    <w:rsid w:val="00293733"/>
    <w:rsid w:val="00293CCF"/>
    <w:rsid w:val="002942A8"/>
    <w:rsid w:val="0029508F"/>
    <w:rsid w:val="0029529B"/>
    <w:rsid w:val="0029566B"/>
    <w:rsid w:val="0029586C"/>
    <w:rsid w:val="00295975"/>
    <w:rsid w:val="002963DD"/>
    <w:rsid w:val="00296495"/>
    <w:rsid w:val="0029705B"/>
    <w:rsid w:val="00297732"/>
    <w:rsid w:val="0029786F"/>
    <w:rsid w:val="0029788B"/>
    <w:rsid w:val="00297A2C"/>
    <w:rsid w:val="00297F1A"/>
    <w:rsid w:val="002A0160"/>
    <w:rsid w:val="002A0C66"/>
    <w:rsid w:val="002A115B"/>
    <w:rsid w:val="002A1D57"/>
    <w:rsid w:val="002A2720"/>
    <w:rsid w:val="002A27FC"/>
    <w:rsid w:val="002A30E7"/>
    <w:rsid w:val="002A3628"/>
    <w:rsid w:val="002A36C0"/>
    <w:rsid w:val="002A556F"/>
    <w:rsid w:val="002A5694"/>
    <w:rsid w:val="002A6EB1"/>
    <w:rsid w:val="002A6F50"/>
    <w:rsid w:val="002A736C"/>
    <w:rsid w:val="002A775E"/>
    <w:rsid w:val="002A79DD"/>
    <w:rsid w:val="002A7AE1"/>
    <w:rsid w:val="002B00EC"/>
    <w:rsid w:val="002B04F6"/>
    <w:rsid w:val="002B09B6"/>
    <w:rsid w:val="002B11C4"/>
    <w:rsid w:val="002B1735"/>
    <w:rsid w:val="002B1E71"/>
    <w:rsid w:val="002B2281"/>
    <w:rsid w:val="002B267A"/>
    <w:rsid w:val="002B2C68"/>
    <w:rsid w:val="002B2CAC"/>
    <w:rsid w:val="002B2EA6"/>
    <w:rsid w:val="002B2FFD"/>
    <w:rsid w:val="002B3A31"/>
    <w:rsid w:val="002B52EB"/>
    <w:rsid w:val="002B57E7"/>
    <w:rsid w:val="002B6143"/>
    <w:rsid w:val="002B6198"/>
    <w:rsid w:val="002B657D"/>
    <w:rsid w:val="002B6653"/>
    <w:rsid w:val="002B694A"/>
    <w:rsid w:val="002B6A05"/>
    <w:rsid w:val="002B6B1C"/>
    <w:rsid w:val="002B6D21"/>
    <w:rsid w:val="002B6E6D"/>
    <w:rsid w:val="002B6EE1"/>
    <w:rsid w:val="002C03E8"/>
    <w:rsid w:val="002C0A82"/>
    <w:rsid w:val="002C1412"/>
    <w:rsid w:val="002C142D"/>
    <w:rsid w:val="002C3C36"/>
    <w:rsid w:val="002C4541"/>
    <w:rsid w:val="002C4C06"/>
    <w:rsid w:val="002C4E94"/>
    <w:rsid w:val="002C58AA"/>
    <w:rsid w:val="002C6913"/>
    <w:rsid w:val="002C6DB0"/>
    <w:rsid w:val="002C7126"/>
    <w:rsid w:val="002C7833"/>
    <w:rsid w:val="002C78F8"/>
    <w:rsid w:val="002D0437"/>
    <w:rsid w:val="002D11A0"/>
    <w:rsid w:val="002D1D62"/>
    <w:rsid w:val="002D2056"/>
    <w:rsid w:val="002D2657"/>
    <w:rsid w:val="002D2F87"/>
    <w:rsid w:val="002D2F8E"/>
    <w:rsid w:val="002D34C9"/>
    <w:rsid w:val="002D3676"/>
    <w:rsid w:val="002D3AE9"/>
    <w:rsid w:val="002D405A"/>
    <w:rsid w:val="002D4284"/>
    <w:rsid w:val="002D5161"/>
    <w:rsid w:val="002D5579"/>
    <w:rsid w:val="002D5E00"/>
    <w:rsid w:val="002D5E5C"/>
    <w:rsid w:val="002D6F70"/>
    <w:rsid w:val="002D7133"/>
    <w:rsid w:val="002D74A6"/>
    <w:rsid w:val="002E0964"/>
    <w:rsid w:val="002E1CF7"/>
    <w:rsid w:val="002E1CFE"/>
    <w:rsid w:val="002E1EC1"/>
    <w:rsid w:val="002E240D"/>
    <w:rsid w:val="002E24D6"/>
    <w:rsid w:val="002E2BEF"/>
    <w:rsid w:val="002E342F"/>
    <w:rsid w:val="002E417B"/>
    <w:rsid w:val="002E458B"/>
    <w:rsid w:val="002E49CE"/>
    <w:rsid w:val="002E49F1"/>
    <w:rsid w:val="002E4F57"/>
    <w:rsid w:val="002E5201"/>
    <w:rsid w:val="002E5727"/>
    <w:rsid w:val="002E5DA8"/>
    <w:rsid w:val="002E6775"/>
    <w:rsid w:val="002E696D"/>
    <w:rsid w:val="002E74F3"/>
    <w:rsid w:val="002E77F5"/>
    <w:rsid w:val="002E7A50"/>
    <w:rsid w:val="002E7ADA"/>
    <w:rsid w:val="002E7BF7"/>
    <w:rsid w:val="002E7C3E"/>
    <w:rsid w:val="002F02F4"/>
    <w:rsid w:val="002F0597"/>
    <w:rsid w:val="002F0D1D"/>
    <w:rsid w:val="002F0D3D"/>
    <w:rsid w:val="002F0F14"/>
    <w:rsid w:val="002F14E0"/>
    <w:rsid w:val="002F16FA"/>
    <w:rsid w:val="002F223E"/>
    <w:rsid w:val="002F25A7"/>
    <w:rsid w:val="002F2F29"/>
    <w:rsid w:val="002F37F3"/>
    <w:rsid w:val="002F38A0"/>
    <w:rsid w:val="002F3FB6"/>
    <w:rsid w:val="002F409F"/>
    <w:rsid w:val="002F4657"/>
    <w:rsid w:val="002F4C09"/>
    <w:rsid w:val="002F4C69"/>
    <w:rsid w:val="002F5729"/>
    <w:rsid w:val="002F58D8"/>
    <w:rsid w:val="002F6975"/>
    <w:rsid w:val="002F6E28"/>
    <w:rsid w:val="002F6EC1"/>
    <w:rsid w:val="002F7395"/>
    <w:rsid w:val="002F7655"/>
    <w:rsid w:val="003006F8"/>
    <w:rsid w:val="00301F57"/>
    <w:rsid w:val="00302898"/>
    <w:rsid w:val="00302DF5"/>
    <w:rsid w:val="00303349"/>
    <w:rsid w:val="0030366C"/>
    <w:rsid w:val="0030368D"/>
    <w:rsid w:val="003036E5"/>
    <w:rsid w:val="003038AC"/>
    <w:rsid w:val="00303E5D"/>
    <w:rsid w:val="003044E9"/>
    <w:rsid w:val="003051F5"/>
    <w:rsid w:val="003053AF"/>
    <w:rsid w:val="00305DAF"/>
    <w:rsid w:val="00306087"/>
    <w:rsid w:val="003062E5"/>
    <w:rsid w:val="0030701E"/>
    <w:rsid w:val="0030788B"/>
    <w:rsid w:val="00307E2A"/>
    <w:rsid w:val="00310C31"/>
    <w:rsid w:val="00311AA8"/>
    <w:rsid w:val="00311DC1"/>
    <w:rsid w:val="00312C3D"/>
    <w:rsid w:val="0031308D"/>
    <w:rsid w:val="003132F3"/>
    <w:rsid w:val="003136E9"/>
    <w:rsid w:val="00313CDA"/>
    <w:rsid w:val="003142CB"/>
    <w:rsid w:val="00314E0C"/>
    <w:rsid w:val="00315184"/>
    <w:rsid w:val="00315CF3"/>
    <w:rsid w:val="00315F7E"/>
    <w:rsid w:val="003160A1"/>
    <w:rsid w:val="00316132"/>
    <w:rsid w:val="003167B3"/>
    <w:rsid w:val="00316F02"/>
    <w:rsid w:val="0031757E"/>
    <w:rsid w:val="0031767C"/>
    <w:rsid w:val="00320408"/>
    <w:rsid w:val="00320589"/>
    <w:rsid w:val="00320754"/>
    <w:rsid w:val="00320EF4"/>
    <w:rsid w:val="0032104D"/>
    <w:rsid w:val="0032180E"/>
    <w:rsid w:val="00321C67"/>
    <w:rsid w:val="00321D8E"/>
    <w:rsid w:val="00321F51"/>
    <w:rsid w:val="00323815"/>
    <w:rsid w:val="00323A51"/>
    <w:rsid w:val="00324A0E"/>
    <w:rsid w:val="00325102"/>
    <w:rsid w:val="003262D8"/>
    <w:rsid w:val="00326785"/>
    <w:rsid w:val="00327270"/>
    <w:rsid w:val="003279EE"/>
    <w:rsid w:val="00327E85"/>
    <w:rsid w:val="00327F5A"/>
    <w:rsid w:val="00330354"/>
    <w:rsid w:val="00330A26"/>
    <w:rsid w:val="0033144B"/>
    <w:rsid w:val="00331558"/>
    <w:rsid w:val="003316F4"/>
    <w:rsid w:val="00331B28"/>
    <w:rsid w:val="00331FF2"/>
    <w:rsid w:val="00333023"/>
    <w:rsid w:val="00333A8F"/>
    <w:rsid w:val="00334C37"/>
    <w:rsid w:val="00335D8E"/>
    <w:rsid w:val="0033619B"/>
    <w:rsid w:val="00336B33"/>
    <w:rsid w:val="00336C81"/>
    <w:rsid w:val="00336E6F"/>
    <w:rsid w:val="00337104"/>
    <w:rsid w:val="00337ACD"/>
    <w:rsid w:val="00337BA1"/>
    <w:rsid w:val="00340080"/>
    <w:rsid w:val="00340089"/>
    <w:rsid w:val="003409EC"/>
    <w:rsid w:val="003416B3"/>
    <w:rsid w:val="003419E6"/>
    <w:rsid w:val="00341AC4"/>
    <w:rsid w:val="00341C60"/>
    <w:rsid w:val="00341F37"/>
    <w:rsid w:val="003426F4"/>
    <w:rsid w:val="00342FED"/>
    <w:rsid w:val="00343709"/>
    <w:rsid w:val="00343D11"/>
    <w:rsid w:val="00343D89"/>
    <w:rsid w:val="00343F61"/>
    <w:rsid w:val="00344209"/>
    <w:rsid w:val="003449AE"/>
    <w:rsid w:val="00345AA1"/>
    <w:rsid w:val="00346BD2"/>
    <w:rsid w:val="00347AFB"/>
    <w:rsid w:val="0035070C"/>
    <w:rsid w:val="00350E52"/>
    <w:rsid w:val="00350F6C"/>
    <w:rsid w:val="003510A6"/>
    <w:rsid w:val="00351E16"/>
    <w:rsid w:val="0035266A"/>
    <w:rsid w:val="00352C34"/>
    <w:rsid w:val="00352E28"/>
    <w:rsid w:val="00352E2A"/>
    <w:rsid w:val="003533DE"/>
    <w:rsid w:val="00353CCA"/>
    <w:rsid w:val="00353EF7"/>
    <w:rsid w:val="00353F6B"/>
    <w:rsid w:val="0035619D"/>
    <w:rsid w:val="00356572"/>
    <w:rsid w:val="003565DB"/>
    <w:rsid w:val="0035692E"/>
    <w:rsid w:val="00356D1E"/>
    <w:rsid w:val="0036020D"/>
    <w:rsid w:val="0036061A"/>
    <w:rsid w:val="0036108A"/>
    <w:rsid w:val="00361395"/>
    <w:rsid w:val="00361444"/>
    <w:rsid w:val="003617F7"/>
    <w:rsid w:val="00361C23"/>
    <w:rsid w:val="00362A40"/>
    <w:rsid w:val="00363528"/>
    <w:rsid w:val="003636D5"/>
    <w:rsid w:val="00364770"/>
    <w:rsid w:val="00364A93"/>
    <w:rsid w:val="00364B99"/>
    <w:rsid w:val="00364CB1"/>
    <w:rsid w:val="003663A3"/>
    <w:rsid w:val="003669C7"/>
    <w:rsid w:val="00366E54"/>
    <w:rsid w:val="00367C30"/>
    <w:rsid w:val="003721FB"/>
    <w:rsid w:val="00372384"/>
    <w:rsid w:val="00372CEE"/>
    <w:rsid w:val="00372F40"/>
    <w:rsid w:val="00373462"/>
    <w:rsid w:val="00373C04"/>
    <w:rsid w:val="00373CD4"/>
    <w:rsid w:val="00373E69"/>
    <w:rsid w:val="003744E3"/>
    <w:rsid w:val="003748D7"/>
    <w:rsid w:val="0037538A"/>
    <w:rsid w:val="00375C80"/>
    <w:rsid w:val="0037635E"/>
    <w:rsid w:val="00376BCD"/>
    <w:rsid w:val="00377864"/>
    <w:rsid w:val="00377E33"/>
    <w:rsid w:val="00377F8F"/>
    <w:rsid w:val="003802AA"/>
    <w:rsid w:val="0038085A"/>
    <w:rsid w:val="00381411"/>
    <w:rsid w:val="00381A67"/>
    <w:rsid w:val="00381FAF"/>
    <w:rsid w:val="003821F9"/>
    <w:rsid w:val="00382343"/>
    <w:rsid w:val="003828CF"/>
    <w:rsid w:val="00382D6D"/>
    <w:rsid w:val="00383199"/>
    <w:rsid w:val="00383332"/>
    <w:rsid w:val="00385253"/>
    <w:rsid w:val="00385790"/>
    <w:rsid w:val="00385C5D"/>
    <w:rsid w:val="00385C8C"/>
    <w:rsid w:val="00385EFC"/>
    <w:rsid w:val="003860BD"/>
    <w:rsid w:val="00386D23"/>
    <w:rsid w:val="00386EB6"/>
    <w:rsid w:val="003873DC"/>
    <w:rsid w:val="0038785D"/>
    <w:rsid w:val="00387C8F"/>
    <w:rsid w:val="003908C2"/>
    <w:rsid w:val="003909E1"/>
    <w:rsid w:val="00390B65"/>
    <w:rsid w:val="00391399"/>
    <w:rsid w:val="00392AB5"/>
    <w:rsid w:val="00392B5A"/>
    <w:rsid w:val="00394362"/>
    <w:rsid w:val="0039452F"/>
    <w:rsid w:val="00394DD0"/>
    <w:rsid w:val="00394E7A"/>
    <w:rsid w:val="00395164"/>
    <w:rsid w:val="0039517D"/>
    <w:rsid w:val="00395661"/>
    <w:rsid w:val="0039570D"/>
    <w:rsid w:val="00395CFD"/>
    <w:rsid w:val="00396784"/>
    <w:rsid w:val="00396BB9"/>
    <w:rsid w:val="0039704A"/>
    <w:rsid w:val="00397B47"/>
    <w:rsid w:val="00397E82"/>
    <w:rsid w:val="003A01BF"/>
    <w:rsid w:val="003A02D0"/>
    <w:rsid w:val="003A03D1"/>
    <w:rsid w:val="003A03E9"/>
    <w:rsid w:val="003A04A9"/>
    <w:rsid w:val="003A0C17"/>
    <w:rsid w:val="003A0DC4"/>
    <w:rsid w:val="003A1100"/>
    <w:rsid w:val="003A121F"/>
    <w:rsid w:val="003A18B3"/>
    <w:rsid w:val="003A1FA6"/>
    <w:rsid w:val="003A456B"/>
    <w:rsid w:val="003A4ED8"/>
    <w:rsid w:val="003A5F36"/>
    <w:rsid w:val="003A5F47"/>
    <w:rsid w:val="003A6576"/>
    <w:rsid w:val="003A6B17"/>
    <w:rsid w:val="003A6BA4"/>
    <w:rsid w:val="003A6F3E"/>
    <w:rsid w:val="003A7881"/>
    <w:rsid w:val="003A7E3A"/>
    <w:rsid w:val="003B0817"/>
    <w:rsid w:val="003B116E"/>
    <w:rsid w:val="003B119F"/>
    <w:rsid w:val="003B1716"/>
    <w:rsid w:val="003B1C0D"/>
    <w:rsid w:val="003B1F2F"/>
    <w:rsid w:val="003B205E"/>
    <w:rsid w:val="003B2434"/>
    <w:rsid w:val="003B27B7"/>
    <w:rsid w:val="003B29D4"/>
    <w:rsid w:val="003B2C45"/>
    <w:rsid w:val="003B2D90"/>
    <w:rsid w:val="003B3292"/>
    <w:rsid w:val="003B3538"/>
    <w:rsid w:val="003B3A58"/>
    <w:rsid w:val="003B41E0"/>
    <w:rsid w:val="003B42DA"/>
    <w:rsid w:val="003B47A0"/>
    <w:rsid w:val="003B4A16"/>
    <w:rsid w:val="003B4D1D"/>
    <w:rsid w:val="003B518F"/>
    <w:rsid w:val="003B542E"/>
    <w:rsid w:val="003B54E8"/>
    <w:rsid w:val="003B63D9"/>
    <w:rsid w:val="003B657E"/>
    <w:rsid w:val="003B6F7A"/>
    <w:rsid w:val="003B70A6"/>
    <w:rsid w:val="003B7321"/>
    <w:rsid w:val="003B78EB"/>
    <w:rsid w:val="003B7DC0"/>
    <w:rsid w:val="003B7E3B"/>
    <w:rsid w:val="003B7EB2"/>
    <w:rsid w:val="003C0BBE"/>
    <w:rsid w:val="003C1551"/>
    <w:rsid w:val="003C16E7"/>
    <w:rsid w:val="003C18CB"/>
    <w:rsid w:val="003C21F1"/>
    <w:rsid w:val="003C22B2"/>
    <w:rsid w:val="003C27D2"/>
    <w:rsid w:val="003C36BA"/>
    <w:rsid w:val="003C3CA8"/>
    <w:rsid w:val="003C3E5B"/>
    <w:rsid w:val="003C3E87"/>
    <w:rsid w:val="003C5697"/>
    <w:rsid w:val="003C5700"/>
    <w:rsid w:val="003C5C61"/>
    <w:rsid w:val="003C6543"/>
    <w:rsid w:val="003C73B8"/>
    <w:rsid w:val="003C7EE5"/>
    <w:rsid w:val="003D04D9"/>
    <w:rsid w:val="003D061F"/>
    <w:rsid w:val="003D0AD2"/>
    <w:rsid w:val="003D0D12"/>
    <w:rsid w:val="003D1299"/>
    <w:rsid w:val="003D1507"/>
    <w:rsid w:val="003D27C0"/>
    <w:rsid w:val="003D2F77"/>
    <w:rsid w:val="003D3437"/>
    <w:rsid w:val="003D3CFF"/>
    <w:rsid w:val="003D3EFF"/>
    <w:rsid w:val="003D4DAC"/>
    <w:rsid w:val="003D587D"/>
    <w:rsid w:val="003D595A"/>
    <w:rsid w:val="003D595D"/>
    <w:rsid w:val="003D60B2"/>
    <w:rsid w:val="003D7C95"/>
    <w:rsid w:val="003D7D9E"/>
    <w:rsid w:val="003E0341"/>
    <w:rsid w:val="003E0710"/>
    <w:rsid w:val="003E1BBD"/>
    <w:rsid w:val="003E2CFD"/>
    <w:rsid w:val="003E32C8"/>
    <w:rsid w:val="003E33C9"/>
    <w:rsid w:val="003E3635"/>
    <w:rsid w:val="003E3C6F"/>
    <w:rsid w:val="003E4392"/>
    <w:rsid w:val="003E43D2"/>
    <w:rsid w:val="003E48CC"/>
    <w:rsid w:val="003E4941"/>
    <w:rsid w:val="003E4983"/>
    <w:rsid w:val="003E4D79"/>
    <w:rsid w:val="003E52E7"/>
    <w:rsid w:val="003E6BE5"/>
    <w:rsid w:val="003E6CFB"/>
    <w:rsid w:val="003E6F92"/>
    <w:rsid w:val="003E7AA2"/>
    <w:rsid w:val="003F0BB7"/>
    <w:rsid w:val="003F0EC2"/>
    <w:rsid w:val="003F1205"/>
    <w:rsid w:val="003F1442"/>
    <w:rsid w:val="003F1540"/>
    <w:rsid w:val="003F1C64"/>
    <w:rsid w:val="003F1E4C"/>
    <w:rsid w:val="003F1F41"/>
    <w:rsid w:val="003F23DD"/>
    <w:rsid w:val="003F33DC"/>
    <w:rsid w:val="003F37B8"/>
    <w:rsid w:val="003F3AE8"/>
    <w:rsid w:val="003F3BB7"/>
    <w:rsid w:val="003F4874"/>
    <w:rsid w:val="003F51C9"/>
    <w:rsid w:val="003F5690"/>
    <w:rsid w:val="003F6586"/>
    <w:rsid w:val="003F6857"/>
    <w:rsid w:val="003F6C22"/>
    <w:rsid w:val="003F7112"/>
    <w:rsid w:val="003F72A3"/>
    <w:rsid w:val="003F749D"/>
    <w:rsid w:val="00400FAE"/>
    <w:rsid w:val="00401236"/>
    <w:rsid w:val="00402428"/>
    <w:rsid w:val="0040256E"/>
    <w:rsid w:val="00402843"/>
    <w:rsid w:val="00402A99"/>
    <w:rsid w:val="00402BA7"/>
    <w:rsid w:val="00402F42"/>
    <w:rsid w:val="00403427"/>
    <w:rsid w:val="00404545"/>
    <w:rsid w:val="00404609"/>
    <w:rsid w:val="00405056"/>
    <w:rsid w:val="00405D8A"/>
    <w:rsid w:val="00405DF9"/>
    <w:rsid w:val="004060F9"/>
    <w:rsid w:val="00406103"/>
    <w:rsid w:val="004064C0"/>
    <w:rsid w:val="004068C0"/>
    <w:rsid w:val="00406C10"/>
    <w:rsid w:val="004072B7"/>
    <w:rsid w:val="00407CB2"/>
    <w:rsid w:val="00407EAB"/>
    <w:rsid w:val="0041020A"/>
    <w:rsid w:val="004118B1"/>
    <w:rsid w:val="004120A1"/>
    <w:rsid w:val="00412C60"/>
    <w:rsid w:val="00413293"/>
    <w:rsid w:val="004133A2"/>
    <w:rsid w:val="00413A77"/>
    <w:rsid w:val="00415CE6"/>
    <w:rsid w:val="004160FA"/>
    <w:rsid w:val="004164DF"/>
    <w:rsid w:val="00416762"/>
    <w:rsid w:val="004172D5"/>
    <w:rsid w:val="00417467"/>
    <w:rsid w:val="00417B72"/>
    <w:rsid w:val="00420143"/>
    <w:rsid w:val="00420585"/>
    <w:rsid w:val="00420E99"/>
    <w:rsid w:val="00420F77"/>
    <w:rsid w:val="0042129C"/>
    <w:rsid w:val="00421DA0"/>
    <w:rsid w:val="00421EF0"/>
    <w:rsid w:val="0042206E"/>
    <w:rsid w:val="004224E1"/>
    <w:rsid w:val="00422664"/>
    <w:rsid w:val="00422A84"/>
    <w:rsid w:val="00422E96"/>
    <w:rsid w:val="00423D9E"/>
    <w:rsid w:val="004241F4"/>
    <w:rsid w:val="00424778"/>
    <w:rsid w:val="0042554B"/>
    <w:rsid w:val="0042557A"/>
    <w:rsid w:val="00425E54"/>
    <w:rsid w:val="00426EE6"/>
    <w:rsid w:val="0042702A"/>
    <w:rsid w:val="00427BD6"/>
    <w:rsid w:val="00427C40"/>
    <w:rsid w:val="00427E6F"/>
    <w:rsid w:val="00430183"/>
    <w:rsid w:val="00430CD5"/>
    <w:rsid w:val="004325AC"/>
    <w:rsid w:val="0043272C"/>
    <w:rsid w:val="0043393D"/>
    <w:rsid w:val="00433C7C"/>
    <w:rsid w:val="00433D6C"/>
    <w:rsid w:val="0043439D"/>
    <w:rsid w:val="00435957"/>
    <w:rsid w:val="004364EE"/>
    <w:rsid w:val="00436B7A"/>
    <w:rsid w:val="00436C9B"/>
    <w:rsid w:val="00436F13"/>
    <w:rsid w:val="004376C9"/>
    <w:rsid w:val="00437A78"/>
    <w:rsid w:val="00437FFC"/>
    <w:rsid w:val="00440172"/>
    <w:rsid w:val="004401A9"/>
    <w:rsid w:val="00441721"/>
    <w:rsid w:val="00441BFB"/>
    <w:rsid w:val="00441F66"/>
    <w:rsid w:val="00442342"/>
    <w:rsid w:val="0044234D"/>
    <w:rsid w:val="0044249C"/>
    <w:rsid w:val="0044293B"/>
    <w:rsid w:val="0044312D"/>
    <w:rsid w:val="004436EB"/>
    <w:rsid w:val="00443833"/>
    <w:rsid w:val="004439EF"/>
    <w:rsid w:val="00443F0D"/>
    <w:rsid w:val="004445EF"/>
    <w:rsid w:val="004446A2"/>
    <w:rsid w:val="00444E32"/>
    <w:rsid w:val="00444F6A"/>
    <w:rsid w:val="00445566"/>
    <w:rsid w:val="004469BE"/>
    <w:rsid w:val="00446B81"/>
    <w:rsid w:val="00446BCE"/>
    <w:rsid w:val="00447893"/>
    <w:rsid w:val="0045162F"/>
    <w:rsid w:val="00451AF9"/>
    <w:rsid w:val="00452AC3"/>
    <w:rsid w:val="00453071"/>
    <w:rsid w:val="00453468"/>
    <w:rsid w:val="00453829"/>
    <w:rsid w:val="00453ACC"/>
    <w:rsid w:val="00453CDA"/>
    <w:rsid w:val="00453E5A"/>
    <w:rsid w:val="00453FA2"/>
    <w:rsid w:val="00453FF3"/>
    <w:rsid w:val="004546ED"/>
    <w:rsid w:val="00454748"/>
    <w:rsid w:val="00454871"/>
    <w:rsid w:val="00454FCE"/>
    <w:rsid w:val="0045530A"/>
    <w:rsid w:val="004556D6"/>
    <w:rsid w:val="004558D3"/>
    <w:rsid w:val="00455B0B"/>
    <w:rsid w:val="00455DD1"/>
    <w:rsid w:val="0045637F"/>
    <w:rsid w:val="00456AA5"/>
    <w:rsid w:val="004571EE"/>
    <w:rsid w:val="004573DE"/>
    <w:rsid w:val="00457D00"/>
    <w:rsid w:val="00457EC5"/>
    <w:rsid w:val="00457F86"/>
    <w:rsid w:val="004601A0"/>
    <w:rsid w:val="00460467"/>
    <w:rsid w:val="00460CE2"/>
    <w:rsid w:val="00460EA2"/>
    <w:rsid w:val="004612F3"/>
    <w:rsid w:val="00461780"/>
    <w:rsid w:val="00462474"/>
    <w:rsid w:val="004628A4"/>
    <w:rsid w:val="00462A83"/>
    <w:rsid w:val="00462BBD"/>
    <w:rsid w:val="00462ED0"/>
    <w:rsid w:val="00462FC9"/>
    <w:rsid w:val="00463081"/>
    <w:rsid w:val="00463203"/>
    <w:rsid w:val="0046379B"/>
    <w:rsid w:val="00463BB2"/>
    <w:rsid w:val="004644B0"/>
    <w:rsid w:val="0046451E"/>
    <w:rsid w:val="00464B5F"/>
    <w:rsid w:val="00464CCA"/>
    <w:rsid w:val="0046581D"/>
    <w:rsid w:val="00466086"/>
    <w:rsid w:val="0046711D"/>
    <w:rsid w:val="00467FD7"/>
    <w:rsid w:val="00470706"/>
    <w:rsid w:val="0047180D"/>
    <w:rsid w:val="00471B5D"/>
    <w:rsid w:val="00471C2C"/>
    <w:rsid w:val="00471EB3"/>
    <w:rsid w:val="004722A1"/>
    <w:rsid w:val="00472496"/>
    <w:rsid w:val="00472785"/>
    <w:rsid w:val="00472E61"/>
    <w:rsid w:val="0047323F"/>
    <w:rsid w:val="0047402A"/>
    <w:rsid w:val="004763C7"/>
    <w:rsid w:val="0047649E"/>
    <w:rsid w:val="0047726F"/>
    <w:rsid w:val="00477FDB"/>
    <w:rsid w:val="00477FFB"/>
    <w:rsid w:val="00480769"/>
    <w:rsid w:val="00481E7D"/>
    <w:rsid w:val="00482CFB"/>
    <w:rsid w:val="00482FB1"/>
    <w:rsid w:val="004837E6"/>
    <w:rsid w:val="00483B62"/>
    <w:rsid w:val="004841D6"/>
    <w:rsid w:val="00484EC2"/>
    <w:rsid w:val="00485028"/>
    <w:rsid w:val="004850F8"/>
    <w:rsid w:val="004855D0"/>
    <w:rsid w:val="00485ECD"/>
    <w:rsid w:val="00486382"/>
    <w:rsid w:val="004869B4"/>
    <w:rsid w:val="00486CC3"/>
    <w:rsid w:val="00487173"/>
    <w:rsid w:val="004875E9"/>
    <w:rsid w:val="00487B08"/>
    <w:rsid w:val="00487EF5"/>
    <w:rsid w:val="004903A4"/>
    <w:rsid w:val="00490562"/>
    <w:rsid w:val="0049119B"/>
    <w:rsid w:val="004912C1"/>
    <w:rsid w:val="004912C8"/>
    <w:rsid w:val="00491B0C"/>
    <w:rsid w:val="00492174"/>
    <w:rsid w:val="0049277E"/>
    <w:rsid w:val="00492AAE"/>
    <w:rsid w:val="00492ECC"/>
    <w:rsid w:val="0049311A"/>
    <w:rsid w:val="00493C95"/>
    <w:rsid w:val="00493F9A"/>
    <w:rsid w:val="00494387"/>
    <w:rsid w:val="0049576E"/>
    <w:rsid w:val="00495F0C"/>
    <w:rsid w:val="0049637B"/>
    <w:rsid w:val="004967B1"/>
    <w:rsid w:val="00496B2A"/>
    <w:rsid w:val="0049715D"/>
    <w:rsid w:val="004977D9"/>
    <w:rsid w:val="004A0297"/>
    <w:rsid w:val="004A052D"/>
    <w:rsid w:val="004A0714"/>
    <w:rsid w:val="004A1554"/>
    <w:rsid w:val="004A1752"/>
    <w:rsid w:val="004A1F21"/>
    <w:rsid w:val="004A20CE"/>
    <w:rsid w:val="004A258C"/>
    <w:rsid w:val="004A2713"/>
    <w:rsid w:val="004A27A8"/>
    <w:rsid w:val="004A32BA"/>
    <w:rsid w:val="004A373D"/>
    <w:rsid w:val="004A417F"/>
    <w:rsid w:val="004A45A2"/>
    <w:rsid w:val="004A49A2"/>
    <w:rsid w:val="004A6184"/>
    <w:rsid w:val="004A642D"/>
    <w:rsid w:val="004A6655"/>
    <w:rsid w:val="004A6D55"/>
    <w:rsid w:val="004A7050"/>
    <w:rsid w:val="004A7377"/>
    <w:rsid w:val="004A7DDB"/>
    <w:rsid w:val="004A7E02"/>
    <w:rsid w:val="004A7FCC"/>
    <w:rsid w:val="004B0AEE"/>
    <w:rsid w:val="004B0C12"/>
    <w:rsid w:val="004B0D53"/>
    <w:rsid w:val="004B1071"/>
    <w:rsid w:val="004B158B"/>
    <w:rsid w:val="004B1820"/>
    <w:rsid w:val="004B182D"/>
    <w:rsid w:val="004B1927"/>
    <w:rsid w:val="004B1C2D"/>
    <w:rsid w:val="004B2F3C"/>
    <w:rsid w:val="004B3116"/>
    <w:rsid w:val="004B3D69"/>
    <w:rsid w:val="004B4521"/>
    <w:rsid w:val="004B46CD"/>
    <w:rsid w:val="004B47E3"/>
    <w:rsid w:val="004B48A3"/>
    <w:rsid w:val="004B56FB"/>
    <w:rsid w:val="004B5D80"/>
    <w:rsid w:val="004B626D"/>
    <w:rsid w:val="004B6CBB"/>
    <w:rsid w:val="004B6DFB"/>
    <w:rsid w:val="004B7081"/>
    <w:rsid w:val="004B7420"/>
    <w:rsid w:val="004B7F40"/>
    <w:rsid w:val="004C036F"/>
    <w:rsid w:val="004C0750"/>
    <w:rsid w:val="004C0841"/>
    <w:rsid w:val="004C0CC6"/>
    <w:rsid w:val="004C104B"/>
    <w:rsid w:val="004C165F"/>
    <w:rsid w:val="004C1870"/>
    <w:rsid w:val="004C1921"/>
    <w:rsid w:val="004C24B3"/>
    <w:rsid w:val="004C2A95"/>
    <w:rsid w:val="004C2C5A"/>
    <w:rsid w:val="004C2CB1"/>
    <w:rsid w:val="004C31F9"/>
    <w:rsid w:val="004C4244"/>
    <w:rsid w:val="004C4D06"/>
    <w:rsid w:val="004C5CA4"/>
    <w:rsid w:val="004C65F9"/>
    <w:rsid w:val="004C708F"/>
    <w:rsid w:val="004C7EEE"/>
    <w:rsid w:val="004D082A"/>
    <w:rsid w:val="004D0B3D"/>
    <w:rsid w:val="004D0FC2"/>
    <w:rsid w:val="004D0FE0"/>
    <w:rsid w:val="004D1321"/>
    <w:rsid w:val="004D18BA"/>
    <w:rsid w:val="004D1C98"/>
    <w:rsid w:val="004D3C67"/>
    <w:rsid w:val="004D434A"/>
    <w:rsid w:val="004D4AF5"/>
    <w:rsid w:val="004D5AD0"/>
    <w:rsid w:val="004D632F"/>
    <w:rsid w:val="004D7425"/>
    <w:rsid w:val="004D7576"/>
    <w:rsid w:val="004D7B3E"/>
    <w:rsid w:val="004D7D7C"/>
    <w:rsid w:val="004E08E6"/>
    <w:rsid w:val="004E0EA5"/>
    <w:rsid w:val="004E1110"/>
    <w:rsid w:val="004E13BF"/>
    <w:rsid w:val="004E26BB"/>
    <w:rsid w:val="004E2DE5"/>
    <w:rsid w:val="004E381E"/>
    <w:rsid w:val="004E3D18"/>
    <w:rsid w:val="004E3FD7"/>
    <w:rsid w:val="004E41EC"/>
    <w:rsid w:val="004E49A0"/>
    <w:rsid w:val="004E4D6E"/>
    <w:rsid w:val="004E4F04"/>
    <w:rsid w:val="004E4FD2"/>
    <w:rsid w:val="004E5E6B"/>
    <w:rsid w:val="004E6127"/>
    <w:rsid w:val="004E674D"/>
    <w:rsid w:val="004E7286"/>
    <w:rsid w:val="004E7517"/>
    <w:rsid w:val="004E76AC"/>
    <w:rsid w:val="004E7E20"/>
    <w:rsid w:val="004F0CF6"/>
    <w:rsid w:val="004F23EA"/>
    <w:rsid w:val="004F264F"/>
    <w:rsid w:val="004F2EC8"/>
    <w:rsid w:val="004F3E73"/>
    <w:rsid w:val="004F4ADE"/>
    <w:rsid w:val="004F4BBC"/>
    <w:rsid w:val="004F58A5"/>
    <w:rsid w:val="004F677F"/>
    <w:rsid w:val="004F6BCF"/>
    <w:rsid w:val="004F70ED"/>
    <w:rsid w:val="004F7267"/>
    <w:rsid w:val="004F7891"/>
    <w:rsid w:val="004F7C61"/>
    <w:rsid w:val="00500672"/>
    <w:rsid w:val="00501342"/>
    <w:rsid w:val="00501635"/>
    <w:rsid w:val="00501D1B"/>
    <w:rsid w:val="00501DA8"/>
    <w:rsid w:val="005023B3"/>
    <w:rsid w:val="00502428"/>
    <w:rsid w:val="005025A6"/>
    <w:rsid w:val="005029B2"/>
    <w:rsid w:val="00504028"/>
    <w:rsid w:val="00504C5E"/>
    <w:rsid w:val="0050539E"/>
    <w:rsid w:val="005054C1"/>
    <w:rsid w:val="0050551B"/>
    <w:rsid w:val="00506B3B"/>
    <w:rsid w:val="00507120"/>
    <w:rsid w:val="00507514"/>
    <w:rsid w:val="00507575"/>
    <w:rsid w:val="005102CE"/>
    <w:rsid w:val="00510532"/>
    <w:rsid w:val="00510F77"/>
    <w:rsid w:val="005111B9"/>
    <w:rsid w:val="005111E7"/>
    <w:rsid w:val="00511883"/>
    <w:rsid w:val="00511A97"/>
    <w:rsid w:val="00512221"/>
    <w:rsid w:val="0051250C"/>
    <w:rsid w:val="005129F3"/>
    <w:rsid w:val="0051321C"/>
    <w:rsid w:val="00513534"/>
    <w:rsid w:val="00513D70"/>
    <w:rsid w:val="00513E57"/>
    <w:rsid w:val="0051474B"/>
    <w:rsid w:val="00514E83"/>
    <w:rsid w:val="00514F7B"/>
    <w:rsid w:val="00515018"/>
    <w:rsid w:val="0051541E"/>
    <w:rsid w:val="00515547"/>
    <w:rsid w:val="00515A02"/>
    <w:rsid w:val="00515B3A"/>
    <w:rsid w:val="00515E2B"/>
    <w:rsid w:val="00516311"/>
    <w:rsid w:val="005172C3"/>
    <w:rsid w:val="00517649"/>
    <w:rsid w:val="005203C7"/>
    <w:rsid w:val="0052045C"/>
    <w:rsid w:val="00520A2F"/>
    <w:rsid w:val="00521553"/>
    <w:rsid w:val="00521BD6"/>
    <w:rsid w:val="00521D74"/>
    <w:rsid w:val="00522106"/>
    <w:rsid w:val="00522AC3"/>
    <w:rsid w:val="00522BDD"/>
    <w:rsid w:val="00522E80"/>
    <w:rsid w:val="0052338F"/>
    <w:rsid w:val="00523B53"/>
    <w:rsid w:val="00524543"/>
    <w:rsid w:val="00524AF0"/>
    <w:rsid w:val="00525479"/>
    <w:rsid w:val="0052563E"/>
    <w:rsid w:val="00526B75"/>
    <w:rsid w:val="00527003"/>
    <w:rsid w:val="00527ECA"/>
    <w:rsid w:val="00530135"/>
    <w:rsid w:val="00530143"/>
    <w:rsid w:val="00530332"/>
    <w:rsid w:val="00530A3E"/>
    <w:rsid w:val="00531C30"/>
    <w:rsid w:val="0053224C"/>
    <w:rsid w:val="0053244C"/>
    <w:rsid w:val="005324CB"/>
    <w:rsid w:val="00532B57"/>
    <w:rsid w:val="00532B7D"/>
    <w:rsid w:val="00533621"/>
    <w:rsid w:val="00533BA7"/>
    <w:rsid w:val="00533E54"/>
    <w:rsid w:val="0053457A"/>
    <w:rsid w:val="005345D5"/>
    <w:rsid w:val="00534605"/>
    <w:rsid w:val="00534A81"/>
    <w:rsid w:val="005355BB"/>
    <w:rsid w:val="005357A0"/>
    <w:rsid w:val="00537099"/>
    <w:rsid w:val="00537576"/>
    <w:rsid w:val="0053767F"/>
    <w:rsid w:val="0054112D"/>
    <w:rsid w:val="005411D9"/>
    <w:rsid w:val="00541262"/>
    <w:rsid w:val="005416B7"/>
    <w:rsid w:val="00541FC0"/>
    <w:rsid w:val="00542368"/>
    <w:rsid w:val="0054273C"/>
    <w:rsid w:val="00542E1C"/>
    <w:rsid w:val="00543036"/>
    <w:rsid w:val="005435B0"/>
    <w:rsid w:val="00543648"/>
    <w:rsid w:val="005438CD"/>
    <w:rsid w:val="00544200"/>
    <w:rsid w:val="0054455C"/>
    <w:rsid w:val="005445B7"/>
    <w:rsid w:val="0054558D"/>
    <w:rsid w:val="005455DB"/>
    <w:rsid w:val="0054566E"/>
    <w:rsid w:val="00545B4B"/>
    <w:rsid w:val="00545BA7"/>
    <w:rsid w:val="00546206"/>
    <w:rsid w:val="00547539"/>
    <w:rsid w:val="005477DF"/>
    <w:rsid w:val="00550329"/>
    <w:rsid w:val="005508E2"/>
    <w:rsid w:val="00550FD6"/>
    <w:rsid w:val="0055125E"/>
    <w:rsid w:val="00552EA1"/>
    <w:rsid w:val="0055306B"/>
    <w:rsid w:val="005537E6"/>
    <w:rsid w:val="00553A1D"/>
    <w:rsid w:val="00553F4A"/>
    <w:rsid w:val="00554040"/>
    <w:rsid w:val="0055443A"/>
    <w:rsid w:val="0055494A"/>
    <w:rsid w:val="0055540E"/>
    <w:rsid w:val="005554BC"/>
    <w:rsid w:val="00555EC6"/>
    <w:rsid w:val="005564DA"/>
    <w:rsid w:val="00556605"/>
    <w:rsid w:val="005577BB"/>
    <w:rsid w:val="00557FCB"/>
    <w:rsid w:val="00560242"/>
    <w:rsid w:val="0056057F"/>
    <w:rsid w:val="00560D82"/>
    <w:rsid w:val="005613E6"/>
    <w:rsid w:val="005617BC"/>
    <w:rsid w:val="00561EBA"/>
    <w:rsid w:val="005629A3"/>
    <w:rsid w:val="00563300"/>
    <w:rsid w:val="0056337D"/>
    <w:rsid w:val="00563766"/>
    <w:rsid w:val="0056401F"/>
    <w:rsid w:val="005640AF"/>
    <w:rsid w:val="00564263"/>
    <w:rsid w:val="00564E64"/>
    <w:rsid w:val="00565AA4"/>
    <w:rsid w:val="00565E3A"/>
    <w:rsid w:val="00566290"/>
    <w:rsid w:val="0056632F"/>
    <w:rsid w:val="005666CA"/>
    <w:rsid w:val="005667D3"/>
    <w:rsid w:val="0056761B"/>
    <w:rsid w:val="0056763E"/>
    <w:rsid w:val="00567914"/>
    <w:rsid w:val="00567B2C"/>
    <w:rsid w:val="00567B42"/>
    <w:rsid w:val="00567C19"/>
    <w:rsid w:val="005705D1"/>
    <w:rsid w:val="00570B5A"/>
    <w:rsid w:val="00570C2E"/>
    <w:rsid w:val="00571245"/>
    <w:rsid w:val="00571676"/>
    <w:rsid w:val="005716E5"/>
    <w:rsid w:val="00571AA1"/>
    <w:rsid w:val="00571E86"/>
    <w:rsid w:val="005726C4"/>
    <w:rsid w:val="0057271B"/>
    <w:rsid w:val="00572E58"/>
    <w:rsid w:val="005745B0"/>
    <w:rsid w:val="00574E31"/>
    <w:rsid w:val="005754E9"/>
    <w:rsid w:val="00575E8A"/>
    <w:rsid w:val="00576377"/>
    <w:rsid w:val="0057658A"/>
    <w:rsid w:val="005765ED"/>
    <w:rsid w:val="0057682C"/>
    <w:rsid w:val="00576E46"/>
    <w:rsid w:val="00576E50"/>
    <w:rsid w:val="005776DE"/>
    <w:rsid w:val="005779ED"/>
    <w:rsid w:val="00577DAA"/>
    <w:rsid w:val="00580560"/>
    <w:rsid w:val="00580ED8"/>
    <w:rsid w:val="00581543"/>
    <w:rsid w:val="00581688"/>
    <w:rsid w:val="00582250"/>
    <w:rsid w:val="00583A73"/>
    <w:rsid w:val="0058411D"/>
    <w:rsid w:val="00585677"/>
    <w:rsid w:val="00585A45"/>
    <w:rsid w:val="00585B42"/>
    <w:rsid w:val="00585E88"/>
    <w:rsid w:val="0058667C"/>
    <w:rsid w:val="00586FC5"/>
    <w:rsid w:val="005874AA"/>
    <w:rsid w:val="00587E48"/>
    <w:rsid w:val="00590573"/>
    <w:rsid w:val="00591122"/>
    <w:rsid w:val="00591603"/>
    <w:rsid w:val="00592AA4"/>
    <w:rsid w:val="00593043"/>
    <w:rsid w:val="0059365E"/>
    <w:rsid w:val="005938AB"/>
    <w:rsid w:val="00593AD7"/>
    <w:rsid w:val="00593DAD"/>
    <w:rsid w:val="00594439"/>
    <w:rsid w:val="00594601"/>
    <w:rsid w:val="0059529C"/>
    <w:rsid w:val="00595608"/>
    <w:rsid w:val="00595AEF"/>
    <w:rsid w:val="005966E7"/>
    <w:rsid w:val="00596C12"/>
    <w:rsid w:val="00596D1E"/>
    <w:rsid w:val="00596F7E"/>
    <w:rsid w:val="005977A3"/>
    <w:rsid w:val="005A0745"/>
    <w:rsid w:val="005A083B"/>
    <w:rsid w:val="005A1328"/>
    <w:rsid w:val="005A1580"/>
    <w:rsid w:val="005A3154"/>
    <w:rsid w:val="005A31FB"/>
    <w:rsid w:val="005A3A29"/>
    <w:rsid w:val="005A3EC8"/>
    <w:rsid w:val="005A4052"/>
    <w:rsid w:val="005A512C"/>
    <w:rsid w:val="005A5188"/>
    <w:rsid w:val="005A52FE"/>
    <w:rsid w:val="005A54A3"/>
    <w:rsid w:val="005A60AF"/>
    <w:rsid w:val="005A6B7C"/>
    <w:rsid w:val="005A6B88"/>
    <w:rsid w:val="005B037E"/>
    <w:rsid w:val="005B0A69"/>
    <w:rsid w:val="005B0BD8"/>
    <w:rsid w:val="005B0FC9"/>
    <w:rsid w:val="005B1F91"/>
    <w:rsid w:val="005B2480"/>
    <w:rsid w:val="005B3B04"/>
    <w:rsid w:val="005B457E"/>
    <w:rsid w:val="005B48BE"/>
    <w:rsid w:val="005B4BCE"/>
    <w:rsid w:val="005B506D"/>
    <w:rsid w:val="005B5B2B"/>
    <w:rsid w:val="005B6000"/>
    <w:rsid w:val="005B657C"/>
    <w:rsid w:val="005B6936"/>
    <w:rsid w:val="005B6C93"/>
    <w:rsid w:val="005B6E45"/>
    <w:rsid w:val="005B6E7D"/>
    <w:rsid w:val="005B71DA"/>
    <w:rsid w:val="005B7E2C"/>
    <w:rsid w:val="005C05F5"/>
    <w:rsid w:val="005C0CF4"/>
    <w:rsid w:val="005C1033"/>
    <w:rsid w:val="005C1236"/>
    <w:rsid w:val="005C1C52"/>
    <w:rsid w:val="005C2276"/>
    <w:rsid w:val="005C2982"/>
    <w:rsid w:val="005C2AC8"/>
    <w:rsid w:val="005C2DCD"/>
    <w:rsid w:val="005C3DF5"/>
    <w:rsid w:val="005C4108"/>
    <w:rsid w:val="005C4966"/>
    <w:rsid w:val="005C4E5B"/>
    <w:rsid w:val="005C643C"/>
    <w:rsid w:val="005C6B80"/>
    <w:rsid w:val="005C6C7D"/>
    <w:rsid w:val="005C7429"/>
    <w:rsid w:val="005C7624"/>
    <w:rsid w:val="005D035B"/>
    <w:rsid w:val="005D066F"/>
    <w:rsid w:val="005D1B40"/>
    <w:rsid w:val="005D233A"/>
    <w:rsid w:val="005D25BA"/>
    <w:rsid w:val="005D29BB"/>
    <w:rsid w:val="005D29F5"/>
    <w:rsid w:val="005D2BD4"/>
    <w:rsid w:val="005D31EB"/>
    <w:rsid w:val="005D4657"/>
    <w:rsid w:val="005D4A62"/>
    <w:rsid w:val="005D54BC"/>
    <w:rsid w:val="005D63FE"/>
    <w:rsid w:val="005D65AB"/>
    <w:rsid w:val="005D67AB"/>
    <w:rsid w:val="005D6F74"/>
    <w:rsid w:val="005E0653"/>
    <w:rsid w:val="005E084C"/>
    <w:rsid w:val="005E09FC"/>
    <w:rsid w:val="005E0ADE"/>
    <w:rsid w:val="005E0BEE"/>
    <w:rsid w:val="005E1879"/>
    <w:rsid w:val="005E1DE2"/>
    <w:rsid w:val="005E2B60"/>
    <w:rsid w:val="005E2C2E"/>
    <w:rsid w:val="005E2D5A"/>
    <w:rsid w:val="005E32D7"/>
    <w:rsid w:val="005E33DA"/>
    <w:rsid w:val="005E351D"/>
    <w:rsid w:val="005E3CA0"/>
    <w:rsid w:val="005E3FEC"/>
    <w:rsid w:val="005E408A"/>
    <w:rsid w:val="005E438A"/>
    <w:rsid w:val="005E59B7"/>
    <w:rsid w:val="005E5F99"/>
    <w:rsid w:val="005E64DF"/>
    <w:rsid w:val="005E66D3"/>
    <w:rsid w:val="005E68E8"/>
    <w:rsid w:val="005E6CA0"/>
    <w:rsid w:val="005E7201"/>
    <w:rsid w:val="005E7774"/>
    <w:rsid w:val="005F0748"/>
    <w:rsid w:val="005F0831"/>
    <w:rsid w:val="005F090A"/>
    <w:rsid w:val="005F0D15"/>
    <w:rsid w:val="005F1265"/>
    <w:rsid w:val="005F1453"/>
    <w:rsid w:val="005F1763"/>
    <w:rsid w:val="005F1D0D"/>
    <w:rsid w:val="005F20D6"/>
    <w:rsid w:val="005F3A3E"/>
    <w:rsid w:val="005F3B34"/>
    <w:rsid w:val="005F427F"/>
    <w:rsid w:val="005F449B"/>
    <w:rsid w:val="005F472E"/>
    <w:rsid w:val="005F4CED"/>
    <w:rsid w:val="005F4FAC"/>
    <w:rsid w:val="005F5206"/>
    <w:rsid w:val="005F5366"/>
    <w:rsid w:val="005F589A"/>
    <w:rsid w:val="005F5A9C"/>
    <w:rsid w:val="005F5C1E"/>
    <w:rsid w:val="005F6890"/>
    <w:rsid w:val="005F6C10"/>
    <w:rsid w:val="005F7484"/>
    <w:rsid w:val="005F792B"/>
    <w:rsid w:val="00600052"/>
    <w:rsid w:val="006006A3"/>
    <w:rsid w:val="00601DB7"/>
    <w:rsid w:val="00602001"/>
    <w:rsid w:val="00602322"/>
    <w:rsid w:val="00602328"/>
    <w:rsid w:val="00602618"/>
    <w:rsid w:val="00603E82"/>
    <w:rsid w:val="00604A51"/>
    <w:rsid w:val="00604F40"/>
    <w:rsid w:val="00604FE6"/>
    <w:rsid w:val="006051D6"/>
    <w:rsid w:val="0060662D"/>
    <w:rsid w:val="0060721A"/>
    <w:rsid w:val="0060764F"/>
    <w:rsid w:val="00610474"/>
    <w:rsid w:val="006109A6"/>
    <w:rsid w:val="00610A13"/>
    <w:rsid w:val="00610E2F"/>
    <w:rsid w:val="00611496"/>
    <w:rsid w:val="0061159F"/>
    <w:rsid w:val="00611D25"/>
    <w:rsid w:val="00612ACD"/>
    <w:rsid w:val="00613705"/>
    <w:rsid w:val="006137C2"/>
    <w:rsid w:val="00613994"/>
    <w:rsid w:val="00614164"/>
    <w:rsid w:val="0061430B"/>
    <w:rsid w:val="0061456A"/>
    <w:rsid w:val="00614752"/>
    <w:rsid w:val="00615150"/>
    <w:rsid w:val="0061576E"/>
    <w:rsid w:val="00615901"/>
    <w:rsid w:val="00615E5C"/>
    <w:rsid w:val="0061686A"/>
    <w:rsid w:val="00617196"/>
    <w:rsid w:val="0061756E"/>
    <w:rsid w:val="00617CC1"/>
    <w:rsid w:val="0062089D"/>
    <w:rsid w:val="00620A2E"/>
    <w:rsid w:val="00620C1F"/>
    <w:rsid w:val="00621B45"/>
    <w:rsid w:val="00621E34"/>
    <w:rsid w:val="00621E7C"/>
    <w:rsid w:val="0062201D"/>
    <w:rsid w:val="006224D9"/>
    <w:rsid w:val="0062256D"/>
    <w:rsid w:val="00622BBD"/>
    <w:rsid w:val="00623133"/>
    <w:rsid w:val="00623A90"/>
    <w:rsid w:val="00623C2D"/>
    <w:rsid w:val="00623F77"/>
    <w:rsid w:val="00624611"/>
    <w:rsid w:val="0062768F"/>
    <w:rsid w:val="00627B40"/>
    <w:rsid w:val="006304A0"/>
    <w:rsid w:val="00630762"/>
    <w:rsid w:val="0063078C"/>
    <w:rsid w:val="006320E3"/>
    <w:rsid w:val="00632FA1"/>
    <w:rsid w:val="0063305E"/>
    <w:rsid w:val="00633A94"/>
    <w:rsid w:val="00634226"/>
    <w:rsid w:val="00634B64"/>
    <w:rsid w:val="00634C32"/>
    <w:rsid w:val="006350B7"/>
    <w:rsid w:val="00635B3F"/>
    <w:rsid w:val="00635C2C"/>
    <w:rsid w:val="00635CE7"/>
    <w:rsid w:val="00635D0A"/>
    <w:rsid w:val="006364C5"/>
    <w:rsid w:val="006365BE"/>
    <w:rsid w:val="00636AC8"/>
    <w:rsid w:val="0063712F"/>
    <w:rsid w:val="00637578"/>
    <w:rsid w:val="00640064"/>
    <w:rsid w:val="00641056"/>
    <w:rsid w:val="00641677"/>
    <w:rsid w:val="006418E5"/>
    <w:rsid w:val="00641FA3"/>
    <w:rsid w:val="006427BC"/>
    <w:rsid w:val="00642B3E"/>
    <w:rsid w:val="00642F25"/>
    <w:rsid w:val="00643094"/>
    <w:rsid w:val="0064330F"/>
    <w:rsid w:val="006438FE"/>
    <w:rsid w:val="00643B2C"/>
    <w:rsid w:val="00644E3B"/>
    <w:rsid w:val="0064546D"/>
    <w:rsid w:val="0064555A"/>
    <w:rsid w:val="00645C7D"/>
    <w:rsid w:val="00645EAF"/>
    <w:rsid w:val="006464CA"/>
    <w:rsid w:val="00646958"/>
    <w:rsid w:val="006469AA"/>
    <w:rsid w:val="00646B89"/>
    <w:rsid w:val="00646E14"/>
    <w:rsid w:val="0064728A"/>
    <w:rsid w:val="00647399"/>
    <w:rsid w:val="00647585"/>
    <w:rsid w:val="006476D8"/>
    <w:rsid w:val="00647753"/>
    <w:rsid w:val="0064795A"/>
    <w:rsid w:val="006513E3"/>
    <w:rsid w:val="006516FA"/>
    <w:rsid w:val="00651FBB"/>
    <w:rsid w:val="0065210C"/>
    <w:rsid w:val="006529C2"/>
    <w:rsid w:val="00652EE5"/>
    <w:rsid w:val="00653B87"/>
    <w:rsid w:val="00654E56"/>
    <w:rsid w:val="0065505A"/>
    <w:rsid w:val="0065588D"/>
    <w:rsid w:val="00655AB3"/>
    <w:rsid w:val="00656873"/>
    <w:rsid w:val="006569FC"/>
    <w:rsid w:val="00657F72"/>
    <w:rsid w:val="00657FC6"/>
    <w:rsid w:val="00660099"/>
    <w:rsid w:val="00661257"/>
    <w:rsid w:val="0066178B"/>
    <w:rsid w:val="00661F78"/>
    <w:rsid w:val="006624EB"/>
    <w:rsid w:val="0066268F"/>
    <w:rsid w:val="00662F41"/>
    <w:rsid w:val="006638FD"/>
    <w:rsid w:val="00663D9F"/>
    <w:rsid w:val="006640DE"/>
    <w:rsid w:val="0066545D"/>
    <w:rsid w:val="00665552"/>
    <w:rsid w:val="006655AE"/>
    <w:rsid w:val="006661DA"/>
    <w:rsid w:val="00666683"/>
    <w:rsid w:val="00666A14"/>
    <w:rsid w:val="00666A47"/>
    <w:rsid w:val="00666CBC"/>
    <w:rsid w:val="00666CDB"/>
    <w:rsid w:val="00671014"/>
    <w:rsid w:val="0067124D"/>
    <w:rsid w:val="00671A17"/>
    <w:rsid w:val="006726C9"/>
    <w:rsid w:val="006726D8"/>
    <w:rsid w:val="00672B46"/>
    <w:rsid w:val="00672D09"/>
    <w:rsid w:val="006730F4"/>
    <w:rsid w:val="00673875"/>
    <w:rsid w:val="00674214"/>
    <w:rsid w:val="0067447D"/>
    <w:rsid w:val="0067488B"/>
    <w:rsid w:val="006748B3"/>
    <w:rsid w:val="00674E8D"/>
    <w:rsid w:val="006758C4"/>
    <w:rsid w:val="0067616A"/>
    <w:rsid w:val="006762A7"/>
    <w:rsid w:val="00676692"/>
    <w:rsid w:val="00676D6C"/>
    <w:rsid w:val="00676DCE"/>
    <w:rsid w:val="00676EBA"/>
    <w:rsid w:val="00676F22"/>
    <w:rsid w:val="00676FCD"/>
    <w:rsid w:val="0067747E"/>
    <w:rsid w:val="00680319"/>
    <w:rsid w:val="00681619"/>
    <w:rsid w:val="006821DA"/>
    <w:rsid w:val="006826D1"/>
    <w:rsid w:val="006830E8"/>
    <w:rsid w:val="00683D91"/>
    <w:rsid w:val="00683DF3"/>
    <w:rsid w:val="00684A64"/>
    <w:rsid w:val="00685453"/>
    <w:rsid w:val="00685628"/>
    <w:rsid w:val="0068575A"/>
    <w:rsid w:val="006857CF"/>
    <w:rsid w:val="00686247"/>
    <w:rsid w:val="00686F4A"/>
    <w:rsid w:val="0068762E"/>
    <w:rsid w:val="00687C2E"/>
    <w:rsid w:val="00690687"/>
    <w:rsid w:val="00690698"/>
    <w:rsid w:val="0069144F"/>
    <w:rsid w:val="00691835"/>
    <w:rsid w:val="00691DBE"/>
    <w:rsid w:val="00691F52"/>
    <w:rsid w:val="006924E4"/>
    <w:rsid w:val="00692688"/>
    <w:rsid w:val="00692873"/>
    <w:rsid w:val="006936FC"/>
    <w:rsid w:val="00693D59"/>
    <w:rsid w:val="00695AEC"/>
    <w:rsid w:val="00695B75"/>
    <w:rsid w:val="00696509"/>
    <w:rsid w:val="00697802"/>
    <w:rsid w:val="00697967"/>
    <w:rsid w:val="00697F59"/>
    <w:rsid w:val="006A000C"/>
    <w:rsid w:val="006A0E64"/>
    <w:rsid w:val="006A1367"/>
    <w:rsid w:val="006A138F"/>
    <w:rsid w:val="006A1393"/>
    <w:rsid w:val="006A17E9"/>
    <w:rsid w:val="006A1899"/>
    <w:rsid w:val="006A18C3"/>
    <w:rsid w:val="006A2505"/>
    <w:rsid w:val="006A25C2"/>
    <w:rsid w:val="006A29FD"/>
    <w:rsid w:val="006A2D21"/>
    <w:rsid w:val="006A3788"/>
    <w:rsid w:val="006A39C4"/>
    <w:rsid w:val="006A3E09"/>
    <w:rsid w:val="006A4789"/>
    <w:rsid w:val="006A4FC4"/>
    <w:rsid w:val="006A51E4"/>
    <w:rsid w:val="006A5340"/>
    <w:rsid w:val="006A5528"/>
    <w:rsid w:val="006A56A9"/>
    <w:rsid w:val="006A572E"/>
    <w:rsid w:val="006A5B95"/>
    <w:rsid w:val="006A5F65"/>
    <w:rsid w:val="006A60C1"/>
    <w:rsid w:val="006A6295"/>
    <w:rsid w:val="006A6E4C"/>
    <w:rsid w:val="006A6E73"/>
    <w:rsid w:val="006A7110"/>
    <w:rsid w:val="006A733F"/>
    <w:rsid w:val="006A7CEB"/>
    <w:rsid w:val="006A7F1D"/>
    <w:rsid w:val="006B0362"/>
    <w:rsid w:val="006B04F0"/>
    <w:rsid w:val="006B0A52"/>
    <w:rsid w:val="006B0BFE"/>
    <w:rsid w:val="006B142D"/>
    <w:rsid w:val="006B1CFE"/>
    <w:rsid w:val="006B203E"/>
    <w:rsid w:val="006B2160"/>
    <w:rsid w:val="006B2640"/>
    <w:rsid w:val="006B2803"/>
    <w:rsid w:val="006B28EA"/>
    <w:rsid w:val="006B2C99"/>
    <w:rsid w:val="006B2DFC"/>
    <w:rsid w:val="006B2EF9"/>
    <w:rsid w:val="006B375C"/>
    <w:rsid w:val="006B3807"/>
    <w:rsid w:val="006B3940"/>
    <w:rsid w:val="006B50A7"/>
    <w:rsid w:val="006B5D4A"/>
    <w:rsid w:val="006B67E9"/>
    <w:rsid w:val="006B6BBE"/>
    <w:rsid w:val="006C06C2"/>
    <w:rsid w:val="006C083A"/>
    <w:rsid w:val="006C12BE"/>
    <w:rsid w:val="006C18A8"/>
    <w:rsid w:val="006C1E69"/>
    <w:rsid w:val="006C1F96"/>
    <w:rsid w:val="006C26DD"/>
    <w:rsid w:val="006C3DB4"/>
    <w:rsid w:val="006C3EC8"/>
    <w:rsid w:val="006C442F"/>
    <w:rsid w:val="006C4655"/>
    <w:rsid w:val="006C4858"/>
    <w:rsid w:val="006C5104"/>
    <w:rsid w:val="006C56F0"/>
    <w:rsid w:val="006C58A4"/>
    <w:rsid w:val="006C5E36"/>
    <w:rsid w:val="006C63E2"/>
    <w:rsid w:val="006C6421"/>
    <w:rsid w:val="006C6605"/>
    <w:rsid w:val="006C6709"/>
    <w:rsid w:val="006C6951"/>
    <w:rsid w:val="006C6F4B"/>
    <w:rsid w:val="006C79CC"/>
    <w:rsid w:val="006D0655"/>
    <w:rsid w:val="006D067E"/>
    <w:rsid w:val="006D09AA"/>
    <w:rsid w:val="006D0DB7"/>
    <w:rsid w:val="006D1B89"/>
    <w:rsid w:val="006D1EEB"/>
    <w:rsid w:val="006D230A"/>
    <w:rsid w:val="006D244E"/>
    <w:rsid w:val="006D273A"/>
    <w:rsid w:val="006D2BE8"/>
    <w:rsid w:val="006D30F2"/>
    <w:rsid w:val="006D3B65"/>
    <w:rsid w:val="006D4295"/>
    <w:rsid w:val="006D447B"/>
    <w:rsid w:val="006D4542"/>
    <w:rsid w:val="006D4784"/>
    <w:rsid w:val="006D48D1"/>
    <w:rsid w:val="006D4BCA"/>
    <w:rsid w:val="006D567A"/>
    <w:rsid w:val="006D584C"/>
    <w:rsid w:val="006D58AC"/>
    <w:rsid w:val="006D662A"/>
    <w:rsid w:val="006D6828"/>
    <w:rsid w:val="006D6E74"/>
    <w:rsid w:val="006D78E2"/>
    <w:rsid w:val="006D7F15"/>
    <w:rsid w:val="006E07A2"/>
    <w:rsid w:val="006E0A2E"/>
    <w:rsid w:val="006E0CA2"/>
    <w:rsid w:val="006E1C74"/>
    <w:rsid w:val="006E20B5"/>
    <w:rsid w:val="006E2BE7"/>
    <w:rsid w:val="006E3024"/>
    <w:rsid w:val="006E34CB"/>
    <w:rsid w:val="006E3781"/>
    <w:rsid w:val="006E430D"/>
    <w:rsid w:val="006E43D4"/>
    <w:rsid w:val="006E4400"/>
    <w:rsid w:val="006E54EC"/>
    <w:rsid w:val="006E58B5"/>
    <w:rsid w:val="006E5B59"/>
    <w:rsid w:val="006E6055"/>
    <w:rsid w:val="006E61C3"/>
    <w:rsid w:val="006E64A1"/>
    <w:rsid w:val="006E709D"/>
    <w:rsid w:val="006E7253"/>
    <w:rsid w:val="006E74C8"/>
    <w:rsid w:val="006E7B0A"/>
    <w:rsid w:val="006F01E3"/>
    <w:rsid w:val="006F04B0"/>
    <w:rsid w:val="006F21FE"/>
    <w:rsid w:val="006F252A"/>
    <w:rsid w:val="006F2E09"/>
    <w:rsid w:val="006F33F9"/>
    <w:rsid w:val="006F3B42"/>
    <w:rsid w:val="006F3FE5"/>
    <w:rsid w:val="006F46DE"/>
    <w:rsid w:val="006F48DA"/>
    <w:rsid w:val="006F4A35"/>
    <w:rsid w:val="006F4AAD"/>
    <w:rsid w:val="006F4ADB"/>
    <w:rsid w:val="006F4EFD"/>
    <w:rsid w:val="006F617C"/>
    <w:rsid w:val="006F6286"/>
    <w:rsid w:val="006F678D"/>
    <w:rsid w:val="006F6801"/>
    <w:rsid w:val="006F69D7"/>
    <w:rsid w:val="006F6A71"/>
    <w:rsid w:val="006F74BA"/>
    <w:rsid w:val="006F7D03"/>
    <w:rsid w:val="007007A7"/>
    <w:rsid w:val="00700909"/>
    <w:rsid w:val="00700C52"/>
    <w:rsid w:val="0070144F"/>
    <w:rsid w:val="00701D78"/>
    <w:rsid w:val="00702BF3"/>
    <w:rsid w:val="0070371F"/>
    <w:rsid w:val="007046D0"/>
    <w:rsid w:val="00704AA7"/>
    <w:rsid w:val="00704B2A"/>
    <w:rsid w:val="007050AF"/>
    <w:rsid w:val="007057BD"/>
    <w:rsid w:val="0070595E"/>
    <w:rsid w:val="00705F82"/>
    <w:rsid w:val="00706A3D"/>
    <w:rsid w:val="00706A6C"/>
    <w:rsid w:val="00706CB7"/>
    <w:rsid w:val="00706F26"/>
    <w:rsid w:val="00707C3D"/>
    <w:rsid w:val="00711032"/>
    <w:rsid w:val="00711303"/>
    <w:rsid w:val="00711DA0"/>
    <w:rsid w:val="007124AA"/>
    <w:rsid w:val="00712AA3"/>
    <w:rsid w:val="00712F1F"/>
    <w:rsid w:val="0071380D"/>
    <w:rsid w:val="0071450B"/>
    <w:rsid w:val="007145E1"/>
    <w:rsid w:val="00714928"/>
    <w:rsid w:val="0071527E"/>
    <w:rsid w:val="00715B8C"/>
    <w:rsid w:val="0071602F"/>
    <w:rsid w:val="0071636D"/>
    <w:rsid w:val="007163EF"/>
    <w:rsid w:val="00716516"/>
    <w:rsid w:val="00716E07"/>
    <w:rsid w:val="00716FE5"/>
    <w:rsid w:val="007174F1"/>
    <w:rsid w:val="0071757D"/>
    <w:rsid w:val="00720137"/>
    <w:rsid w:val="007203A1"/>
    <w:rsid w:val="00720D68"/>
    <w:rsid w:val="00720D7E"/>
    <w:rsid w:val="00721C9C"/>
    <w:rsid w:val="00721E1D"/>
    <w:rsid w:val="00722E49"/>
    <w:rsid w:val="00723A91"/>
    <w:rsid w:val="007240C0"/>
    <w:rsid w:val="00725C56"/>
    <w:rsid w:val="00726767"/>
    <w:rsid w:val="0072690F"/>
    <w:rsid w:val="007274A2"/>
    <w:rsid w:val="007301BD"/>
    <w:rsid w:val="0073081E"/>
    <w:rsid w:val="00730926"/>
    <w:rsid w:val="007313F2"/>
    <w:rsid w:val="007314C7"/>
    <w:rsid w:val="007320AC"/>
    <w:rsid w:val="00732B0C"/>
    <w:rsid w:val="00732D2E"/>
    <w:rsid w:val="00732DDA"/>
    <w:rsid w:val="00732F41"/>
    <w:rsid w:val="00734190"/>
    <w:rsid w:val="00734F86"/>
    <w:rsid w:val="007353D6"/>
    <w:rsid w:val="00735E65"/>
    <w:rsid w:val="00736960"/>
    <w:rsid w:val="00736C4A"/>
    <w:rsid w:val="00737B4A"/>
    <w:rsid w:val="00740494"/>
    <w:rsid w:val="00740742"/>
    <w:rsid w:val="007407BC"/>
    <w:rsid w:val="00741CF8"/>
    <w:rsid w:val="00742629"/>
    <w:rsid w:val="0074360C"/>
    <w:rsid w:val="00743BE6"/>
    <w:rsid w:val="00744A23"/>
    <w:rsid w:val="00744AF8"/>
    <w:rsid w:val="00744F1C"/>
    <w:rsid w:val="00744F5E"/>
    <w:rsid w:val="00745023"/>
    <w:rsid w:val="0074551D"/>
    <w:rsid w:val="00745607"/>
    <w:rsid w:val="00745871"/>
    <w:rsid w:val="00746326"/>
    <w:rsid w:val="0074656D"/>
    <w:rsid w:val="00746BDD"/>
    <w:rsid w:val="007506B8"/>
    <w:rsid w:val="00750CD6"/>
    <w:rsid w:val="007512E0"/>
    <w:rsid w:val="00751425"/>
    <w:rsid w:val="007517A4"/>
    <w:rsid w:val="00752849"/>
    <w:rsid w:val="00752A44"/>
    <w:rsid w:val="00752DCE"/>
    <w:rsid w:val="007530D2"/>
    <w:rsid w:val="00753467"/>
    <w:rsid w:val="007539FC"/>
    <w:rsid w:val="00753CDC"/>
    <w:rsid w:val="00754197"/>
    <w:rsid w:val="00754290"/>
    <w:rsid w:val="00754F8A"/>
    <w:rsid w:val="00755092"/>
    <w:rsid w:val="0075555D"/>
    <w:rsid w:val="00755A4C"/>
    <w:rsid w:val="00755CEE"/>
    <w:rsid w:val="00755ECF"/>
    <w:rsid w:val="00756427"/>
    <w:rsid w:val="00756723"/>
    <w:rsid w:val="00756879"/>
    <w:rsid w:val="007602B0"/>
    <w:rsid w:val="00760A97"/>
    <w:rsid w:val="00761263"/>
    <w:rsid w:val="0076141C"/>
    <w:rsid w:val="00761E03"/>
    <w:rsid w:val="00761EF1"/>
    <w:rsid w:val="007621FE"/>
    <w:rsid w:val="007625B8"/>
    <w:rsid w:val="00763403"/>
    <w:rsid w:val="00763F5C"/>
    <w:rsid w:val="007643E5"/>
    <w:rsid w:val="00764579"/>
    <w:rsid w:val="007647CE"/>
    <w:rsid w:val="007660F6"/>
    <w:rsid w:val="0076723E"/>
    <w:rsid w:val="00767905"/>
    <w:rsid w:val="00767BF3"/>
    <w:rsid w:val="00767EC3"/>
    <w:rsid w:val="00767FDA"/>
    <w:rsid w:val="007700F9"/>
    <w:rsid w:val="007701C1"/>
    <w:rsid w:val="007701CE"/>
    <w:rsid w:val="007707E8"/>
    <w:rsid w:val="00770EEB"/>
    <w:rsid w:val="00771635"/>
    <w:rsid w:val="00772346"/>
    <w:rsid w:val="00772479"/>
    <w:rsid w:val="007725F3"/>
    <w:rsid w:val="00772616"/>
    <w:rsid w:val="00772A01"/>
    <w:rsid w:val="00773032"/>
    <w:rsid w:val="007743CB"/>
    <w:rsid w:val="00774D0B"/>
    <w:rsid w:val="00774FB8"/>
    <w:rsid w:val="00775F10"/>
    <w:rsid w:val="00776100"/>
    <w:rsid w:val="00776936"/>
    <w:rsid w:val="0077758C"/>
    <w:rsid w:val="007802C4"/>
    <w:rsid w:val="00780372"/>
    <w:rsid w:val="00780E82"/>
    <w:rsid w:val="007812FD"/>
    <w:rsid w:val="00782187"/>
    <w:rsid w:val="0078225E"/>
    <w:rsid w:val="0078316D"/>
    <w:rsid w:val="007833E2"/>
    <w:rsid w:val="00783432"/>
    <w:rsid w:val="00783C5D"/>
    <w:rsid w:val="00784188"/>
    <w:rsid w:val="00784717"/>
    <w:rsid w:val="00784E46"/>
    <w:rsid w:val="00785565"/>
    <w:rsid w:val="00786F94"/>
    <w:rsid w:val="0078702D"/>
    <w:rsid w:val="0078772A"/>
    <w:rsid w:val="00787921"/>
    <w:rsid w:val="007879F8"/>
    <w:rsid w:val="00790363"/>
    <w:rsid w:val="007906E7"/>
    <w:rsid w:val="00790D66"/>
    <w:rsid w:val="007912EF"/>
    <w:rsid w:val="007919FC"/>
    <w:rsid w:val="00791F11"/>
    <w:rsid w:val="00791FBF"/>
    <w:rsid w:val="00792182"/>
    <w:rsid w:val="007925F3"/>
    <w:rsid w:val="00792C3F"/>
    <w:rsid w:val="00793310"/>
    <w:rsid w:val="007936D9"/>
    <w:rsid w:val="0079389D"/>
    <w:rsid w:val="00793B26"/>
    <w:rsid w:val="007940A4"/>
    <w:rsid w:val="007944ED"/>
    <w:rsid w:val="0079463C"/>
    <w:rsid w:val="0079472F"/>
    <w:rsid w:val="007948EA"/>
    <w:rsid w:val="00794BA8"/>
    <w:rsid w:val="00795356"/>
    <w:rsid w:val="00795938"/>
    <w:rsid w:val="00795BD6"/>
    <w:rsid w:val="00796C5C"/>
    <w:rsid w:val="007973CD"/>
    <w:rsid w:val="00797A09"/>
    <w:rsid w:val="007A03BC"/>
    <w:rsid w:val="007A1873"/>
    <w:rsid w:val="007A1D7D"/>
    <w:rsid w:val="007A256A"/>
    <w:rsid w:val="007A2E67"/>
    <w:rsid w:val="007A2FCA"/>
    <w:rsid w:val="007A3166"/>
    <w:rsid w:val="007A34D1"/>
    <w:rsid w:val="007A3524"/>
    <w:rsid w:val="007A3B71"/>
    <w:rsid w:val="007A4453"/>
    <w:rsid w:val="007A455F"/>
    <w:rsid w:val="007A457B"/>
    <w:rsid w:val="007A4583"/>
    <w:rsid w:val="007A5194"/>
    <w:rsid w:val="007A59C5"/>
    <w:rsid w:val="007A5A49"/>
    <w:rsid w:val="007A5CFA"/>
    <w:rsid w:val="007A60C4"/>
    <w:rsid w:val="007A6297"/>
    <w:rsid w:val="007A674F"/>
    <w:rsid w:val="007A6767"/>
    <w:rsid w:val="007A6CC8"/>
    <w:rsid w:val="007A7337"/>
    <w:rsid w:val="007A7579"/>
    <w:rsid w:val="007B15C6"/>
    <w:rsid w:val="007B166A"/>
    <w:rsid w:val="007B1D43"/>
    <w:rsid w:val="007B1E79"/>
    <w:rsid w:val="007B23BC"/>
    <w:rsid w:val="007B2E11"/>
    <w:rsid w:val="007B35AA"/>
    <w:rsid w:val="007B36D8"/>
    <w:rsid w:val="007B3AAB"/>
    <w:rsid w:val="007B416B"/>
    <w:rsid w:val="007B427C"/>
    <w:rsid w:val="007B48CD"/>
    <w:rsid w:val="007B4A20"/>
    <w:rsid w:val="007B5061"/>
    <w:rsid w:val="007B54AD"/>
    <w:rsid w:val="007B6229"/>
    <w:rsid w:val="007B6960"/>
    <w:rsid w:val="007B74ED"/>
    <w:rsid w:val="007B781C"/>
    <w:rsid w:val="007B781D"/>
    <w:rsid w:val="007C0E09"/>
    <w:rsid w:val="007C1173"/>
    <w:rsid w:val="007C1410"/>
    <w:rsid w:val="007C161D"/>
    <w:rsid w:val="007C16CD"/>
    <w:rsid w:val="007C177D"/>
    <w:rsid w:val="007C17D7"/>
    <w:rsid w:val="007C1B6D"/>
    <w:rsid w:val="007C1F4A"/>
    <w:rsid w:val="007C2077"/>
    <w:rsid w:val="007C2B13"/>
    <w:rsid w:val="007C2F5C"/>
    <w:rsid w:val="007C31D4"/>
    <w:rsid w:val="007C3470"/>
    <w:rsid w:val="007C4583"/>
    <w:rsid w:val="007C45BD"/>
    <w:rsid w:val="007C4876"/>
    <w:rsid w:val="007C4E58"/>
    <w:rsid w:val="007C5D54"/>
    <w:rsid w:val="007C5DAD"/>
    <w:rsid w:val="007C61CE"/>
    <w:rsid w:val="007C7920"/>
    <w:rsid w:val="007D037E"/>
    <w:rsid w:val="007D0C96"/>
    <w:rsid w:val="007D232C"/>
    <w:rsid w:val="007D2520"/>
    <w:rsid w:val="007D27F9"/>
    <w:rsid w:val="007D36F1"/>
    <w:rsid w:val="007D40A0"/>
    <w:rsid w:val="007D413C"/>
    <w:rsid w:val="007D508C"/>
    <w:rsid w:val="007D5275"/>
    <w:rsid w:val="007D5397"/>
    <w:rsid w:val="007D5D38"/>
    <w:rsid w:val="007D7453"/>
    <w:rsid w:val="007D7BF6"/>
    <w:rsid w:val="007D7C77"/>
    <w:rsid w:val="007D7F20"/>
    <w:rsid w:val="007D7FB8"/>
    <w:rsid w:val="007E0091"/>
    <w:rsid w:val="007E0247"/>
    <w:rsid w:val="007E0BB1"/>
    <w:rsid w:val="007E0C7A"/>
    <w:rsid w:val="007E1003"/>
    <w:rsid w:val="007E115D"/>
    <w:rsid w:val="007E1C27"/>
    <w:rsid w:val="007E1E43"/>
    <w:rsid w:val="007E1FDE"/>
    <w:rsid w:val="007E2122"/>
    <w:rsid w:val="007E2545"/>
    <w:rsid w:val="007E2A5E"/>
    <w:rsid w:val="007E2B2A"/>
    <w:rsid w:val="007E491F"/>
    <w:rsid w:val="007E4C5E"/>
    <w:rsid w:val="007E52BA"/>
    <w:rsid w:val="007E54BF"/>
    <w:rsid w:val="007E54C5"/>
    <w:rsid w:val="007E5AE9"/>
    <w:rsid w:val="007E5C38"/>
    <w:rsid w:val="007E60F3"/>
    <w:rsid w:val="007E6547"/>
    <w:rsid w:val="007E66AB"/>
    <w:rsid w:val="007E6B89"/>
    <w:rsid w:val="007E6C2A"/>
    <w:rsid w:val="007E708E"/>
    <w:rsid w:val="007E7444"/>
    <w:rsid w:val="007E769D"/>
    <w:rsid w:val="007E77BB"/>
    <w:rsid w:val="007E780A"/>
    <w:rsid w:val="007E7D17"/>
    <w:rsid w:val="007E7D7A"/>
    <w:rsid w:val="007F00D7"/>
    <w:rsid w:val="007F00DD"/>
    <w:rsid w:val="007F1222"/>
    <w:rsid w:val="007F168C"/>
    <w:rsid w:val="007F1713"/>
    <w:rsid w:val="007F1937"/>
    <w:rsid w:val="007F1A2B"/>
    <w:rsid w:val="007F1F45"/>
    <w:rsid w:val="007F1F55"/>
    <w:rsid w:val="007F26ED"/>
    <w:rsid w:val="007F291B"/>
    <w:rsid w:val="007F2AAF"/>
    <w:rsid w:val="007F2CEA"/>
    <w:rsid w:val="007F31FE"/>
    <w:rsid w:val="007F3409"/>
    <w:rsid w:val="007F3936"/>
    <w:rsid w:val="007F3AD9"/>
    <w:rsid w:val="007F3FAC"/>
    <w:rsid w:val="007F3FCE"/>
    <w:rsid w:val="007F443E"/>
    <w:rsid w:val="007F4B44"/>
    <w:rsid w:val="007F4CBB"/>
    <w:rsid w:val="007F4E52"/>
    <w:rsid w:val="007F5539"/>
    <w:rsid w:val="007F63C0"/>
    <w:rsid w:val="007F6CF4"/>
    <w:rsid w:val="007F6D18"/>
    <w:rsid w:val="007F70B7"/>
    <w:rsid w:val="007F7185"/>
    <w:rsid w:val="007F7924"/>
    <w:rsid w:val="007F7AA7"/>
    <w:rsid w:val="007F7E2E"/>
    <w:rsid w:val="00800875"/>
    <w:rsid w:val="008008CC"/>
    <w:rsid w:val="008010CC"/>
    <w:rsid w:val="00801745"/>
    <w:rsid w:val="008017FB"/>
    <w:rsid w:val="00801B5D"/>
    <w:rsid w:val="00801DAB"/>
    <w:rsid w:val="0080202B"/>
    <w:rsid w:val="00802546"/>
    <w:rsid w:val="00802E37"/>
    <w:rsid w:val="008033A8"/>
    <w:rsid w:val="00803456"/>
    <w:rsid w:val="0080359A"/>
    <w:rsid w:val="00803B9B"/>
    <w:rsid w:val="00803E39"/>
    <w:rsid w:val="008040F0"/>
    <w:rsid w:val="00804834"/>
    <w:rsid w:val="00804AE8"/>
    <w:rsid w:val="00804E2A"/>
    <w:rsid w:val="008052C0"/>
    <w:rsid w:val="008053B9"/>
    <w:rsid w:val="0080543C"/>
    <w:rsid w:val="00805B0A"/>
    <w:rsid w:val="00806409"/>
    <w:rsid w:val="00806663"/>
    <w:rsid w:val="00806BEE"/>
    <w:rsid w:val="00806FAB"/>
    <w:rsid w:val="00807415"/>
    <w:rsid w:val="00811078"/>
    <w:rsid w:val="00811387"/>
    <w:rsid w:val="008115AF"/>
    <w:rsid w:val="008116A2"/>
    <w:rsid w:val="00811843"/>
    <w:rsid w:val="00813018"/>
    <w:rsid w:val="00813191"/>
    <w:rsid w:val="0081429A"/>
    <w:rsid w:val="008143AF"/>
    <w:rsid w:val="008143B9"/>
    <w:rsid w:val="0081562C"/>
    <w:rsid w:val="00815ED9"/>
    <w:rsid w:val="008162C3"/>
    <w:rsid w:val="00816A19"/>
    <w:rsid w:val="00817C7D"/>
    <w:rsid w:val="0082027D"/>
    <w:rsid w:val="00820A18"/>
    <w:rsid w:val="00820B28"/>
    <w:rsid w:val="0082134A"/>
    <w:rsid w:val="008217AD"/>
    <w:rsid w:val="00821B51"/>
    <w:rsid w:val="00822250"/>
    <w:rsid w:val="0082271F"/>
    <w:rsid w:val="0082279B"/>
    <w:rsid w:val="00822DF4"/>
    <w:rsid w:val="0082322D"/>
    <w:rsid w:val="00823B06"/>
    <w:rsid w:val="00825A86"/>
    <w:rsid w:val="00825EE4"/>
    <w:rsid w:val="00826E3C"/>
    <w:rsid w:val="00826F77"/>
    <w:rsid w:val="00827600"/>
    <w:rsid w:val="00827C39"/>
    <w:rsid w:val="008300EC"/>
    <w:rsid w:val="00830F4B"/>
    <w:rsid w:val="00832390"/>
    <w:rsid w:val="0083315C"/>
    <w:rsid w:val="0083350B"/>
    <w:rsid w:val="00833B56"/>
    <w:rsid w:val="00833D8D"/>
    <w:rsid w:val="00833E83"/>
    <w:rsid w:val="00833F53"/>
    <w:rsid w:val="0083439A"/>
    <w:rsid w:val="00834401"/>
    <w:rsid w:val="00834CFC"/>
    <w:rsid w:val="0083577A"/>
    <w:rsid w:val="00835973"/>
    <w:rsid w:val="008359A1"/>
    <w:rsid w:val="00836825"/>
    <w:rsid w:val="00836939"/>
    <w:rsid w:val="008369CD"/>
    <w:rsid w:val="00840810"/>
    <w:rsid w:val="0084085B"/>
    <w:rsid w:val="008412D0"/>
    <w:rsid w:val="00841A2F"/>
    <w:rsid w:val="00842942"/>
    <w:rsid w:val="00845023"/>
    <w:rsid w:val="00845114"/>
    <w:rsid w:val="0084522A"/>
    <w:rsid w:val="0084534E"/>
    <w:rsid w:val="00845388"/>
    <w:rsid w:val="0084563E"/>
    <w:rsid w:val="0084656F"/>
    <w:rsid w:val="00846939"/>
    <w:rsid w:val="0084698C"/>
    <w:rsid w:val="00846C9D"/>
    <w:rsid w:val="00846E5A"/>
    <w:rsid w:val="00847835"/>
    <w:rsid w:val="008478E3"/>
    <w:rsid w:val="00847E49"/>
    <w:rsid w:val="00850496"/>
    <w:rsid w:val="00850524"/>
    <w:rsid w:val="00850982"/>
    <w:rsid w:val="00850D37"/>
    <w:rsid w:val="00850E45"/>
    <w:rsid w:val="008515F5"/>
    <w:rsid w:val="0085247D"/>
    <w:rsid w:val="008527EA"/>
    <w:rsid w:val="00853178"/>
    <w:rsid w:val="00853335"/>
    <w:rsid w:val="00855160"/>
    <w:rsid w:val="00855234"/>
    <w:rsid w:val="00855264"/>
    <w:rsid w:val="00855BFF"/>
    <w:rsid w:val="00855C3B"/>
    <w:rsid w:val="00855D92"/>
    <w:rsid w:val="008563FD"/>
    <w:rsid w:val="0085678C"/>
    <w:rsid w:val="008570B2"/>
    <w:rsid w:val="00857BC5"/>
    <w:rsid w:val="008602E3"/>
    <w:rsid w:val="0086071B"/>
    <w:rsid w:val="00860CE6"/>
    <w:rsid w:val="00861494"/>
    <w:rsid w:val="00861559"/>
    <w:rsid w:val="00863517"/>
    <w:rsid w:val="00863B3E"/>
    <w:rsid w:val="00863D84"/>
    <w:rsid w:val="00863EC9"/>
    <w:rsid w:val="00864236"/>
    <w:rsid w:val="00864850"/>
    <w:rsid w:val="00864F6A"/>
    <w:rsid w:val="0086518E"/>
    <w:rsid w:val="0086520C"/>
    <w:rsid w:val="00865E3B"/>
    <w:rsid w:val="00865FC1"/>
    <w:rsid w:val="00866CF5"/>
    <w:rsid w:val="008677BD"/>
    <w:rsid w:val="00867957"/>
    <w:rsid w:val="008679B1"/>
    <w:rsid w:val="00867FA7"/>
    <w:rsid w:val="0087048F"/>
    <w:rsid w:val="008705FB"/>
    <w:rsid w:val="0087171C"/>
    <w:rsid w:val="0087341A"/>
    <w:rsid w:val="008742F1"/>
    <w:rsid w:val="00874DE6"/>
    <w:rsid w:val="00875468"/>
    <w:rsid w:val="0087572E"/>
    <w:rsid w:val="00875E47"/>
    <w:rsid w:val="00876192"/>
    <w:rsid w:val="00876C15"/>
    <w:rsid w:val="00876D8F"/>
    <w:rsid w:val="00877243"/>
    <w:rsid w:val="00877455"/>
    <w:rsid w:val="00877FCA"/>
    <w:rsid w:val="00880C98"/>
    <w:rsid w:val="0088104E"/>
    <w:rsid w:val="0088115A"/>
    <w:rsid w:val="008811D6"/>
    <w:rsid w:val="00881D9D"/>
    <w:rsid w:val="008821C0"/>
    <w:rsid w:val="008822F3"/>
    <w:rsid w:val="0088231F"/>
    <w:rsid w:val="00882A58"/>
    <w:rsid w:val="00882DAD"/>
    <w:rsid w:val="00883636"/>
    <w:rsid w:val="00883A31"/>
    <w:rsid w:val="00884217"/>
    <w:rsid w:val="00884361"/>
    <w:rsid w:val="00884877"/>
    <w:rsid w:val="008851B4"/>
    <w:rsid w:val="0088533F"/>
    <w:rsid w:val="0088577E"/>
    <w:rsid w:val="0088737D"/>
    <w:rsid w:val="008873D4"/>
    <w:rsid w:val="00887A51"/>
    <w:rsid w:val="00887C5A"/>
    <w:rsid w:val="008901C4"/>
    <w:rsid w:val="008905F5"/>
    <w:rsid w:val="00890AA7"/>
    <w:rsid w:val="0089105E"/>
    <w:rsid w:val="008910B0"/>
    <w:rsid w:val="008914CB"/>
    <w:rsid w:val="0089157F"/>
    <w:rsid w:val="00891904"/>
    <w:rsid w:val="00891DA9"/>
    <w:rsid w:val="00891FA2"/>
    <w:rsid w:val="00891FB9"/>
    <w:rsid w:val="00892115"/>
    <w:rsid w:val="00892EB2"/>
    <w:rsid w:val="00893C66"/>
    <w:rsid w:val="00894452"/>
    <w:rsid w:val="008944CA"/>
    <w:rsid w:val="008946E0"/>
    <w:rsid w:val="008956B7"/>
    <w:rsid w:val="00895FA2"/>
    <w:rsid w:val="00896124"/>
    <w:rsid w:val="00896AB7"/>
    <w:rsid w:val="00896AFF"/>
    <w:rsid w:val="00896E04"/>
    <w:rsid w:val="00897049"/>
    <w:rsid w:val="008971DD"/>
    <w:rsid w:val="0089766D"/>
    <w:rsid w:val="00897793"/>
    <w:rsid w:val="0089780E"/>
    <w:rsid w:val="00897FB7"/>
    <w:rsid w:val="008A0299"/>
    <w:rsid w:val="008A04AE"/>
    <w:rsid w:val="008A0C77"/>
    <w:rsid w:val="008A1374"/>
    <w:rsid w:val="008A158A"/>
    <w:rsid w:val="008A1A91"/>
    <w:rsid w:val="008A226C"/>
    <w:rsid w:val="008A2590"/>
    <w:rsid w:val="008A261E"/>
    <w:rsid w:val="008A2E1B"/>
    <w:rsid w:val="008A31C3"/>
    <w:rsid w:val="008A41B3"/>
    <w:rsid w:val="008A46C1"/>
    <w:rsid w:val="008A4726"/>
    <w:rsid w:val="008A4DCD"/>
    <w:rsid w:val="008A58A6"/>
    <w:rsid w:val="008A5BFD"/>
    <w:rsid w:val="008A5C21"/>
    <w:rsid w:val="008A5CE9"/>
    <w:rsid w:val="008A68D4"/>
    <w:rsid w:val="008A730D"/>
    <w:rsid w:val="008A7B5F"/>
    <w:rsid w:val="008B08E9"/>
    <w:rsid w:val="008B0DA6"/>
    <w:rsid w:val="008B2EDA"/>
    <w:rsid w:val="008B2F6B"/>
    <w:rsid w:val="008B30E9"/>
    <w:rsid w:val="008B376E"/>
    <w:rsid w:val="008B3FF6"/>
    <w:rsid w:val="008B4018"/>
    <w:rsid w:val="008B40BE"/>
    <w:rsid w:val="008B4CF4"/>
    <w:rsid w:val="008B5865"/>
    <w:rsid w:val="008B5AAA"/>
    <w:rsid w:val="008B632E"/>
    <w:rsid w:val="008B6899"/>
    <w:rsid w:val="008B6997"/>
    <w:rsid w:val="008B6B11"/>
    <w:rsid w:val="008B6BF3"/>
    <w:rsid w:val="008B71A2"/>
    <w:rsid w:val="008C026A"/>
    <w:rsid w:val="008C16D4"/>
    <w:rsid w:val="008C177A"/>
    <w:rsid w:val="008C19EA"/>
    <w:rsid w:val="008C22AA"/>
    <w:rsid w:val="008C2496"/>
    <w:rsid w:val="008C3398"/>
    <w:rsid w:val="008C38D3"/>
    <w:rsid w:val="008C3CB9"/>
    <w:rsid w:val="008C3FC0"/>
    <w:rsid w:val="008C408B"/>
    <w:rsid w:val="008C4951"/>
    <w:rsid w:val="008C55E8"/>
    <w:rsid w:val="008C5738"/>
    <w:rsid w:val="008C5AD4"/>
    <w:rsid w:val="008C64B4"/>
    <w:rsid w:val="008C6CBE"/>
    <w:rsid w:val="008C7180"/>
    <w:rsid w:val="008C7B2B"/>
    <w:rsid w:val="008D082D"/>
    <w:rsid w:val="008D0C9C"/>
    <w:rsid w:val="008D0F7E"/>
    <w:rsid w:val="008D11E2"/>
    <w:rsid w:val="008D124B"/>
    <w:rsid w:val="008D1664"/>
    <w:rsid w:val="008D2121"/>
    <w:rsid w:val="008D32E5"/>
    <w:rsid w:val="008D3B9F"/>
    <w:rsid w:val="008D3CC3"/>
    <w:rsid w:val="008D52FD"/>
    <w:rsid w:val="008D57BD"/>
    <w:rsid w:val="008D5D52"/>
    <w:rsid w:val="008D7A5B"/>
    <w:rsid w:val="008D7AAC"/>
    <w:rsid w:val="008D7E42"/>
    <w:rsid w:val="008E06BF"/>
    <w:rsid w:val="008E0708"/>
    <w:rsid w:val="008E079B"/>
    <w:rsid w:val="008E0B60"/>
    <w:rsid w:val="008E0E6F"/>
    <w:rsid w:val="008E129F"/>
    <w:rsid w:val="008E2191"/>
    <w:rsid w:val="008E22F3"/>
    <w:rsid w:val="008E35BC"/>
    <w:rsid w:val="008E42A5"/>
    <w:rsid w:val="008E4C25"/>
    <w:rsid w:val="008E500B"/>
    <w:rsid w:val="008E5239"/>
    <w:rsid w:val="008E55AC"/>
    <w:rsid w:val="008E673B"/>
    <w:rsid w:val="008E6A6E"/>
    <w:rsid w:val="008E756F"/>
    <w:rsid w:val="008E76C5"/>
    <w:rsid w:val="008E7A55"/>
    <w:rsid w:val="008E7D79"/>
    <w:rsid w:val="008F0136"/>
    <w:rsid w:val="008F0954"/>
    <w:rsid w:val="008F0F40"/>
    <w:rsid w:val="008F1043"/>
    <w:rsid w:val="008F1A0A"/>
    <w:rsid w:val="008F1D44"/>
    <w:rsid w:val="008F1E65"/>
    <w:rsid w:val="008F203A"/>
    <w:rsid w:val="008F22B0"/>
    <w:rsid w:val="008F253C"/>
    <w:rsid w:val="008F25FC"/>
    <w:rsid w:val="008F3176"/>
    <w:rsid w:val="008F32E9"/>
    <w:rsid w:val="008F360B"/>
    <w:rsid w:val="008F4DE9"/>
    <w:rsid w:val="008F4E6D"/>
    <w:rsid w:val="008F5103"/>
    <w:rsid w:val="008F53B8"/>
    <w:rsid w:val="008F5B0A"/>
    <w:rsid w:val="008F5C73"/>
    <w:rsid w:val="008F7108"/>
    <w:rsid w:val="008F715B"/>
    <w:rsid w:val="008F74EF"/>
    <w:rsid w:val="008F7B10"/>
    <w:rsid w:val="008F7F67"/>
    <w:rsid w:val="009000B3"/>
    <w:rsid w:val="0090074E"/>
    <w:rsid w:val="009013AD"/>
    <w:rsid w:val="0090155E"/>
    <w:rsid w:val="0090188A"/>
    <w:rsid w:val="009021A6"/>
    <w:rsid w:val="00902706"/>
    <w:rsid w:val="009027A8"/>
    <w:rsid w:val="009027DB"/>
    <w:rsid w:val="00902915"/>
    <w:rsid w:val="0090320D"/>
    <w:rsid w:val="0090358E"/>
    <w:rsid w:val="009044D5"/>
    <w:rsid w:val="009047EC"/>
    <w:rsid w:val="00905195"/>
    <w:rsid w:val="00905720"/>
    <w:rsid w:val="0090618C"/>
    <w:rsid w:val="0090632C"/>
    <w:rsid w:val="00906A2B"/>
    <w:rsid w:val="00907260"/>
    <w:rsid w:val="00907A7E"/>
    <w:rsid w:val="00910170"/>
    <w:rsid w:val="009107B6"/>
    <w:rsid w:val="00910804"/>
    <w:rsid w:val="00911376"/>
    <w:rsid w:val="009115D6"/>
    <w:rsid w:val="009120CD"/>
    <w:rsid w:val="009127F3"/>
    <w:rsid w:val="009132C0"/>
    <w:rsid w:val="009133A1"/>
    <w:rsid w:val="00913865"/>
    <w:rsid w:val="00913ACF"/>
    <w:rsid w:val="00913B7B"/>
    <w:rsid w:val="009144BA"/>
    <w:rsid w:val="00915470"/>
    <w:rsid w:val="009159BF"/>
    <w:rsid w:val="00915A94"/>
    <w:rsid w:val="009162C7"/>
    <w:rsid w:val="0091651A"/>
    <w:rsid w:val="00916700"/>
    <w:rsid w:val="00916D9C"/>
    <w:rsid w:val="00921124"/>
    <w:rsid w:val="00921664"/>
    <w:rsid w:val="0092212B"/>
    <w:rsid w:val="009224E4"/>
    <w:rsid w:val="00923029"/>
    <w:rsid w:val="009231FC"/>
    <w:rsid w:val="00923B3B"/>
    <w:rsid w:val="0092439B"/>
    <w:rsid w:val="009246DB"/>
    <w:rsid w:val="009249B9"/>
    <w:rsid w:val="009249D4"/>
    <w:rsid w:val="00924CE6"/>
    <w:rsid w:val="00924F6C"/>
    <w:rsid w:val="00925391"/>
    <w:rsid w:val="00925933"/>
    <w:rsid w:val="00926106"/>
    <w:rsid w:val="009263AD"/>
    <w:rsid w:val="00926BC3"/>
    <w:rsid w:val="00926F21"/>
    <w:rsid w:val="00927077"/>
    <w:rsid w:val="00927632"/>
    <w:rsid w:val="00927D3E"/>
    <w:rsid w:val="009303D1"/>
    <w:rsid w:val="009311AB"/>
    <w:rsid w:val="0093130D"/>
    <w:rsid w:val="009313EB"/>
    <w:rsid w:val="0093271F"/>
    <w:rsid w:val="009331F6"/>
    <w:rsid w:val="009337C9"/>
    <w:rsid w:val="00934AE0"/>
    <w:rsid w:val="00935F2C"/>
    <w:rsid w:val="009362ED"/>
    <w:rsid w:val="009368F8"/>
    <w:rsid w:val="00936966"/>
    <w:rsid w:val="00937C8D"/>
    <w:rsid w:val="00940225"/>
    <w:rsid w:val="0094030E"/>
    <w:rsid w:val="009409BA"/>
    <w:rsid w:val="00940B63"/>
    <w:rsid w:val="00941339"/>
    <w:rsid w:val="00942087"/>
    <w:rsid w:val="009424A8"/>
    <w:rsid w:val="0094252A"/>
    <w:rsid w:val="009429A9"/>
    <w:rsid w:val="009429BA"/>
    <w:rsid w:val="00942DA4"/>
    <w:rsid w:val="00942FA3"/>
    <w:rsid w:val="009437C0"/>
    <w:rsid w:val="00943B68"/>
    <w:rsid w:val="009447A8"/>
    <w:rsid w:val="00944FFA"/>
    <w:rsid w:val="00945558"/>
    <w:rsid w:val="00945745"/>
    <w:rsid w:val="00945E1F"/>
    <w:rsid w:val="00945E2A"/>
    <w:rsid w:val="00946AA0"/>
    <w:rsid w:val="0094706D"/>
    <w:rsid w:val="009471B6"/>
    <w:rsid w:val="0094749F"/>
    <w:rsid w:val="00947D9D"/>
    <w:rsid w:val="009500A8"/>
    <w:rsid w:val="00950C2E"/>
    <w:rsid w:val="00950C78"/>
    <w:rsid w:val="0095146F"/>
    <w:rsid w:val="00952A04"/>
    <w:rsid w:val="009531B4"/>
    <w:rsid w:val="00953CA2"/>
    <w:rsid w:val="00953CE3"/>
    <w:rsid w:val="009540D3"/>
    <w:rsid w:val="0095413B"/>
    <w:rsid w:val="009541EE"/>
    <w:rsid w:val="009542A1"/>
    <w:rsid w:val="009545BF"/>
    <w:rsid w:val="00954628"/>
    <w:rsid w:val="00954959"/>
    <w:rsid w:val="00954A1F"/>
    <w:rsid w:val="0095505D"/>
    <w:rsid w:val="009553D8"/>
    <w:rsid w:val="009554EC"/>
    <w:rsid w:val="00955558"/>
    <w:rsid w:val="00955B04"/>
    <w:rsid w:val="00955E77"/>
    <w:rsid w:val="00955EA4"/>
    <w:rsid w:val="00956614"/>
    <w:rsid w:val="00956823"/>
    <w:rsid w:val="00957207"/>
    <w:rsid w:val="00957BD6"/>
    <w:rsid w:val="00957F9A"/>
    <w:rsid w:val="0096127C"/>
    <w:rsid w:val="0096250B"/>
    <w:rsid w:val="00962C65"/>
    <w:rsid w:val="00963146"/>
    <w:rsid w:val="009637B7"/>
    <w:rsid w:val="00963C36"/>
    <w:rsid w:val="00963C77"/>
    <w:rsid w:val="009649BC"/>
    <w:rsid w:val="00964A75"/>
    <w:rsid w:val="00964BF1"/>
    <w:rsid w:val="00965074"/>
    <w:rsid w:val="00965898"/>
    <w:rsid w:val="00965FCE"/>
    <w:rsid w:val="0096744E"/>
    <w:rsid w:val="0096790D"/>
    <w:rsid w:val="00967E29"/>
    <w:rsid w:val="00970620"/>
    <w:rsid w:val="00970E6B"/>
    <w:rsid w:val="00971C3C"/>
    <w:rsid w:val="00971CE4"/>
    <w:rsid w:val="00972817"/>
    <w:rsid w:val="00972959"/>
    <w:rsid w:val="00972D31"/>
    <w:rsid w:val="00972FCC"/>
    <w:rsid w:val="0097319F"/>
    <w:rsid w:val="0097388F"/>
    <w:rsid w:val="00973B77"/>
    <w:rsid w:val="00974069"/>
    <w:rsid w:val="009745D0"/>
    <w:rsid w:val="0097465C"/>
    <w:rsid w:val="00975020"/>
    <w:rsid w:val="009753E4"/>
    <w:rsid w:val="00975464"/>
    <w:rsid w:val="009755F3"/>
    <w:rsid w:val="0097654D"/>
    <w:rsid w:val="00976F45"/>
    <w:rsid w:val="0097704C"/>
    <w:rsid w:val="0097738D"/>
    <w:rsid w:val="00977AEB"/>
    <w:rsid w:val="00977CC5"/>
    <w:rsid w:val="009800F4"/>
    <w:rsid w:val="0098031A"/>
    <w:rsid w:val="00980D80"/>
    <w:rsid w:val="00981A05"/>
    <w:rsid w:val="00982240"/>
    <w:rsid w:val="00982288"/>
    <w:rsid w:val="009827D8"/>
    <w:rsid w:val="00982838"/>
    <w:rsid w:val="0098288C"/>
    <w:rsid w:val="009828DE"/>
    <w:rsid w:val="00982B60"/>
    <w:rsid w:val="0098352E"/>
    <w:rsid w:val="00983723"/>
    <w:rsid w:val="0098526F"/>
    <w:rsid w:val="0098622D"/>
    <w:rsid w:val="00986D4E"/>
    <w:rsid w:val="0098747F"/>
    <w:rsid w:val="009874AD"/>
    <w:rsid w:val="009879A7"/>
    <w:rsid w:val="00987A8C"/>
    <w:rsid w:val="0099011D"/>
    <w:rsid w:val="009902AA"/>
    <w:rsid w:val="00991190"/>
    <w:rsid w:val="0099199D"/>
    <w:rsid w:val="00991AE8"/>
    <w:rsid w:val="00992C35"/>
    <w:rsid w:val="00993299"/>
    <w:rsid w:val="00994AE1"/>
    <w:rsid w:val="00995538"/>
    <w:rsid w:val="009957B5"/>
    <w:rsid w:val="00995975"/>
    <w:rsid w:val="009971CA"/>
    <w:rsid w:val="009971F0"/>
    <w:rsid w:val="00997818"/>
    <w:rsid w:val="00997CA5"/>
    <w:rsid w:val="00997DE4"/>
    <w:rsid w:val="00997E9B"/>
    <w:rsid w:val="009A0FC4"/>
    <w:rsid w:val="009A14C4"/>
    <w:rsid w:val="009A185E"/>
    <w:rsid w:val="009A18BA"/>
    <w:rsid w:val="009A18F7"/>
    <w:rsid w:val="009A247A"/>
    <w:rsid w:val="009A24DB"/>
    <w:rsid w:val="009A261F"/>
    <w:rsid w:val="009A26C0"/>
    <w:rsid w:val="009A27B2"/>
    <w:rsid w:val="009A318D"/>
    <w:rsid w:val="009A3E54"/>
    <w:rsid w:val="009A3EE5"/>
    <w:rsid w:val="009A4111"/>
    <w:rsid w:val="009A4850"/>
    <w:rsid w:val="009A55F8"/>
    <w:rsid w:val="009A5D5A"/>
    <w:rsid w:val="009A61BF"/>
    <w:rsid w:val="009A68B1"/>
    <w:rsid w:val="009A7328"/>
    <w:rsid w:val="009A7662"/>
    <w:rsid w:val="009B001D"/>
    <w:rsid w:val="009B0130"/>
    <w:rsid w:val="009B0F20"/>
    <w:rsid w:val="009B1498"/>
    <w:rsid w:val="009B203F"/>
    <w:rsid w:val="009B305A"/>
    <w:rsid w:val="009B337C"/>
    <w:rsid w:val="009B3429"/>
    <w:rsid w:val="009B3EB2"/>
    <w:rsid w:val="009B4910"/>
    <w:rsid w:val="009B4C20"/>
    <w:rsid w:val="009B4F43"/>
    <w:rsid w:val="009B541F"/>
    <w:rsid w:val="009B54A6"/>
    <w:rsid w:val="009B554A"/>
    <w:rsid w:val="009B63BB"/>
    <w:rsid w:val="009B727F"/>
    <w:rsid w:val="009B740C"/>
    <w:rsid w:val="009B78EA"/>
    <w:rsid w:val="009B7EDC"/>
    <w:rsid w:val="009C03B0"/>
    <w:rsid w:val="009C0768"/>
    <w:rsid w:val="009C0844"/>
    <w:rsid w:val="009C16A1"/>
    <w:rsid w:val="009C1E40"/>
    <w:rsid w:val="009C319B"/>
    <w:rsid w:val="009C36C2"/>
    <w:rsid w:val="009C44B2"/>
    <w:rsid w:val="009C602E"/>
    <w:rsid w:val="009C6911"/>
    <w:rsid w:val="009C6C8F"/>
    <w:rsid w:val="009C7154"/>
    <w:rsid w:val="009C7E46"/>
    <w:rsid w:val="009C7F82"/>
    <w:rsid w:val="009D0F48"/>
    <w:rsid w:val="009D1558"/>
    <w:rsid w:val="009D1C02"/>
    <w:rsid w:val="009D1D32"/>
    <w:rsid w:val="009D2651"/>
    <w:rsid w:val="009D2A43"/>
    <w:rsid w:val="009D40FA"/>
    <w:rsid w:val="009D4155"/>
    <w:rsid w:val="009D4AAE"/>
    <w:rsid w:val="009D5113"/>
    <w:rsid w:val="009D5374"/>
    <w:rsid w:val="009D5765"/>
    <w:rsid w:val="009D64BD"/>
    <w:rsid w:val="009D68F7"/>
    <w:rsid w:val="009D6BB0"/>
    <w:rsid w:val="009D735E"/>
    <w:rsid w:val="009D75CB"/>
    <w:rsid w:val="009D776D"/>
    <w:rsid w:val="009D77F9"/>
    <w:rsid w:val="009E03E1"/>
    <w:rsid w:val="009E05A6"/>
    <w:rsid w:val="009E1A6C"/>
    <w:rsid w:val="009E21B6"/>
    <w:rsid w:val="009E2BC5"/>
    <w:rsid w:val="009E3917"/>
    <w:rsid w:val="009E3BB1"/>
    <w:rsid w:val="009E44EF"/>
    <w:rsid w:val="009E4A30"/>
    <w:rsid w:val="009E53EE"/>
    <w:rsid w:val="009E5441"/>
    <w:rsid w:val="009E57B6"/>
    <w:rsid w:val="009E5D3A"/>
    <w:rsid w:val="009E5DE3"/>
    <w:rsid w:val="009E64B8"/>
    <w:rsid w:val="009E6967"/>
    <w:rsid w:val="009E6A62"/>
    <w:rsid w:val="009E7077"/>
    <w:rsid w:val="009F03E7"/>
    <w:rsid w:val="009F07D3"/>
    <w:rsid w:val="009F1E24"/>
    <w:rsid w:val="009F3092"/>
    <w:rsid w:val="009F3F2B"/>
    <w:rsid w:val="009F4236"/>
    <w:rsid w:val="009F4927"/>
    <w:rsid w:val="009F4A45"/>
    <w:rsid w:val="009F4CE8"/>
    <w:rsid w:val="009F5050"/>
    <w:rsid w:val="009F540F"/>
    <w:rsid w:val="009F5FEB"/>
    <w:rsid w:val="009F61D1"/>
    <w:rsid w:val="009F6355"/>
    <w:rsid w:val="009F6838"/>
    <w:rsid w:val="009F687F"/>
    <w:rsid w:val="009F6E23"/>
    <w:rsid w:val="009F7524"/>
    <w:rsid w:val="009F77D0"/>
    <w:rsid w:val="009F7A05"/>
    <w:rsid w:val="009F7B8F"/>
    <w:rsid w:val="00A003D8"/>
    <w:rsid w:val="00A00509"/>
    <w:rsid w:val="00A00650"/>
    <w:rsid w:val="00A01C98"/>
    <w:rsid w:val="00A0228D"/>
    <w:rsid w:val="00A027DA"/>
    <w:rsid w:val="00A03123"/>
    <w:rsid w:val="00A03359"/>
    <w:rsid w:val="00A03C50"/>
    <w:rsid w:val="00A03E66"/>
    <w:rsid w:val="00A03EAB"/>
    <w:rsid w:val="00A03F96"/>
    <w:rsid w:val="00A0419D"/>
    <w:rsid w:val="00A04395"/>
    <w:rsid w:val="00A04775"/>
    <w:rsid w:val="00A04ACE"/>
    <w:rsid w:val="00A04CF3"/>
    <w:rsid w:val="00A04F23"/>
    <w:rsid w:val="00A0542A"/>
    <w:rsid w:val="00A05780"/>
    <w:rsid w:val="00A057BF"/>
    <w:rsid w:val="00A058E0"/>
    <w:rsid w:val="00A05A97"/>
    <w:rsid w:val="00A06208"/>
    <w:rsid w:val="00A07238"/>
    <w:rsid w:val="00A07249"/>
    <w:rsid w:val="00A075AF"/>
    <w:rsid w:val="00A07602"/>
    <w:rsid w:val="00A07CCE"/>
    <w:rsid w:val="00A10B2C"/>
    <w:rsid w:val="00A11D06"/>
    <w:rsid w:val="00A125EB"/>
    <w:rsid w:val="00A13147"/>
    <w:rsid w:val="00A1377C"/>
    <w:rsid w:val="00A13FAC"/>
    <w:rsid w:val="00A14215"/>
    <w:rsid w:val="00A14345"/>
    <w:rsid w:val="00A14A14"/>
    <w:rsid w:val="00A14CCC"/>
    <w:rsid w:val="00A14D0A"/>
    <w:rsid w:val="00A15FC5"/>
    <w:rsid w:val="00A16308"/>
    <w:rsid w:val="00A16956"/>
    <w:rsid w:val="00A16AA4"/>
    <w:rsid w:val="00A16D08"/>
    <w:rsid w:val="00A16F39"/>
    <w:rsid w:val="00A177CE"/>
    <w:rsid w:val="00A17F2B"/>
    <w:rsid w:val="00A20646"/>
    <w:rsid w:val="00A20876"/>
    <w:rsid w:val="00A20952"/>
    <w:rsid w:val="00A21820"/>
    <w:rsid w:val="00A21F46"/>
    <w:rsid w:val="00A229D0"/>
    <w:rsid w:val="00A22A07"/>
    <w:rsid w:val="00A22EFD"/>
    <w:rsid w:val="00A23221"/>
    <w:rsid w:val="00A236EA"/>
    <w:rsid w:val="00A238A0"/>
    <w:rsid w:val="00A239F1"/>
    <w:rsid w:val="00A23B1B"/>
    <w:rsid w:val="00A247AF"/>
    <w:rsid w:val="00A2562E"/>
    <w:rsid w:val="00A258B0"/>
    <w:rsid w:val="00A25C74"/>
    <w:rsid w:val="00A25CAE"/>
    <w:rsid w:val="00A25F22"/>
    <w:rsid w:val="00A2732C"/>
    <w:rsid w:val="00A27601"/>
    <w:rsid w:val="00A3054A"/>
    <w:rsid w:val="00A30729"/>
    <w:rsid w:val="00A30A12"/>
    <w:rsid w:val="00A30FF0"/>
    <w:rsid w:val="00A3104E"/>
    <w:rsid w:val="00A31257"/>
    <w:rsid w:val="00A3174C"/>
    <w:rsid w:val="00A31F3B"/>
    <w:rsid w:val="00A3249B"/>
    <w:rsid w:val="00A3365F"/>
    <w:rsid w:val="00A33674"/>
    <w:rsid w:val="00A337BE"/>
    <w:rsid w:val="00A33EF4"/>
    <w:rsid w:val="00A343CB"/>
    <w:rsid w:val="00A34917"/>
    <w:rsid w:val="00A34A8E"/>
    <w:rsid w:val="00A34E48"/>
    <w:rsid w:val="00A35353"/>
    <w:rsid w:val="00A35A51"/>
    <w:rsid w:val="00A366DD"/>
    <w:rsid w:val="00A36956"/>
    <w:rsid w:val="00A37440"/>
    <w:rsid w:val="00A37486"/>
    <w:rsid w:val="00A37703"/>
    <w:rsid w:val="00A37AE1"/>
    <w:rsid w:val="00A40605"/>
    <w:rsid w:val="00A40689"/>
    <w:rsid w:val="00A40989"/>
    <w:rsid w:val="00A41160"/>
    <w:rsid w:val="00A4174C"/>
    <w:rsid w:val="00A42AAE"/>
    <w:rsid w:val="00A43059"/>
    <w:rsid w:val="00A4353C"/>
    <w:rsid w:val="00A43662"/>
    <w:rsid w:val="00A43849"/>
    <w:rsid w:val="00A44170"/>
    <w:rsid w:val="00A449A1"/>
    <w:rsid w:val="00A44A27"/>
    <w:rsid w:val="00A44DBA"/>
    <w:rsid w:val="00A450FA"/>
    <w:rsid w:val="00A452F5"/>
    <w:rsid w:val="00A45F13"/>
    <w:rsid w:val="00A4658C"/>
    <w:rsid w:val="00A4664E"/>
    <w:rsid w:val="00A46F43"/>
    <w:rsid w:val="00A47330"/>
    <w:rsid w:val="00A47499"/>
    <w:rsid w:val="00A47867"/>
    <w:rsid w:val="00A47B97"/>
    <w:rsid w:val="00A47FB7"/>
    <w:rsid w:val="00A50532"/>
    <w:rsid w:val="00A506D1"/>
    <w:rsid w:val="00A507B6"/>
    <w:rsid w:val="00A50BA5"/>
    <w:rsid w:val="00A51B0B"/>
    <w:rsid w:val="00A52314"/>
    <w:rsid w:val="00A527C0"/>
    <w:rsid w:val="00A52C22"/>
    <w:rsid w:val="00A530E4"/>
    <w:rsid w:val="00A531CE"/>
    <w:rsid w:val="00A5367C"/>
    <w:rsid w:val="00A53AB5"/>
    <w:rsid w:val="00A540E8"/>
    <w:rsid w:val="00A54482"/>
    <w:rsid w:val="00A54885"/>
    <w:rsid w:val="00A5552E"/>
    <w:rsid w:val="00A558C3"/>
    <w:rsid w:val="00A55C56"/>
    <w:rsid w:val="00A55DCB"/>
    <w:rsid w:val="00A56246"/>
    <w:rsid w:val="00A56975"/>
    <w:rsid w:val="00A56A7C"/>
    <w:rsid w:val="00A57906"/>
    <w:rsid w:val="00A57E12"/>
    <w:rsid w:val="00A60743"/>
    <w:rsid w:val="00A6128B"/>
    <w:rsid w:val="00A61C48"/>
    <w:rsid w:val="00A62531"/>
    <w:rsid w:val="00A63A0D"/>
    <w:rsid w:val="00A63DF3"/>
    <w:rsid w:val="00A640BD"/>
    <w:rsid w:val="00A648FC"/>
    <w:rsid w:val="00A64E63"/>
    <w:rsid w:val="00A64EBD"/>
    <w:rsid w:val="00A65100"/>
    <w:rsid w:val="00A651B7"/>
    <w:rsid w:val="00A66984"/>
    <w:rsid w:val="00A66A49"/>
    <w:rsid w:val="00A67308"/>
    <w:rsid w:val="00A6763D"/>
    <w:rsid w:val="00A677DE"/>
    <w:rsid w:val="00A70076"/>
    <w:rsid w:val="00A70971"/>
    <w:rsid w:val="00A7268C"/>
    <w:rsid w:val="00A7272A"/>
    <w:rsid w:val="00A73820"/>
    <w:rsid w:val="00A73875"/>
    <w:rsid w:val="00A73A3B"/>
    <w:rsid w:val="00A73F46"/>
    <w:rsid w:val="00A744F0"/>
    <w:rsid w:val="00A74B03"/>
    <w:rsid w:val="00A74BCA"/>
    <w:rsid w:val="00A74C01"/>
    <w:rsid w:val="00A74ED1"/>
    <w:rsid w:val="00A75154"/>
    <w:rsid w:val="00A75996"/>
    <w:rsid w:val="00A75C89"/>
    <w:rsid w:val="00A75D5B"/>
    <w:rsid w:val="00A75E08"/>
    <w:rsid w:val="00A75FB3"/>
    <w:rsid w:val="00A7617A"/>
    <w:rsid w:val="00A76542"/>
    <w:rsid w:val="00A76D03"/>
    <w:rsid w:val="00A77523"/>
    <w:rsid w:val="00A808A8"/>
    <w:rsid w:val="00A80F7C"/>
    <w:rsid w:val="00A811FB"/>
    <w:rsid w:val="00A8137F"/>
    <w:rsid w:val="00A814C6"/>
    <w:rsid w:val="00A819F7"/>
    <w:rsid w:val="00A8220E"/>
    <w:rsid w:val="00A832CB"/>
    <w:rsid w:val="00A846B9"/>
    <w:rsid w:val="00A84703"/>
    <w:rsid w:val="00A84971"/>
    <w:rsid w:val="00A84C51"/>
    <w:rsid w:val="00A851C8"/>
    <w:rsid w:val="00A85224"/>
    <w:rsid w:val="00A856C0"/>
    <w:rsid w:val="00A8592F"/>
    <w:rsid w:val="00A85C1B"/>
    <w:rsid w:val="00A85EDA"/>
    <w:rsid w:val="00A86391"/>
    <w:rsid w:val="00A86A08"/>
    <w:rsid w:val="00A87F82"/>
    <w:rsid w:val="00A9079C"/>
    <w:rsid w:val="00A91287"/>
    <w:rsid w:val="00A914E9"/>
    <w:rsid w:val="00A91637"/>
    <w:rsid w:val="00A91ADD"/>
    <w:rsid w:val="00A91C51"/>
    <w:rsid w:val="00A91D94"/>
    <w:rsid w:val="00A9201B"/>
    <w:rsid w:val="00A92069"/>
    <w:rsid w:val="00A92363"/>
    <w:rsid w:val="00A924B4"/>
    <w:rsid w:val="00A93021"/>
    <w:rsid w:val="00A9368D"/>
    <w:rsid w:val="00A9483C"/>
    <w:rsid w:val="00A94B1F"/>
    <w:rsid w:val="00A94C1B"/>
    <w:rsid w:val="00A94CB3"/>
    <w:rsid w:val="00A94DFB"/>
    <w:rsid w:val="00A95302"/>
    <w:rsid w:val="00A959DC"/>
    <w:rsid w:val="00A95D51"/>
    <w:rsid w:val="00A96559"/>
    <w:rsid w:val="00A9657C"/>
    <w:rsid w:val="00A96883"/>
    <w:rsid w:val="00A96E05"/>
    <w:rsid w:val="00A9723F"/>
    <w:rsid w:val="00A97575"/>
    <w:rsid w:val="00AA044B"/>
    <w:rsid w:val="00AA064F"/>
    <w:rsid w:val="00AA0925"/>
    <w:rsid w:val="00AA1275"/>
    <w:rsid w:val="00AA14B2"/>
    <w:rsid w:val="00AA230E"/>
    <w:rsid w:val="00AA2A70"/>
    <w:rsid w:val="00AA2C24"/>
    <w:rsid w:val="00AA3103"/>
    <w:rsid w:val="00AA3F21"/>
    <w:rsid w:val="00AA429A"/>
    <w:rsid w:val="00AA469C"/>
    <w:rsid w:val="00AA4A26"/>
    <w:rsid w:val="00AA4E21"/>
    <w:rsid w:val="00AA5080"/>
    <w:rsid w:val="00AA5A7E"/>
    <w:rsid w:val="00AA5B48"/>
    <w:rsid w:val="00AA6B35"/>
    <w:rsid w:val="00AA72AC"/>
    <w:rsid w:val="00AB0719"/>
    <w:rsid w:val="00AB08D7"/>
    <w:rsid w:val="00AB0FE2"/>
    <w:rsid w:val="00AB151F"/>
    <w:rsid w:val="00AB16B4"/>
    <w:rsid w:val="00AB180C"/>
    <w:rsid w:val="00AB20D3"/>
    <w:rsid w:val="00AB2575"/>
    <w:rsid w:val="00AB2A64"/>
    <w:rsid w:val="00AB2C3D"/>
    <w:rsid w:val="00AB3228"/>
    <w:rsid w:val="00AB328E"/>
    <w:rsid w:val="00AB42DA"/>
    <w:rsid w:val="00AB47D6"/>
    <w:rsid w:val="00AB549F"/>
    <w:rsid w:val="00AB6A15"/>
    <w:rsid w:val="00AB7001"/>
    <w:rsid w:val="00AB7AB9"/>
    <w:rsid w:val="00AC083D"/>
    <w:rsid w:val="00AC0B29"/>
    <w:rsid w:val="00AC0CE7"/>
    <w:rsid w:val="00AC14A8"/>
    <w:rsid w:val="00AC1752"/>
    <w:rsid w:val="00AC19C6"/>
    <w:rsid w:val="00AC2372"/>
    <w:rsid w:val="00AC2688"/>
    <w:rsid w:val="00AC2D35"/>
    <w:rsid w:val="00AC359A"/>
    <w:rsid w:val="00AC3762"/>
    <w:rsid w:val="00AC37E6"/>
    <w:rsid w:val="00AC558F"/>
    <w:rsid w:val="00AC5AE2"/>
    <w:rsid w:val="00AC5EE7"/>
    <w:rsid w:val="00AC66A3"/>
    <w:rsid w:val="00AC6ABA"/>
    <w:rsid w:val="00AC71F4"/>
    <w:rsid w:val="00AC7AB5"/>
    <w:rsid w:val="00AC7D73"/>
    <w:rsid w:val="00AD1095"/>
    <w:rsid w:val="00AD2036"/>
    <w:rsid w:val="00AD20C2"/>
    <w:rsid w:val="00AD211D"/>
    <w:rsid w:val="00AD21FA"/>
    <w:rsid w:val="00AD2787"/>
    <w:rsid w:val="00AD3052"/>
    <w:rsid w:val="00AD3631"/>
    <w:rsid w:val="00AD3B89"/>
    <w:rsid w:val="00AD4499"/>
    <w:rsid w:val="00AD45D9"/>
    <w:rsid w:val="00AD48D6"/>
    <w:rsid w:val="00AD4A41"/>
    <w:rsid w:val="00AD4F2C"/>
    <w:rsid w:val="00AD5D49"/>
    <w:rsid w:val="00AD7061"/>
    <w:rsid w:val="00AD7886"/>
    <w:rsid w:val="00AE0692"/>
    <w:rsid w:val="00AE08F6"/>
    <w:rsid w:val="00AE14A0"/>
    <w:rsid w:val="00AE1ACD"/>
    <w:rsid w:val="00AE1CF8"/>
    <w:rsid w:val="00AE214D"/>
    <w:rsid w:val="00AE26C4"/>
    <w:rsid w:val="00AE26F0"/>
    <w:rsid w:val="00AE27F6"/>
    <w:rsid w:val="00AE29F8"/>
    <w:rsid w:val="00AE2CCC"/>
    <w:rsid w:val="00AE2DB7"/>
    <w:rsid w:val="00AE2E47"/>
    <w:rsid w:val="00AE3378"/>
    <w:rsid w:val="00AE3ED2"/>
    <w:rsid w:val="00AE3FB5"/>
    <w:rsid w:val="00AE5196"/>
    <w:rsid w:val="00AE64EB"/>
    <w:rsid w:val="00AE695B"/>
    <w:rsid w:val="00AE6EC4"/>
    <w:rsid w:val="00AE7637"/>
    <w:rsid w:val="00AE767A"/>
    <w:rsid w:val="00AE795B"/>
    <w:rsid w:val="00AF07C4"/>
    <w:rsid w:val="00AF10B3"/>
    <w:rsid w:val="00AF1425"/>
    <w:rsid w:val="00AF1C37"/>
    <w:rsid w:val="00AF1CD3"/>
    <w:rsid w:val="00AF2320"/>
    <w:rsid w:val="00AF27C9"/>
    <w:rsid w:val="00AF2B40"/>
    <w:rsid w:val="00AF32C9"/>
    <w:rsid w:val="00AF3826"/>
    <w:rsid w:val="00AF3E50"/>
    <w:rsid w:val="00AF6DAE"/>
    <w:rsid w:val="00AF6E5B"/>
    <w:rsid w:val="00AF7622"/>
    <w:rsid w:val="00B006C0"/>
    <w:rsid w:val="00B00A39"/>
    <w:rsid w:val="00B00E66"/>
    <w:rsid w:val="00B011E7"/>
    <w:rsid w:val="00B01408"/>
    <w:rsid w:val="00B0222B"/>
    <w:rsid w:val="00B023F9"/>
    <w:rsid w:val="00B02865"/>
    <w:rsid w:val="00B03800"/>
    <w:rsid w:val="00B04E0E"/>
    <w:rsid w:val="00B05400"/>
    <w:rsid w:val="00B05B0A"/>
    <w:rsid w:val="00B05BEF"/>
    <w:rsid w:val="00B05F18"/>
    <w:rsid w:val="00B061BB"/>
    <w:rsid w:val="00B0752B"/>
    <w:rsid w:val="00B07DD6"/>
    <w:rsid w:val="00B07E05"/>
    <w:rsid w:val="00B1060E"/>
    <w:rsid w:val="00B10AB6"/>
    <w:rsid w:val="00B10C26"/>
    <w:rsid w:val="00B1112B"/>
    <w:rsid w:val="00B1191B"/>
    <w:rsid w:val="00B11E2D"/>
    <w:rsid w:val="00B121A1"/>
    <w:rsid w:val="00B1266E"/>
    <w:rsid w:val="00B126C7"/>
    <w:rsid w:val="00B12DA6"/>
    <w:rsid w:val="00B1350A"/>
    <w:rsid w:val="00B13ABC"/>
    <w:rsid w:val="00B13B6E"/>
    <w:rsid w:val="00B13D5D"/>
    <w:rsid w:val="00B1451A"/>
    <w:rsid w:val="00B14DD3"/>
    <w:rsid w:val="00B14F26"/>
    <w:rsid w:val="00B15281"/>
    <w:rsid w:val="00B152E5"/>
    <w:rsid w:val="00B15952"/>
    <w:rsid w:val="00B160C7"/>
    <w:rsid w:val="00B1685C"/>
    <w:rsid w:val="00B16DCE"/>
    <w:rsid w:val="00B16DFC"/>
    <w:rsid w:val="00B17B31"/>
    <w:rsid w:val="00B20A69"/>
    <w:rsid w:val="00B21367"/>
    <w:rsid w:val="00B21D56"/>
    <w:rsid w:val="00B2217F"/>
    <w:rsid w:val="00B22354"/>
    <w:rsid w:val="00B237C9"/>
    <w:rsid w:val="00B23A6A"/>
    <w:rsid w:val="00B23CCC"/>
    <w:rsid w:val="00B23E4B"/>
    <w:rsid w:val="00B24182"/>
    <w:rsid w:val="00B259E8"/>
    <w:rsid w:val="00B263A9"/>
    <w:rsid w:val="00B276B6"/>
    <w:rsid w:val="00B27712"/>
    <w:rsid w:val="00B277B2"/>
    <w:rsid w:val="00B3051F"/>
    <w:rsid w:val="00B305BA"/>
    <w:rsid w:val="00B30616"/>
    <w:rsid w:val="00B30715"/>
    <w:rsid w:val="00B309B7"/>
    <w:rsid w:val="00B30B88"/>
    <w:rsid w:val="00B30F75"/>
    <w:rsid w:val="00B311A9"/>
    <w:rsid w:val="00B31FF1"/>
    <w:rsid w:val="00B33134"/>
    <w:rsid w:val="00B331D7"/>
    <w:rsid w:val="00B332C8"/>
    <w:rsid w:val="00B337D1"/>
    <w:rsid w:val="00B339FF"/>
    <w:rsid w:val="00B3413B"/>
    <w:rsid w:val="00B343A3"/>
    <w:rsid w:val="00B36288"/>
    <w:rsid w:val="00B376D0"/>
    <w:rsid w:val="00B378D8"/>
    <w:rsid w:val="00B3790B"/>
    <w:rsid w:val="00B37CF3"/>
    <w:rsid w:val="00B37E6E"/>
    <w:rsid w:val="00B37FD0"/>
    <w:rsid w:val="00B400FD"/>
    <w:rsid w:val="00B40607"/>
    <w:rsid w:val="00B4068B"/>
    <w:rsid w:val="00B40A61"/>
    <w:rsid w:val="00B40D79"/>
    <w:rsid w:val="00B41600"/>
    <w:rsid w:val="00B41B2D"/>
    <w:rsid w:val="00B41BE7"/>
    <w:rsid w:val="00B41F3C"/>
    <w:rsid w:val="00B42024"/>
    <w:rsid w:val="00B42D19"/>
    <w:rsid w:val="00B42DAD"/>
    <w:rsid w:val="00B430D7"/>
    <w:rsid w:val="00B4324A"/>
    <w:rsid w:val="00B43287"/>
    <w:rsid w:val="00B43A0D"/>
    <w:rsid w:val="00B445FD"/>
    <w:rsid w:val="00B449C3"/>
    <w:rsid w:val="00B44A8E"/>
    <w:rsid w:val="00B44D6C"/>
    <w:rsid w:val="00B46B51"/>
    <w:rsid w:val="00B46BAD"/>
    <w:rsid w:val="00B47419"/>
    <w:rsid w:val="00B47734"/>
    <w:rsid w:val="00B47A3D"/>
    <w:rsid w:val="00B47D6B"/>
    <w:rsid w:val="00B50267"/>
    <w:rsid w:val="00B50E26"/>
    <w:rsid w:val="00B50F39"/>
    <w:rsid w:val="00B5106C"/>
    <w:rsid w:val="00B511C2"/>
    <w:rsid w:val="00B511C7"/>
    <w:rsid w:val="00B51CEF"/>
    <w:rsid w:val="00B523F4"/>
    <w:rsid w:val="00B52517"/>
    <w:rsid w:val="00B52A5E"/>
    <w:rsid w:val="00B52E79"/>
    <w:rsid w:val="00B532A7"/>
    <w:rsid w:val="00B53C5C"/>
    <w:rsid w:val="00B5429C"/>
    <w:rsid w:val="00B547F3"/>
    <w:rsid w:val="00B55246"/>
    <w:rsid w:val="00B563EB"/>
    <w:rsid w:val="00B5682B"/>
    <w:rsid w:val="00B56C19"/>
    <w:rsid w:val="00B56F6E"/>
    <w:rsid w:val="00B57054"/>
    <w:rsid w:val="00B57614"/>
    <w:rsid w:val="00B57802"/>
    <w:rsid w:val="00B57CFE"/>
    <w:rsid w:val="00B6080E"/>
    <w:rsid w:val="00B60D32"/>
    <w:rsid w:val="00B60E13"/>
    <w:rsid w:val="00B6112C"/>
    <w:rsid w:val="00B611E7"/>
    <w:rsid w:val="00B6137E"/>
    <w:rsid w:val="00B61558"/>
    <w:rsid w:val="00B61702"/>
    <w:rsid w:val="00B62575"/>
    <w:rsid w:val="00B62AFF"/>
    <w:rsid w:val="00B62DE0"/>
    <w:rsid w:val="00B63EE1"/>
    <w:rsid w:val="00B643F7"/>
    <w:rsid w:val="00B64AA5"/>
    <w:rsid w:val="00B66BEF"/>
    <w:rsid w:val="00B67ED5"/>
    <w:rsid w:val="00B702AA"/>
    <w:rsid w:val="00B70447"/>
    <w:rsid w:val="00B70618"/>
    <w:rsid w:val="00B707FF"/>
    <w:rsid w:val="00B70C5B"/>
    <w:rsid w:val="00B70CA3"/>
    <w:rsid w:val="00B70DD2"/>
    <w:rsid w:val="00B70FAD"/>
    <w:rsid w:val="00B713C7"/>
    <w:rsid w:val="00B71486"/>
    <w:rsid w:val="00B71889"/>
    <w:rsid w:val="00B71E2B"/>
    <w:rsid w:val="00B724B1"/>
    <w:rsid w:val="00B7254C"/>
    <w:rsid w:val="00B725C4"/>
    <w:rsid w:val="00B727E2"/>
    <w:rsid w:val="00B72A5E"/>
    <w:rsid w:val="00B72FD9"/>
    <w:rsid w:val="00B74081"/>
    <w:rsid w:val="00B74548"/>
    <w:rsid w:val="00B74FC6"/>
    <w:rsid w:val="00B7502A"/>
    <w:rsid w:val="00B76BCE"/>
    <w:rsid w:val="00B76D40"/>
    <w:rsid w:val="00B76DAC"/>
    <w:rsid w:val="00B77423"/>
    <w:rsid w:val="00B7763E"/>
    <w:rsid w:val="00B77A36"/>
    <w:rsid w:val="00B77A70"/>
    <w:rsid w:val="00B77F98"/>
    <w:rsid w:val="00B81D88"/>
    <w:rsid w:val="00B8205F"/>
    <w:rsid w:val="00B82322"/>
    <w:rsid w:val="00B82882"/>
    <w:rsid w:val="00B8295C"/>
    <w:rsid w:val="00B830E3"/>
    <w:rsid w:val="00B83CC8"/>
    <w:rsid w:val="00B8442C"/>
    <w:rsid w:val="00B84A73"/>
    <w:rsid w:val="00B84BA3"/>
    <w:rsid w:val="00B84C2A"/>
    <w:rsid w:val="00B85059"/>
    <w:rsid w:val="00B85C66"/>
    <w:rsid w:val="00B862B7"/>
    <w:rsid w:val="00B8690E"/>
    <w:rsid w:val="00B86A6C"/>
    <w:rsid w:val="00B86B16"/>
    <w:rsid w:val="00B86B7E"/>
    <w:rsid w:val="00B86CAB"/>
    <w:rsid w:val="00B879B5"/>
    <w:rsid w:val="00B87B62"/>
    <w:rsid w:val="00B901DC"/>
    <w:rsid w:val="00B90ABF"/>
    <w:rsid w:val="00B90CBD"/>
    <w:rsid w:val="00B91211"/>
    <w:rsid w:val="00B917EA"/>
    <w:rsid w:val="00B91C2C"/>
    <w:rsid w:val="00B92AE9"/>
    <w:rsid w:val="00B92BE9"/>
    <w:rsid w:val="00B9413A"/>
    <w:rsid w:val="00B9457E"/>
    <w:rsid w:val="00B94B99"/>
    <w:rsid w:val="00B95010"/>
    <w:rsid w:val="00B95340"/>
    <w:rsid w:val="00B95A78"/>
    <w:rsid w:val="00B95CCF"/>
    <w:rsid w:val="00B96881"/>
    <w:rsid w:val="00B9741A"/>
    <w:rsid w:val="00BA03D0"/>
    <w:rsid w:val="00BA0568"/>
    <w:rsid w:val="00BA0D73"/>
    <w:rsid w:val="00BA10EA"/>
    <w:rsid w:val="00BA11FA"/>
    <w:rsid w:val="00BA1543"/>
    <w:rsid w:val="00BA1EAA"/>
    <w:rsid w:val="00BA225D"/>
    <w:rsid w:val="00BA347D"/>
    <w:rsid w:val="00BA3708"/>
    <w:rsid w:val="00BA44F0"/>
    <w:rsid w:val="00BA4543"/>
    <w:rsid w:val="00BA59B5"/>
    <w:rsid w:val="00BA5B23"/>
    <w:rsid w:val="00BA6483"/>
    <w:rsid w:val="00BA68E0"/>
    <w:rsid w:val="00BA716A"/>
    <w:rsid w:val="00BA7A80"/>
    <w:rsid w:val="00BB0033"/>
    <w:rsid w:val="00BB0783"/>
    <w:rsid w:val="00BB0C0B"/>
    <w:rsid w:val="00BB13C3"/>
    <w:rsid w:val="00BB151E"/>
    <w:rsid w:val="00BB22DF"/>
    <w:rsid w:val="00BB2A1A"/>
    <w:rsid w:val="00BB300E"/>
    <w:rsid w:val="00BB3460"/>
    <w:rsid w:val="00BB3B6B"/>
    <w:rsid w:val="00BB3F5D"/>
    <w:rsid w:val="00BB415C"/>
    <w:rsid w:val="00BB48CB"/>
    <w:rsid w:val="00BB492D"/>
    <w:rsid w:val="00BB4BA6"/>
    <w:rsid w:val="00BB5D97"/>
    <w:rsid w:val="00BB62F6"/>
    <w:rsid w:val="00BB68CF"/>
    <w:rsid w:val="00BB69D5"/>
    <w:rsid w:val="00BC01BE"/>
    <w:rsid w:val="00BC0863"/>
    <w:rsid w:val="00BC086E"/>
    <w:rsid w:val="00BC0C7E"/>
    <w:rsid w:val="00BC279B"/>
    <w:rsid w:val="00BC408F"/>
    <w:rsid w:val="00BC4B25"/>
    <w:rsid w:val="00BC4F71"/>
    <w:rsid w:val="00BC519F"/>
    <w:rsid w:val="00BC53B6"/>
    <w:rsid w:val="00BC5510"/>
    <w:rsid w:val="00BC6082"/>
    <w:rsid w:val="00BC6E0D"/>
    <w:rsid w:val="00BD056E"/>
    <w:rsid w:val="00BD06DF"/>
    <w:rsid w:val="00BD0E03"/>
    <w:rsid w:val="00BD1056"/>
    <w:rsid w:val="00BD1503"/>
    <w:rsid w:val="00BD1DAE"/>
    <w:rsid w:val="00BD27EF"/>
    <w:rsid w:val="00BD2E4B"/>
    <w:rsid w:val="00BD35A8"/>
    <w:rsid w:val="00BD4055"/>
    <w:rsid w:val="00BD5111"/>
    <w:rsid w:val="00BD59D7"/>
    <w:rsid w:val="00BD6323"/>
    <w:rsid w:val="00BD66E0"/>
    <w:rsid w:val="00BD67D8"/>
    <w:rsid w:val="00BD7158"/>
    <w:rsid w:val="00BD71CC"/>
    <w:rsid w:val="00BD76EF"/>
    <w:rsid w:val="00BD7A7C"/>
    <w:rsid w:val="00BD7CC0"/>
    <w:rsid w:val="00BD7DEC"/>
    <w:rsid w:val="00BE0221"/>
    <w:rsid w:val="00BE0434"/>
    <w:rsid w:val="00BE222B"/>
    <w:rsid w:val="00BE25F0"/>
    <w:rsid w:val="00BE3597"/>
    <w:rsid w:val="00BE3760"/>
    <w:rsid w:val="00BE44E2"/>
    <w:rsid w:val="00BE475D"/>
    <w:rsid w:val="00BE4A6A"/>
    <w:rsid w:val="00BE502E"/>
    <w:rsid w:val="00BE539F"/>
    <w:rsid w:val="00BE56AB"/>
    <w:rsid w:val="00BE6152"/>
    <w:rsid w:val="00BF1028"/>
    <w:rsid w:val="00BF10F1"/>
    <w:rsid w:val="00BF11EB"/>
    <w:rsid w:val="00BF1422"/>
    <w:rsid w:val="00BF181C"/>
    <w:rsid w:val="00BF3003"/>
    <w:rsid w:val="00BF3023"/>
    <w:rsid w:val="00BF3586"/>
    <w:rsid w:val="00BF3F23"/>
    <w:rsid w:val="00BF47DC"/>
    <w:rsid w:val="00BF5873"/>
    <w:rsid w:val="00BF6ABC"/>
    <w:rsid w:val="00BF7B63"/>
    <w:rsid w:val="00BF7C81"/>
    <w:rsid w:val="00BF7CCD"/>
    <w:rsid w:val="00BF7D4B"/>
    <w:rsid w:val="00BF7DAA"/>
    <w:rsid w:val="00C0014A"/>
    <w:rsid w:val="00C00151"/>
    <w:rsid w:val="00C01087"/>
    <w:rsid w:val="00C01841"/>
    <w:rsid w:val="00C01FF9"/>
    <w:rsid w:val="00C02A41"/>
    <w:rsid w:val="00C02F53"/>
    <w:rsid w:val="00C03E2D"/>
    <w:rsid w:val="00C04F12"/>
    <w:rsid w:val="00C05CB8"/>
    <w:rsid w:val="00C06A0A"/>
    <w:rsid w:val="00C06AED"/>
    <w:rsid w:val="00C06BF1"/>
    <w:rsid w:val="00C06C98"/>
    <w:rsid w:val="00C071FB"/>
    <w:rsid w:val="00C07601"/>
    <w:rsid w:val="00C07978"/>
    <w:rsid w:val="00C1066D"/>
    <w:rsid w:val="00C1075F"/>
    <w:rsid w:val="00C113E3"/>
    <w:rsid w:val="00C1179B"/>
    <w:rsid w:val="00C11A7D"/>
    <w:rsid w:val="00C11A81"/>
    <w:rsid w:val="00C11B23"/>
    <w:rsid w:val="00C125F7"/>
    <w:rsid w:val="00C13067"/>
    <w:rsid w:val="00C131B3"/>
    <w:rsid w:val="00C13D4C"/>
    <w:rsid w:val="00C13E48"/>
    <w:rsid w:val="00C1488F"/>
    <w:rsid w:val="00C14AA9"/>
    <w:rsid w:val="00C1529F"/>
    <w:rsid w:val="00C156E3"/>
    <w:rsid w:val="00C162D1"/>
    <w:rsid w:val="00C1655D"/>
    <w:rsid w:val="00C1686A"/>
    <w:rsid w:val="00C16D3B"/>
    <w:rsid w:val="00C1764D"/>
    <w:rsid w:val="00C17D82"/>
    <w:rsid w:val="00C2002F"/>
    <w:rsid w:val="00C2056D"/>
    <w:rsid w:val="00C20BA1"/>
    <w:rsid w:val="00C20C73"/>
    <w:rsid w:val="00C2148B"/>
    <w:rsid w:val="00C22DAA"/>
    <w:rsid w:val="00C23423"/>
    <w:rsid w:val="00C235E8"/>
    <w:rsid w:val="00C242E5"/>
    <w:rsid w:val="00C243E7"/>
    <w:rsid w:val="00C24CCD"/>
    <w:rsid w:val="00C25053"/>
    <w:rsid w:val="00C25433"/>
    <w:rsid w:val="00C25BCE"/>
    <w:rsid w:val="00C26FE7"/>
    <w:rsid w:val="00C2771C"/>
    <w:rsid w:val="00C27871"/>
    <w:rsid w:val="00C303C7"/>
    <w:rsid w:val="00C30A0D"/>
    <w:rsid w:val="00C30ABC"/>
    <w:rsid w:val="00C30E5D"/>
    <w:rsid w:val="00C31803"/>
    <w:rsid w:val="00C31910"/>
    <w:rsid w:val="00C319A6"/>
    <w:rsid w:val="00C31B3F"/>
    <w:rsid w:val="00C33629"/>
    <w:rsid w:val="00C33D26"/>
    <w:rsid w:val="00C33E95"/>
    <w:rsid w:val="00C340F4"/>
    <w:rsid w:val="00C35548"/>
    <w:rsid w:val="00C35635"/>
    <w:rsid w:val="00C3570F"/>
    <w:rsid w:val="00C35760"/>
    <w:rsid w:val="00C3580C"/>
    <w:rsid w:val="00C35A29"/>
    <w:rsid w:val="00C35C2D"/>
    <w:rsid w:val="00C36107"/>
    <w:rsid w:val="00C367F7"/>
    <w:rsid w:val="00C36AE9"/>
    <w:rsid w:val="00C379FC"/>
    <w:rsid w:val="00C37DEE"/>
    <w:rsid w:val="00C40165"/>
    <w:rsid w:val="00C4142A"/>
    <w:rsid w:val="00C419C5"/>
    <w:rsid w:val="00C425A0"/>
    <w:rsid w:val="00C429EB"/>
    <w:rsid w:val="00C43020"/>
    <w:rsid w:val="00C4329F"/>
    <w:rsid w:val="00C43A9B"/>
    <w:rsid w:val="00C43B3F"/>
    <w:rsid w:val="00C43F14"/>
    <w:rsid w:val="00C44AC7"/>
    <w:rsid w:val="00C4512E"/>
    <w:rsid w:val="00C45686"/>
    <w:rsid w:val="00C461E9"/>
    <w:rsid w:val="00C474D5"/>
    <w:rsid w:val="00C50114"/>
    <w:rsid w:val="00C50A06"/>
    <w:rsid w:val="00C510B8"/>
    <w:rsid w:val="00C51436"/>
    <w:rsid w:val="00C51478"/>
    <w:rsid w:val="00C51D15"/>
    <w:rsid w:val="00C5214F"/>
    <w:rsid w:val="00C52AC6"/>
    <w:rsid w:val="00C539F8"/>
    <w:rsid w:val="00C54704"/>
    <w:rsid w:val="00C54888"/>
    <w:rsid w:val="00C5540F"/>
    <w:rsid w:val="00C55559"/>
    <w:rsid w:val="00C55A4F"/>
    <w:rsid w:val="00C55A6F"/>
    <w:rsid w:val="00C55E2B"/>
    <w:rsid w:val="00C5608D"/>
    <w:rsid w:val="00C564DD"/>
    <w:rsid w:val="00C56722"/>
    <w:rsid w:val="00C56762"/>
    <w:rsid w:val="00C56B7E"/>
    <w:rsid w:val="00C57753"/>
    <w:rsid w:val="00C57AF5"/>
    <w:rsid w:val="00C614CE"/>
    <w:rsid w:val="00C61582"/>
    <w:rsid w:val="00C61A56"/>
    <w:rsid w:val="00C625AD"/>
    <w:rsid w:val="00C628A2"/>
    <w:rsid w:val="00C63049"/>
    <w:rsid w:val="00C63487"/>
    <w:rsid w:val="00C6348A"/>
    <w:rsid w:val="00C635D7"/>
    <w:rsid w:val="00C63969"/>
    <w:rsid w:val="00C64640"/>
    <w:rsid w:val="00C64B30"/>
    <w:rsid w:val="00C65199"/>
    <w:rsid w:val="00C659DA"/>
    <w:rsid w:val="00C65B1B"/>
    <w:rsid w:val="00C66059"/>
    <w:rsid w:val="00C6635A"/>
    <w:rsid w:val="00C66C44"/>
    <w:rsid w:val="00C6778D"/>
    <w:rsid w:val="00C6780D"/>
    <w:rsid w:val="00C67985"/>
    <w:rsid w:val="00C67DD3"/>
    <w:rsid w:val="00C700EB"/>
    <w:rsid w:val="00C7023B"/>
    <w:rsid w:val="00C7065B"/>
    <w:rsid w:val="00C71570"/>
    <w:rsid w:val="00C717C4"/>
    <w:rsid w:val="00C71DED"/>
    <w:rsid w:val="00C72EC5"/>
    <w:rsid w:val="00C72ECF"/>
    <w:rsid w:val="00C7309A"/>
    <w:rsid w:val="00C73B1A"/>
    <w:rsid w:val="00C7454C"/>
    <w:rsid w:val="00C74A3D"/>
    <w:rsid w:val="00C74BFD"/>
    <w:rsid w:val="00C74E82"/>
    <w:rsid w:val="00C74F14"/>
    <w:rsid w:val="00C74F88"/>
    <w:rsid w:val="00C753D5"/>
    <w:rsid w:val="00C758A3"/>
    <w:rsid w:val="00C76F16"/>
    <w:rsid w:val="00C7716D"/>
    <w:rsid w:val="00C77AD2"/>
    <w:rsid w:val="00C77C1F"/>
    <w:rsid w:val="00C77F80"/>
    <w:rsid w:val="00C8033C"/>
    <w:rsid w:val="00C8060D"/>
    <w:rsid w:val="00C817EA"/>
    <w:rsid w:val="00C825D7"/>
    <w:rsid w:val="00C82759"/>
    <w:rsid w:val="00C82FCA"/>
    <w:rsid w:val="00C834E9"/>
    <w:rsid w:val="00C8362B"/>
    <w:rsid w:val="00C83653"/>
    <w:rsid w:val="00C83A23"/>
    <w:rsid w:val="00C83B20"/>
    <w:rsid w:val="00C841D8"/>
    <w:rsid w:val="00C84D5C"/>
    <w:rsid w:val="00C85F35"/>
    <w:rsid w:val="00C87059"/>
    <w:rsid w:val="00C8710F"/>
    <w:rsid w:val="00C87A80"/>
    <w:rsid w:val="00C9071E"/>
    <w:rsid w:val="00C90BF6"/>
    <w:rsid w:val="00C92033"/>
    <w:rsid w:val="00C92F2E"/>
    <w:rsid w:val="00C93317"/>
    <w:rsid w:val="00C94ACE"/>
    <w:rsid w:val="00C95EE1"/>
    <w:rsid w:val="00C96387"/>
    <w:rsid w:val="00C96537"/>
    <w:rsid w:val="00C96BDF"/>
    <w:rsid w:val="00C972F5"/>
    <w:rsid w:val="00C9797C"/>
    <w:rsid w:val="00C97CB0"/>
    <w:rsid w:val="00CA20AF"/>
    <w:rsid w:val="00CA2496"/>
    <w:rsid w:val="00CA2CA0"/>
    <w:rsid w:val="00CA2FD0"/>
    <w:rsid w:val="00CA31C6"/>
    <w:rsid w:val="00CA31E4"/>
    <w:rsid w:val="00CA33EF"/>
    <w:rsid w:val="00CA3C09"/>
    <w:rsid w:val="00CA48D3"/>
    <w:rsid w:val="00CA4992"/>
    <w:rsid w:val="00CA4A99"/>
    <w:rsid w:val="00CA50E6"/>
    <w:rsid w:val="00CA533B"/>
    <w:rsid w:val="00CA587E"/>
    <w:rsid w:val="00CA5BAE"/>
    <w:rsid w:val="00CA5D9F"/>
    <w:rsid w:val="00CA5F9A"/>
    <w:rsid w:val="00CA60D5"/>
    <w:rsid w:val="00CA6880"/>
    <w:rsid w:val="00CA6898"/>
    <w:rsid w:val="00CA716C"/>
    <w:rsid w:val="00CA71C5"/>
    <w:rsid w:val="00CA794E"/>
    <w:rsid w:val="00CB0CD8"/>
    <w:rsid w:val="00CB14DB"/>
    <w:rsid w:val="00CB15AD"/>
    <w:rsid w:val="00CB1ABD"/>
    <w:rsid w:val="00CB1F99"/>
    <w:rsid w:val="00CB2163"/>
    <w:rsid w:val="00CB286E"/>
    <w:rsid w:val="00CB2D28"/>
    <w:rsid w:val="00CB31F3"/>
    <w:rsid w:val="00CB35C6"/>
    <w:rsid w:val="00CB3A85"/>
    <w:rsid w:val="00CB3BDE"/>
    <w:rsid w:val="00CB3ED1"/>
    <w:rsid w:val="00CB41BD"/>
    <w:rsid w:val="00CB442D"/>
    <w:rsid w:val="00CB47D4"/>
    <w:rsid w:val="00CB576E"/>
    <w:rsid w:val="00CB5B21"/>
    <w:rsid w:val="00CB5D52"/>
    <w:rsid w:val="00CB5E2A"/>
    <w:rsid w:val="00CB60F5"/>
    <w:rsid w:val="00CB6E96"/>
    <w:rsid w:val="00CB6F73"/>
    <w:rsid w:val="00CB7154"/>
    <w:rsid w:val="00CB7CFB"/>
    <w:rsid w:val="00CC09C4"/>
    <w:rsid w:val="00CC0A16"/>
    <w:rsid w:val="00CC173F"/>
    <w:rsid w:val="00CC1C15"/>
    <w:rsid w:val="00CC1DA2"/>
    <w:rsid w:val="00CC269D"/>
    <w:rsid w:val="00CC3B42"/>
    <w:rsid w:val="00CC3FCF"/>
    <w:rsid w:val="00CC4096"/>
    <w:rsid w:val="00CC4AD2"/>
    <w:rsid w:val="00CC5A3B"/>
    <w:rsid w:val="00CC5D64"/>
    <w:rsid w:val="00CC6085"/>
    <w:rsid w:val="00CC64F7"/>
    <w:rsid w:val="00CC688A"/>
    <w:rsid w:val="00CC7088"/>
    <w:rsid w:val="00CC72C3"/>
    <w:rsid w:val="00CC782B"/>
    <w:rsid w:val="00CD0192"/>
    <w:rsid w:val="00CD0C2D"/>
    <w:rsid w:val="00CD0D5A"/>
    <w:rsid w:val="00CD151F"/>
    <w:rsid w:val="00CD1AE5"/>
    <w:rsid w:val="00CD3257"/>
    <w:rsid w:val="00CD383C"/>
    <w:rsid w:val="00CD4AC8"/>
    <w:rsid w:val="00CD5629"/>
    <w:rsid w:val="00CD564F"/>
    <w:rsid w:val="00CD56F1"/>
    <w:rsid w:val="00CD596A"/>
    <w:rsid w:val="00CD5BF7"/>
    <w:rsid w:val="00CD657C"/>
    <w:rsid w:val="00CD6588"/>
    <w:rsid w:val="00CD676C"/>
    <w:rsid w:val="00CD7C6A"/>
    <w:rsid w:val="00CE077E"/>
    <w:rsid w:val="00CE1A4E"/>
    <w:rsid w:val="00CE251D"/>
    <w:rsid w:val="00CE2708"/>
    <w:rsid w:val="00CE2AD3"/>
    <w:rsid w:val="00CE2C73"/>
    <w:rsid w:val="00CE2FB1"/>
    <w:rsid w:val="00CE31C8"/>
    <w:rsid w:val="00CE398B"/>
    <w:rsid w:val="00CE3F11"/>
    <w:rsid w:val="00CE4043"/>
    <w:rsid w:val="00CE4054"/>
    <w:rsid w:val="00CE4764"/>
    <w:rsid w:val="00CE5284"/>
    <w:rsid w:val="00CE53B0"/>
    <w:rsid w:val="00CF023E"/>
    <w:rsid w:val="00CF0CCE"/>
    <w:rsid w:val="00CF137F"/>
    <w:rsid w:val="00CF149B"/>
    <w:rsid w:val="00CF15F0"/>
    <w:rsid w:val="00CF2548"/>
    <w:rsid w:val="00CF371D"/>
    <w:rsid w:val="00CF3F14"/>
    <w:rsid w:val="00CF4B5E"/>
    <w:rsid w:val="00CF5734"/>
    <w:rsid w:val="00CF6131"/>
    <w:rsid w:val="00CF63E5"/>
    <w:rsid w:val="00CF69C4"/>
    <w:rsid w:val="00CF6F3A"/>
    <w:rsid w:val="00CF702A"/>
    <w:rsid w:val="00CF7E37"/>
    <w:rsid w:val="00D0021C"/>
    <w:rsid w:val="00D00714"/>
    <w:rsid w:val="00D00A0E"/>
    <w:rsid w:val="00D00E18"/>
    <w:rsid w:val="00D02439"/>
    <w:rsid w:val="00D025A9"/>
    <w:rsid w:val="00D029C7"/>
    <w:rsid w:val="00D03057"/>
    <w:rsid w:val="00D031EB"/>
    <w:rsid w:val="00D032F7"/>
    <w:rsid w:val="00D0397B"/>
    <w:rsid w:val="00D043B3"/>
    <w:rsid w:val="00D0485B"/>
    <w:rsid w:val="00D0496C"/>
    <w:rsid w:val="00D06193"/>
    <w:rsid w:val="00D06C31"/>
    <w:rsid w:val="00D06C9B"/>
    <w:rsid w:val="00D073E6"/>
    <w:rsid w:val="00D1078F"/>
    <w:rsid w:val="00D10882"/>
    <w:rsid w:val="00D119A1"/>
    <w:rsid w:val="00D11C34"/>
    <w:rsid w:val="00D121F4"/>
    <w:rsid w:val="00D12269"/>
    <w:rsid w:val="00D12822"/>
    <w:rsid w:val="00D129D1"/>
    <w:rsid w:val="00D12AD2"/>
    <w:rsid w:val="00D13565"/>
    <w:rsid w:val="00D16324"/>
    <w:rsid w:val="00D16C76"/>
    <w:rsid w:val="00D173AE"/>
    <w:rsid w:val="00D1758D"/>
    <w:rsid w:val="00D17849"/>
    <w:rsid w:val="00D17CD8"/>
    <w:rsid w:val="00D20511"/>
    <w:rsid w:val="00D206BD"/>
    <w:rsid w:val="00D206BE"/>
    <w:rsid w:val="00D211B0"/>
    <w:rsid w:val="00D21999"/>
    <w:rsid w:val="00D21ED5"/>
    <w:rsid w:val="00D21F47"/>
    <w:rsid w:val="00D221B0"/>
    <w:rsid w:val="00D223F6"/>
    <w:rsid w:val="00D22C67"/>
    <w:rsid w:val="00D22E0A"/>
    <w:rsid w:val="00D22F32"/>
    <w:rsid w:val="00D23EB5"/>
    <w:rsid w:val="00D247FC"/>
    <w:rsid w:val="00D2489D"/>
    <w:rsid w:val="00D24E65"/>
    <w:rsid w:val="00D2509B"/>
    <w:rsid w:val="00D2584F"/>
    <w:rsid w:val="00D25AB2"/>
    <w:rsid w:val="00D25E2A"/>
    <w:rsid w:val="00D2613A"/>
    <w:rsid w:val="00D263A1"/>
    <w:rsid w:val="00D26749"/>
    <w:rsid w:val="00D26A36"/>
    <w:rsid w:val="00D26E82"/>
    <w:rsid w:val="00D2733D"/>
    <w:rsid w:val="00D2789D"/>
    <w:rsid w:val="00D278D2"/>
    <w:rsid w:val="00D30A97"/>
    <w:rsid w:val="00D30EED"/>
    <w:rsid w:val="00D329F8"/>
    <w:rsid w:val="00D32BD3"/>
    <w:rsid w:val="00D32EBB"/>
    <w:rsid w:val="00D3321D"/>
    <w:rsid w:val="00D33963"/>
    <w:rsid w:val="00D33A9C"/>
    <w:rsid w:val="00D341FB"/>
    <w:rsid w:val="00D3438D"/>
    <w:rsid w:val="00D343AB"/>
    <w:rsid w:val="00D35697"/>
    <w:rsid w:val="00D367F2"/>
    <w:rsid w:val="00D376F1"/>
    <w:rsid w:val="00D3798F"/>
    <w:rsid w:val="00D37D66"/>
    <w:rsid w:val="00D401E6"/>
    <w:rsid w:val="00D40527"/>
    <w:rsid w:val="00D41075"/>
    <w:rsid w:val="00D41A90"/>
    <w:rsid w:val="00D41B36"/>
    <w:rsid w:val="00D43292"/>
    <w:rsid w:val="00D449D2"/>
    <w:rsid w:val="00D450FF"/>
    <w:rsid w:val="00D4519B"/>
    <w:rsid w:val="00D454EC"/>
    <w:rsid w:val="00D462B3"/>
    <w:rsid w:val="00D462C5"/>
    <w:rsid w:val="00D46C4D"/>
    <w:rsid w:val="00D46D2A"/>
    <w:rsid w:val="00D50090"/>
    <w:rsid w:val="00D507A7"/>
    <w:rsid w:val="00D508D0"/>
    <w:rsid w:val="00D508F3"/>
    <w:rsid w:val="00D50961"/>
    <w:rsid w:val="00D50A6E"/>
    <w:rsid w:val="00D511CA"/>
    <w:rsid w:val="00D51314"/>
    <w:rsid w:val="00D51C75"/>
    <w:rsid w:val="00D5281D"/>
    <w:rsid w:val="00D52C15"/>
    <w:rsid w:val="00D53725"/>
    <w:rsid w:val="00D53F5A"/>
    <w:rsid w:val="00D55A67"/>
    <w:rsid w:val="00D5614B"/>
    <w:rsid w:val="00D56B65"/>
    <w:rsid w:val="00D56B81"/>
    <w:rsid w:val="00D61129"/>
    <w:rsid w:val="00D61137"/>
    <w:rsid w:val="00D61FB0"/>
    <w:rsid w:val="00D6255F"/>
    <w:rsid w:val="00D625E6"/>
    <w:rsid w:val="00D62A6A"/>
    <w:rsid w:val="00D62B8A"/>
    <w:rsid w:val="00D62BAB"/>
    <w:rsid w:val="00D64705"/>
    <w:rsid w:val="00D664D1"/>
    <w:rsid w:val="00D66540"/>
    <w:rsid w:val="00D667EC"/>
    <w:rsid w:val="00D668AA"/>
    <w:rsid w:val="00D67802"/>
    <w:rsid w:val="00D67F4D"/>
    <w:rsid w:val="00D701BD"/>
    <w:rsid w:val="00D702C0"/>
    <w:rsid w:val="00D72325"/>
    <w:rsid w:val="00D72E41"/>
    <w:rsid w:val="00D7300F"/>
    <w:rsid w:val="00D73400"/>
    <w:rsid w:val="00D7459D"/>
    <w:rsid w:val="00D74B61"/>
    <w:rsid w:val="00D74E46"/>
    <w:rsid w:val="00D751A0"/>
    <w:rsid w:val="00D75DBF"/>
    <w:rsid w:val="00D765D5"/>
    <w:rsid w:val="00D77CE1"/>
    <w:rsid w:val="00D77DB3"/>
    <w:rsid w:val="00D80261"/>
    <w:rsid w:val="00D80D1C"/>
    <w:rsid w:val="00D815BA"/>
    <w:rsid w:val="00D8175C"/>
    <w:rsid w:val="00D81CE7"/>
    <w:rsid w:val="00D82201"/>
    <w:rsid w:val="00D8235B"/>
    <w:rsid w:val="00D82728"/>
    <w:rsid w:val="00D82934"/>
    <w:rsid w:val="00D8353F"/>
    <w:rsid w:val="00D83592"/>
    <w:rsid w:val="00D84B3B"/>
    <w:rsid w:val="00D84DFD"/>
    <w:rsid w:val="00D854D3"/>
    <w:rsid w:val="00D85B6F"/>
    <w:rsid w:val="00D85C27"/>
    <w:rsid w:val="00D86189"/>
    <w:rsid w:val="00D87392"/>
    <w:rsid w:val="00D874F3"/>
    <w:rsid w:val="00D8753F"/>
    <w:rsid w:val="00D913C4"/>
    <w:rsid w:val="00D914D0"/>
    <w:rsid w:val="00D91613"/>
    <w:rsid w:val="00D91E1F"/>
    <w:rsid w:val="00D924EE"/>
    <w:rsid w:val="00D92DA6"/>
    <w:rsid w:val="00D9348B"/>
    <w:rsid w:val="00D936F9"/>
    <w:rsid w:val="00D93DB3"/>
    <w:rsid w:val="00D93E26"/>
    <w:rsid w:val="00D94436"/>
    <w:rsid w:val="00D94D3A"/>
    <w:rsid w:val="00D95B42"/>
    <w:rsid w:val="00D95CA2"/>
    <w:rsid w:val="00D9645E"/>
    <w:rsid w:val="00D966AD"/>
    <w:rsid w:val="00D96802"/>
    <w:rsid w:val="00D96938"/>
    <w:rsid w:val="00D96B92"/>
    <w:rsid w:val="00D96C12"/>
    <w:rsid w:val="00D96F50"/>
    <w:rsid w:val="00D975D8"/>
    <w:rsid w:val="00D97A2F"/>
    <w:rsid w:val="00DA026A"/>
    <w:rsid w:val="00DA0410"/>
    <w:rsid w:val="00DA05C5"/>
    <w:rsid w:val="00DA0712"/>
    <w:rsid w:val="00DA0C96"/>
    <w:rsid w:val="00DA0CCB"/>
    <w:rsid w:val="00DA0F48"/>
    <w:rsid w:val="00DA10D9"/>
    <w:rsid w:val="00DA11E5"/>
    <w:rsid w:val="00DA16D2"/>
    <w:rsid w:val="00DA180D"/>
    <w:rsid w:val="00DA205D"/>
    <w:rsid w:val="00DA222D"/>
    <w:rsid w:val="00DA27A6"/>
    <w:rsid w:val="00DA2962"/>
    <w:rsid w:val="00DA32B3"/>
    <w:rsid w:val="00DA3578"/>
    <w:rsid w:val="00DA36FF"/>
    <w:rsid w:val="00DA3F00"/>
    <w:rsid w:val="00DA3F01"/>
    <w:rsid w:val="00DA4CD6"/>
    <w:rsid w:val="00DA4E9B"/>
    <w:rsid w:val="00DA50A7"/>
    <w:rsid w:val="00DA5685"/>
    <w:rsid w:val="00DA5950"/>
    <w:rsid w:val="00DA5BBC"/>
    <w:rsid w:val="00DA6120"/>
    <w:rsid w:val="00DA63D6"/>
    <w:rsid w:val="00DA6874"/>
    <w:rsid w:val="00DA69E6"/>
    <w:rsid w:val="00DA6DA1"/>
    <w:rsid w:val="00DA7556"/>
    <w:rsid w:val="00DA7FC8"/>
    <w:rsid w:val="00DB06BE"/>
    <w:rsid w:val="00DB0FFD"/>
    <w:rsid w:val="00DB1017"/>
    <w:rsid w:val="00DB115E"/>
    <w:rsid w:val="00DB16B8"/>
    <w:rsid w:val="00DB16C9"/>
    <w:rsid w:val="00DB1C0E"/>
    <w:rsid w:val="00DB23DC"/>
    <w:rsid w:val="00DB27F7"/>
    <w:rsid w:val="00DB2F1A"/>
    <w:rsid w:val="00DB3904"/>
    <w:rsid w:val="00DB3A4D"/>
    <w:rsid w:val="00DB41EC"/>
    <w:rsid w:val="00DB5375"/>
    <w:rsid w:val="00DB644B"/>
    <w:rsid w:val="00DB688F"/>
    <w:rsid w:val="00DB7571"/>
    <w:rsid w:val="00DB7D21"/>
    <w:rsid w:val="00DB7DF4"/>
    <w:rsid w:val="00DC13D4"/>
    <w:rsid w:val="00DC15F5"/>
    <w:rsid w:val="00DC1A01"/>
    <w:rsid w:val="00DC1F24"/>
    <w:rsid w:val="00DC1FB4"/>
    <w:rsid w:val="00DC2984"/>
    <w:rsid w:val="00DC2A7A"/>
    <w:rsid w:val="00DC2E70"/>
    <w:rsid w:val="00DC2FC9"/>
    <w:rsid w:val="00DC3088"/>
    <w:rsid w:val="00DC3649"/>
    <w:rsid w:val="00DC3E8B"/>
    <w:rsid w:val="00DC4746"/>
    <w:rsid w:val="00DC4FDF"/>
    <w:rsid w:val="00DC6BCE"/>
    <w:rsid w:val="00DC7955"/>
    <w:rsid w:val="00DC7DEF"/>
    <w:rsid w:val="00DD0068"/>
    <w:rsid w:val="00DD00F1"/>
    <w:rsid w:val="00DD08D0"/>
    <w:rsid w:val="00DD08EF"/>
    <w:rsid w:val="00DD0BB7"/>
    <w:rsid w:val="00DD0E0B"/>
    <w:rsid w:val="00DD1203"/>
    <w:rsid w:val="00DD1985"/>
    <w:rsid w:val="00DD2C13"/>
    <w:rsid w:val="00DD326C"/>
    <w:rsid w:val="00DD3848"/>
    <w:rsid w:val="00DD4A6C"/>
    <w:rsid w:val="00DD50BA"/>
    <w:rsid w:val="00DD52D8"/>
    <w:rsid w:val="00DD54F5"/>
    <w:rsid w:val="00DD6709"/>
    <w:rsid w:val="00DD6A67"/>
    <w:rsid w:val="00DD6B46"/>
    <w:rsid w:val="00DE0544"/>
    <w:rsid w:val="00DE06C4"/>
    <w:rsid w:val="00DE1E8B"/>
    <w:rsid w:val="00DE32BE"/>
    <w:rsid w:val="00DE3777"/>
    <w:rsid w:val="00DE37D7"/>
    <w:rsid w:val="00DE52BA"/>
    <w:rsid w:val="00DE53D3"/>
    <w:rsid w:val="00DE63D4"/>
    <w:rsid w:val="00DE7A70"/>
    <w:rsid w:val="00DE7F21"/>
    <w:rsid w:val="00DE7FAF"/>
    <w:rsid w:val="00DF090A"/>
    <w:rsid w:val="00DF1CC0"/>
    <w:rsid w:val="00DF1E81"/>
    <w:rsid w:val="00DF21BB"/>
    <w:rsid w:val="00DF2804"/>
    <w:rsid w:val="00DF2A19"/>
    <w:rsid w:val="00DF2C0E"/>
    <w:rsid w:val="00DF30FD"/>
    <w:rsid w:val="00DF3909"/>
    <w:rsid w:val="00DF3B0C"/>
    <w:rsid w:val="00DF3DBC"/>
    <w:rsid w:val="00DF40AB"/>
    <w:rsid w:val="00DF49F0"/>
    <w:rsid w:val="00DF4E87"/>
    <w:rsid w:val="00DF509F"/>
    <w:rsid w:val="00DF54A7"/>
    <w:rsid w:val="00DF55B4"/>
    <w:rsid w:val="00DF5AFC"/>
    <w:rsid w:val="00DF5D0D"/>
    <w:rsid w:val="00DF62AC"/>
    <w:rsid w:val="00DF6F08"/>
    <w:rsid w:val="00DF6FE1"/>
    <w:rsid w:val="00DF78ED"/>
    <w:rsid w:val="00DF7C6B"/>
    <w:rsid w:val="00E00AB5"/>
    <w:rsid w:val="00E01CEF"/>
    <w:rsid w:val="00E01DB3"/>
    <w:rsid w:val="00E02087"/>
    <w:rsid w:val="00E02118"/>
    <w:rsid w:val="00E024F6"/>
    <w:rsid w:val="00E02674"/>
    <w:rsid w:val="00E0270C"/>
    <w:rsid w:val="00E02D38"/>
    <w:rsid w:val="00E02DC4"/>
    <w:rsid w:val="00E02FDA"/>
    <w:rsid w:val="00E03689"/>
    <w:rsid w:val="00E03B18"/>
    <w:rsid w:val="00E04573"/>
    <w:rsid w:val="00E049D9"/>
    <w:rsid w:val="00E04ABF"/>
    <w:rsid w:val="00E04DA5"/>
    <w:rsid w:val="00E0519B"/>
    <w:rsid w:val="00E05214"/>
    <w:rsid w:val="00E05465"/>
    <w:rsid w:val="00E05751"/>
    <w:rsid w:val="00E05879"/>
    <w:rsid w:val="00E05A33"/>
    <w:rsid w:val="00E068DF"/>
    <w:rsid w:val="00E06A05"/>
    <w:rsid w:val="00E06BA8"/>
    <w:rsid w:val="00E07728"/>
    <w:rsid w:val="00E07B2E"/>
    <w:rsid w:val="00E07CB4"/>
    <w:rsid w:val="00E10001"/>
    <w:rsid w:val="00E1013F"/>
    <w:rsid w:val="00E101E8"/>
    <w:rsid w:val="00E10998"/>
    <w:rsid w:val="00E10FF1"/>
    <w:rsid w:val="00E11B44"/>
    <w:rsid w:val="00E11C23"/>
    <w:rsid w:val="00E12181"/>
    <w:rsid w:val="00E12AE4"/>
    <w:rsid w:val="00E12F29"/>
    <w:rsid w:val="00E13142"/>
    <w:rsid w:val="00E13281"/>
    <w:rsid w:val="00E1383F"/>
    <w:rsid w:val="00E13FCE"/>
    <w:rsid w:val="00E149C4"/>
    <w:rsid w:val="00E14D95"/>
    <w:rsid w:val="00E1526D"/>
    <w:rsid w:val="00E15A6C"/>
    <w:rsid w:val="00E15E04"/>
    <w:rsid w:val="00E16153"/>
    <w:rsid w:val="00E16420"/>
    <w:rsid w:val="00E16471"/>
    <w:rsid w:val="00E16AF1"/>
    <w:rsid w:val="00E16F0B"/>
    <w:rsid w:val="00E17C32"/>
    <w:rsid w:val="00E17D55"/>
    <w:rsid w:val="00E17ED4"/>
    <w:rsid w:val="00E20378"/>
    <w:rsid w:val="00E20ED5"/>
    <w:rsid w:val="00E20F55"/>
    <w:rsid w:val="00E2151F"/>
    <w:rsid w:val="00E23694"/>
    <w:rsid w:val="00E244FC"/>
    <w:rsid w:val="00E24684"/>
    <w:rsid w:val="00E2535F"/>
    <w:rsid w:val="00E25B2C"/>
    <w:rsid w:val="00E261D5"/>
    <w:rsid w:val="00E27102"/>
    <w:rsid w:val="00E27411"/>
    <w:rsid w:val="00E27BDC"/>
    <w:rsid w:val="00E27D3E"/>
    <w:rsid w:val="00E27DF0"/>
    <w:rsid w:val="00E30DFA"/>
    <w:rsid w:val="00E310A3"/>
    <w:rsid w:val="00E31B56"/>
    <w:rsid w:val="00E324FB"/>
    <w:rsid w:val="00E32806"/>
    <w:rsid w:val="00E32A3A"/>
    <w:rsid w:val="00E32BA2"/>
    <w:rsid w:val="00E32BF6"/>
    <w:rsid w:val="00E3363A"/>
    <w:rsid w:val="00E33757"/>
    <w:rsid w:val="00E3428A"/>
    <w:rsid w:val="00E3477F"/>
    <w:rsid w:val="00E34E7C"/>
    <w:rsid w:val="00E357E1"/>
    <w:rsid w:val="00E35B38"/>
    <w:rsid w:val="00E35D4C"/>
    <w:rsid w:val="00E35EBA"/>
    <w:rsid w:val="00E36691"/>
    <w:rsid w:val="00E36A4F"/>
    <w:rsid w:val="00E36CDE"/>
    <w:rsid w:val="00E36DF2"/>
    <w:rsid w:val="00E407C3"/>
    <w:rsid w:val="00E40A03"/>
    <w:rsid w:val="00E40A65"/>
    <w:rsid w:val="00E40C06"/>
    <w:rsid w:val="00E40E78"/>
    <w:rsid w:val="00E40F8E"/>
    <w:rsid w:val="00E411C5"/>
    <w:rsid w:val="00E41557"/>
    <w:rsid w:val="00E41E96"/>
    <w:rsid w:val="00E41F34"/>
    <w:rsid w:val="00E42312"/>
    <w:rsid w:val="00E42868"/>
    <w:rsid w:val="00E42BBC"/>
    <w:rsid w:val="00E42E41"/>
    <w:rsid w:val="00E42E5A"/>
    <w:rsid w:val="00E431B9"/>
    <w:rsid w:val="00E43359"/>
    <w:rsid w:val="00E43690"/>
    <w:rsid w:val="00E4379B"/>
    <w:rsid w:val="00E4379F"/>
    <w:rsid w:val="00E44190"/>
    <w:rsid w:val="00E448EE"/>
    <w:rsid w:val="00E45335"/>
    <w:rsid w:val="00E45CE4"/>
    <w:rsid w:val="00E46BED"/>
    <w:rsid w:val="00E46BFD"/>
    <w:rsid w:val="00E472C0"/>
    <w:rsid w:val="00E47649"/>
    <w:rsid w:val="00E47B60"/>
    <w:rsid w:val="00E50507"/>
    <w:rsid w:val="00E50CA1"/>
    <w:rsid w:val="00E51D3B"/>
    <w:rsid w:val="00E52F06"/>
    <w:rsid w:val="00E52F81"/>
    <w:rsid w:val="00E5337A"/>
    <w:rsid w:val="00E53EA6"/>
    <w:rsid w:val="00E5481D"/>
    <w:rsid w:val="00E54997"/>
    <w:rsid w:val="00E54A59"/>
    <w:rsid w:val="00E54BB5"/>
    <w:rsid w:val="00E55B42"/>
    <w:rsid w:val="00E55CC5"/>
    <w:rsid w:val="00E55FE1"/>
    <w:rsid w:val="00E56812"/>
    <w:rsid w:val="00E57319"/>
    <w:rsid w:val="00E57E34"/>
    <w:rsid w:val="00E606E8"/>
    <w:rsid w:val="00E607C0"/>
    <w:rsid w:val="00E6108C"/>
    <w:rsid w:val="00E611E3"/>
    <w:rsid w:val="00E6127A"/>
    <w:rsid w:val="00E61427"/>
    <w:rsid w:val="00E6151D"/>
    <w:rsid w:val="00E61F04"/>
    <w:rsid w:val="00E622B6"/>
    <w:rsid w:val="00E626E6"/>
    <w:rsid w:val="00E63064"/>
    <w:rsid w:val="00E630BD"/>
    <w:rsid w:val="00E63CCE"/>
    <w:rsid w:val="00E645CF"/>
    <w:rsid w:val="00E64FF5"/>
    <w:rsid w:val="00E654EF"/>
    <w:rsid w:val="00E663F7"/>
    <w:rsid w:val="00E6654B"/>
    <w:rsid w:val="00E66582"/>
    <w:rsid w:val="00E66BF8"/>
    <w:rsid w:val="00E673AC"/>
    <w:rsid w:val="00E675D3"/>
    <w:rsid w:val="00E67D54"/>
    <w:rsid w:val="00E7082A"/>
    <w:rsid w:val="00E7124B"/>
    <w:rsid w:val="00E72771"/>
    <w:rsid w:val="00E72AC5"/>
    <w:rsid w:val="00E739E4"/>
    <w:rsid w:val="00E73E77"/>
    <w:rsid w:val="00E74803"/>
    <w:rsid w:val="00E74862"/>
    <w:rsid w:val="00E74DF6"/>
    <w:rsid w:val="00E758C5"/>
    <w:rsid w:val="00E75B54"/>
    <w:rsid w:val="00E75CC6"/>
    <w:rsid w:val="00E75E20"/>
    <w:rsid w:val="00E766AE"/>
    <w:rsid w:val="00E768B6"/>
    <w:rsid w:val="00E774D9"/>
    <w:rsid w:val="00E77FE2"/>
    <w:rsid w:val="00E77FFA"/>
    <w:rsid w:val="00E801D1"/>
    <w:rsid w:val="00E80298"/>
    <w:rsid w:val="00E80720"/>
    <w:rsid w:val="00E81205"/>
    <w:rsid w:val="00E818AB"/>
    <w:rsid w:val="00E81E48"/>
    <w:rsid w:val="00E823B2"/>
    <w:rsid w:val="00E833FA"/>
    <w:rsid w:val="00E836F7"/>
    <w:rsid w:val="00E836FA"/>
    <w:rsid w:val="00E83975"/>
    <w:rsid w:val="00E83F75"/>
    <w:rsid w:val="00E84374"/>
    <w:rsid w:val="00E84596"/>
    <w:rsid w:val="00E8481C"/>
    <w:rsid w:val="00E84822"/>
    <w:rsid w:val="00E855B5"/>
    <w:rsid w:val="00E8647A"/>
    <w:rsid w:val="00E86EF1"/>
    <w:rsid w:val="00E87268"/>
    <w:rsid w:val="00E87AB9"/>
    <w:rsid w:val="00E9130F"/>
    <w:rsid w:val="00E91AEF"/>
    <w:rsid w:val="00E92750"/>
    <w:rsid w:val="00E92A72"/>
    <w:rsid w:val="00E93059"/>
    <w:rsid w:val="00E93E1B"/>
    <w:rsid w:val="00E94327"/>
    <w:rsid w:val="00E945BF"/>
    <w:rsid w:val="00E94F7A"/>
    <w:rsid w:val="00E95420"/>
    <w:rsid w:val="00E95DD2"/>
    <w:rsid w:val="00E96086"/>
    <w:rsid w:val="00E96365"/>
    <w:rsid w:val="00E964FE"/>
    <w:rsid w:val="00E979BB"/>
    <w:rsid w:val="00E97CBF"/>
    <w:rsid w:val="00E97D71"/>
    <w:rsid w:val="00EA20F9"/>
    <w:rsid w:val="00EA230C"/>
    <w:rsid w:val="00EA2653"/>
    <w:rsid w:val="00EA2796"/>
    <w:rsid w:val="00EA3293"/>
    <w:rsid w:val="00EA330F"/>
    <w:rsid w:val="00EA3A8F"/>
    <w:rsid w:val="00EA3CBC"/>
    <w:rsid w:val="00EA4842"/>
    <w:rsid w:val="00EA4FAF"/>
    <w:rsid w:val="00EA50CD"/>
    <w:rsid w:val="00EA57F2"/>
    <w:rsid w:val="00EA5C32"/>
    <w:rsid w:val="00EA5D50"/>
    <w:rsid w:val="00EA6C96"/>
    <w:rsid w:val="00EA6D25"/>
    <w:rsid w:val="00EA706C"/>
    <w:rsid w:val="00EA728D"/>
    <w:rsid w:val="00EA75E6"/>
    <w:rsid w:val="00EA7BBD"/>
    <w:rsid w:val="00EB001A"/>
    <w:rsid w:val="00EB060C"/>
    <w:rsid w:val="00EB0641"/>
    <w:rsid w:val="00EB1091"/>
    <w:rsid w:val="00EB13E8"/>
    <w:rsid w:val="00EB155F"/>
    <w:rsid w:val="00EB15E6"/>
    <w:rsid w:val="00EB18D4"/>
    <w:rsid w:val="00EB1BDC"/>
    <w:rsid w:val="00EB229D"/>
    <w:rsid w:val="00EB2B2B"/>
    <w:rsid w:val="00EB2C5F"/>
    <w:rsid w:val="00EB30C1"/>
    <w:rsid w:val="00EB3A7A"/>
    <w:rsid w:val="00EB3E9A"/>
    <w:rsid w:val="00EB416C"/>
    <w:rsid w:val="00EB4345"/>
    <w:rsid w:val="00EB451C"/>
    <w:rsid w:val="00EB4E35"/>
    <w:rsid w:val="00EB4FFE"/>
    <w:rsid w:val="00EB53FD"/>
    <w:rsid w:val="00EB5B20"/>
    <w:rsid w:val="00EB622D"/>
    <w:rsid w:val="00EB65EF"/>
    <w:rsid w:val="00EB6851"/>
    <w:rsid w:val="00EB6A80"/>
    <w:rsid w:val="00EB76E8"/>
    <w:rsid w:val="00EB7F0C"/>
    <w:rsid w:val="00EC086C"/>
    <w:rsid w:val="00EC17C8"/>
    <w:rsid w:val="00EC1F62"/>
    <w:rsid w:val="00EC2036"/>
    <w:rsid w:val="00EC2668"/>
    <w:rsid w:val="00EC2DCC"/>
    <w:rsid w:val="00EC305A"/>
    <w:rsid w:val="00EC3796"/>
    <w:rsid w:val="00EC388F"/>
    <w:rsid w:val="00EC648A"/>
    <w:rsid w:val="00EC6A1D"/>
    <w:rsid w:val="00EC6F6C"/>
    <w:rsid w:val="00EC785C"/>
    <w:rsid w:val="00EC7890"/>
    <w:rsid w:val="00EC7EB2"/>
    <w:rsid w:val="00ED092D"/>
    <w:rsid w:val="00ED11D2"/>
    <w:rsid w:val="00ED12CA"/>
    <w:rsid w:val="00ED1623"/>
    <w:rsid w:val="00ED23F9"/>
    <w:rsid w:val="00ED28F9"/>
    <w:rsid w:val="00ED2A1B"/>
    <w:rsid w:val="00ED335B"/>
    <w:rsid w:val="00ED4197"/>
    <w:rsid w:val="00ED422C"/>
    <w:rsid w:val="00ED48AB"/>
    <w:rsid w:val="00ED6154"/>
    <w:rsid w:val="00ED63A3"/>
    <w:rsid w:val="00ED6776"/>
    <w:rsid w:val="00ED7145"/>
    <w:rsid w:val="00ED7743"/>
    <w:rsid w:val="00ED7D6B"/>
    <w:rsid w:val="00EE0281"/>
    <w:rsid w:val="00EE0A68"/>
    <w:rsid w:val="00EE1008"/>
    <w:rsid w:val="00EE1133"/>
    <w:rsid w:val="00EE114F"/>
    <w:rsid w:val="00EE1450"/>
    <w:rsid w:val="00EE192C"/>
    <w:rsid w:val="00EE282C"/>
    <w:rsid w:val="00EE374E"/>
    <w:rsid w:val="00EE437D"/>
    <w:rsid w:val="00EE439F"/>
    <w:rsid w:val="00EE4415"/>
    <w:rsid w:val="00EE4F26"/>
    <w:rsid w:val="00EE4FCC"/>
    <w:rsid w:val="00EE5325"/>
    <w:rsid w:val="00EE53F0"/>
    <w:rsid w:val="00EE6252"/>
    <w:rsid w:val="00EE680B"/>
    <w:rsid w:val="00EE6F2B"/>
    <w:rsid w:val="00EE7021"/>
    <w:rsid w:val="00EE7277"/>
    <w:rsid w:val="00EE7AE7"/>
    <w:rsid w:val="00EF0268"/>
    <w:rsid w:val="00EF043D"/>
    <w:rsid w:val="00EF0478"/>
    <w:rsid w:val="00EF115E"/>
    <w:rsid w:val="00EF1E36"/>
    <w:rsid w:val="00EF20F6"/>
    <w:rsid w:val="00EF2802"/>
    <w:rsid w:val="00EF336D"/>
    <w:rsid w:val="00EF3641"/>
    <w:rsid w:val="00EF3CDE"/>
    <w:rsid w:val="00EF5ADD"/>
    <w:rsid w:val="00EF5B29"/>
    <w:rsid w:val="00EF5E77"/>
    <w:rsid w:val="00EF728C"/>
    <w:rsid w:val="00EF77AE"/>
    <w:rsid w:val="00EF77CD"/>
    <w:rsid w:val="00F01ED5"/>
    <w:rsid w:val="00F02413"/>
    <w:rsid w:val="00F027CB"/>
    <w:rsid w:val="00F02DD6"/>
    <w:rsid w:val="00F03488"/>
    <w:rsid w:val="00F0441B"/>
    <w:rsid w:val="00F046A4"/>
    <w:rsid w:val="00F046BB"/>
    <w:rsid w:val="00F046BC"/>
    <w:rsid w:val="00F04C18"/>
    <w:rsid w:val="00F04CBB"/>
    <w:rsid w:val="00F0508A"/>
    <w:rsid w:val="00F054BE"/>
    <w:rsid w:val="00F058C4"/>
    <w:rsid w:val="00F05A23"/>
    <w:rsid w:val="00F05C96"/>
    <w:rsid w:val="00F05EA5"/>
    <w:rsid w:val="00F061E8"/>
    <w:rsid w:val="00F07535"/>
    <w:rsid w:val="00F07C41"/>
    <w:rsid w:val="00F07DBF"/>
    <w:rsid w:val="00F10CAA"/>
    <w:rsid w:val="00F116B3"/>
    <w:rsid w:val="00F1182C"/>
    <w:rsid w:val="00F118F3"/>
    <w:rsid w:val="00F11F9D"/>
    <w:rsid w:val="00F1270C"/>
    <w:rsid w:val="00F12C65"/>
    <w:rsid w:val="00F12C6D"/>
    <w:rsid w:val="00F12EB9"/>
    <w:rsid w:val="00F12FAE"/>
    <w:rsid w:val="00F134A3"/>
    <w:rsid w:val="00F13588"/>
    <w:rsid w:val="00F137E7"/>
    <w:rsid w:val="00F144C0"/>
    <w:rsid w:val="00F14E0A"/>
    <w:rsid w:val="00F1541D"/>
    <w:rsid w:val="00F15992"/>
    <w:rsid w:val="00F15BE5"/>
    <w:rsid w:val="00F15BFF"/>
    <w:rsid w:val="00F15E98"/>
    <w:rsid w:val="00F16591"/>
    <w:rsid w:val="00F16622"/>
    <w:rsid w:val="00F16E54"/>
    <w:rsid w:val="00F17153"/>
    <w:rsid w:val="00F175C7"/>
    <w:rsid w:val="00F175E5"/>
    <w:rsid w:val="00F17604"/>
    <w:rsid w:val="00F1763D"/>
    <w:rsid w:val="00F2069E"/>
    <w:rsid w:val="00F22C5A"/>
    <w:rsid w:val="00F2335D"/>
    <w:rsid w:val="00F23438"/>
    <w:rsid w:val="00F235AB"/>
    <w:rsid w:val="00F2393E"/>
    <w:rsid w:val="00F243EF"/>
    <w:rsid w:val="00F24605"/>
    <w:rsid w:val="00F2540A"/>
    <w:rsid w:val="00F255FF"/>
    <w:rsid w:val="00F2579D"/>
    <w:rsid w:val="00F26A2D"/>
    <w:rsid w:val="00F2722C"/>
    <w:rsid w:val="00F27DF4"/>
    <w:rsid w:val="00F3050F"/>
    <w:rsid w:val="00F305B5"/>
    <w:rsid w:val="00F3063D"/>
    <w:rsid w:val="00F306E6"/>
    <w:rsid w:val="00F30C8C"/>
    <w:rsid w:val="00F30EC8"/>
    <w:rsid w:val="00F329D7"/>
    <w:rsid w:val="00F32AC1"/>
    <w:rsid w:val="00F32B78"/>
    <w:rsid w:val="00F33211"/>
    <w:rsid w:val="00F332A2"/>
    <w:rsid w:val="00F332D9"/>
    <w:rsid w:val="00F334C0"/>
    <w:rsid w:val="00F33A25"/>
    <w:rsid w:val="00F33B95"/>
    <w:rsid w:val="00F34093"/>
    <w:rsid w:val="00F3410D"/>
    <w:rsid w:val="00F34853"/>
    <w:rsid w:val="00F34A8B"/>
    <w:rsid w:val="00F34AC4"/>
    <w:rsid w:val="00F35A5C"/>
    <w:rsid w:val="00F36716"/>
    <w:rsid w:val="00F375D6"/>
    <w:rsid w:val="00F37EA4"/>
    <w:rsid w:val="00F40711"/>
    <w:rsid w:val="00F40A57"/>
    <w:rsid w:val="00F40C11"/>
    <w:rsid w:val="00F40CBD"/>
    <w:rsid w:val="00F41208"/>
    <w:rsid w:val="00F415DF"/>
    <w:rsid w:val="00F416F4"/>
    <w:rsid w:val="00F41C1B"/>
    <w:rsid w:val="00F42C3E"/>
    <w:rsid w:val="00F438E7"/>
    <w:rsid w:val="00F44AE9"/>
    <w:rsid w:val="00F44D1A"/>
    <w:rsid w:val="00F45163"/>
    <w:rsid w:val="00F45510"/>
    <w:rsid w:val="00F45BCE"/>
    <w:rsid w:val="00F4655F"/>
    <w:rsid w:val="00F4746E"/>
    <w:rsid w:val="00F47804"/>
    <w:rsid w:val="00F5012A"/>
    <w:rsid w:val="00F50617"/>
    <w:rsid w:val="00F50D47"/>
    <w:rsid w:val="00F50E9E"/>
    <w:rsid w:val="00F51525"/>
    <w:rsid w:val="00F5152C"/>
    <w:rsid w:val="00F51E9A"/>
    <w:rsid w:val="00F522AF"/>
    <w:rsid w:val="00F52321"/>
    <w:rsid w:val="00F5251E"/>
    <w:rsid w:val="00F527ED"/>
    <w:rsid w:val="00F52AD2"/>
    <w:rsid w:val="00F53DF7"/>
    <w:rsid w:val="00F54001"/>
    <w:rsid w:val="00F540C1"/>
    <w:rsid w:val="00F54B55"/>
    <w:rsid w:val="00F54F7E"/>
    <w:rsid w:val="00F554AB"/>
    <w:rsid w:val="00F557F4"/>
    <w:rsid w:val="00F55D72"/>
    <w:rsid w:val="00F560CC"/>
    <w:rsid w:val="00F57851"/>
    <w:rsid w:val="00F578C7"/>
    <w:rsid w:val="00F57D91"/>
    <w:rsid w:val="00F60684"/>
    <w:rsid w:val="00F609BE"/>
    <w:rsid w:val="00F60A91"/>
    <w:rsid w:val="00F60B21"/>
    <w:rsid w:val="00F60D4C"/>
    <w:rsid w:val="00F61158"/>
    <w:rsid w:val="00F61794"/>
    <w:rsid w:val="00F61CAC"/>
    <w:rsid w:val="00F6226E"/>
    <w:rsid w:val="00F625A8"/>
    <w:rsid w:val="00F626B7"/>
    <w:rsid w:val="00F63273"/>
    <w:rsid w:val="00F634BC"/>
    <w:rsid w:val="00F63613"/>
    <w:rsid w:val="00F63AC4"/>
    <w:rsid w:val="00F64785"/>
    <w:rsid w:val="00F64890"/>
    <w:rsid w:val="00F64A02"/>
    <w:rsid w:val="00F64B04"/>
    <w:rsid w:val="00F65A42"/>
    <w:rsid w:val="00F666E8"/>
    <w:rsid w:val="00F6774C"/>
    <w:rsid w:val="00F67EC4"/>
    <w:rsid w:val="00F701B1"/>
    <w:rsid w:val="00F70647"/>
    <w:rsid w:val="00F70E25"/>
    <w:rsid w:val="00F713C7"/>
    <w:rsid w:val="00F71A65"/>
    <w:rsid w:val="00F71C62"/>
    <w:rsid w:val="00F72995"/>
    <w:rsid w:val="00F72E35"/>
    <w:rsid w:val="00F730E8"/>
    <w:rsid w:val="00F73B14"/>
    <w:rsid w:val="00F73BCC"/>
    <w:rsid w:val="00F743EF"/>
    <w:rsid w:val="00F74A85"/>
    <w:rsid w:val="00F74D73"/>
    <w:rsid w:val="00F751F8"/>
    <w:rsid w:val="00F7530A"/>
    <w:rsid w:val="00F754EF"/>
    <w:rsid w:val="00F765DD"/>
    <w:rsid w:val="00F766A0"/>
    <w:rsid w:val="00F76797"/>
    <w:rsid w:val="00F76BD8"/>
    <w:rsid w:val="00F77661"/>
    <w:rsid w:val="00F77707"/>
    <w:rsid w:val="00F8007B"/>
    <w:rsid w:val="00F802AA"/>
    <w:rsid w:val="00F8040B"/>
    <w:rsid w:val="00F8075A"/>
    <w:rsid w:val="00F807FE"/>
    <w:rsid w:val="00F8186F"/>
    <w:rsid w:val="00F82CB2"/>
    <w:rsid w:val="00F8301C"/>
    <w:rsid w:val="00F83574"/>
    <w:rsid w:val="00F83D75"/>
    <w:rsid w:val="00F83F8A"/>
    <w:rsid w:val="00F84C19"/>
    <w:rsid w:val="00F852C0"/>
    <w:rsid w:val="00F85A2E"/>
    <w:rsid w:val="00F86319"/>
    <w:rsid w:val="00F87476"/>
    <w:rsid w:val="00F87B6B"/>
    <w:rsid w:val="00F90BD9"/>
    <w:rsid w:val="00F90C47"/>
    <w:rsid w:val="00F9140B"/>
    <w:rsid w:val="00F919DA"/>
    <w:rsid w:val="00F91FD0"/>
    <w:rsid w:val="00F9379E"/>
    <w:rsid w:val="00F94DEC"/>
    <w:rsid w:val="00F95437"/>
    <w:rsid w:val="00F954D7"/>
    <w:rsid w:val="00F95CFC"/>
    <w:rsid w:val="00F967A0"/>
    <w:rsid w:val="00F968A7"/>
    <w:rsid w:val="00F96F1E"/>
    <w:rsid w:val="00F97AC9"/>
    <w:rsid w:val="00FA031D"/>
    <w:rsid w:val="00FA1983"/>
    <w:rsid w:val="00FA19B0"/>
    <w:rsid w:val="00FA1A07"/>
    <w:rsid w:val="00FA1ACB"/>
    <w:rsid w:val="00FA2B4C"/>
    <w:rsid w:val="00FA2DE6"/>
    <w:rsid w:val="00FA37BE"/>
    <w:rsid w:val="00FA381B"/>
    <w:rsid w:val="00FA4881"/>
    <w:rsid w:val="00FA49B1"/>
    <w:rsid w:val="00FA4ADD"/>
    <w:rsid w:val="00FA52A7"/>
    <w:rsid w:val="00FA5707"/>
    <w:rsid w:val="00FA61F3"/>
    <w:rsid w:val="00FA6431"/>
    <w:rsid w:val="00FA7074"/>
    <w:rsid w:val="00FA7641"/>
    <w:rsid w:val="00FA7DCA"/>
    <w:rsid w:val="00FA7E44"/>
    <w:rsid w:val="00FB0521"/>
    <w:rsid w:val="00FB1448"/>
    <w:rsid w:val="00FB15E2"/>
    <w:rsid w:val="00FB1EA0"/>
    <w:rsid w:val="00FB28FD"/>
    <w:rsid w:val="00FB300F"/>
    <w:rsid w:val="00FB374C"/>
    <w:rsid w:val="00FB39EB"/>
    <w:rsid w:val="00FB3DFD"/>
    <w:rsid w:val="00FB3EFF"/>
    <w:rsid w:val="00FB4425"/>
    <w:rsid w:val="00FB5AFC"/>
    <w:rsid w:val="00FB5B53"/>
    <w:rsid w:val="00FB5EA4"/>
    <w:rsid w:val="00FB63DE"/>
    <w:rsid w:val="00FB66A1"/>
    <w:rsid w:val="00FB6CFB"/>
    <w:rsid w:val="00FB6E6F"/>
    <w:rsid w:val="00FB72F3"/>
    <w:rsid w:val="00FB740C"/>
    <w:rsid w:val="00FC1A2E"/>
    <w:rsid w:val="00FC1B1E"/>
    <w:rsid w:val="00FC1CB0"/>
    <w:rsid w:val="00FC1E4A"/>
    <w:rsid w:val="00FC1F4B"/>
    <w:rsid w:val="00FC22F4"/>
    <w:rsid w:val="00FC2439"/>
    <w:rsid w:val="00FC25E4"/>
    <w:rsid w:val="00FC30AE"/>
    <w:rsid w:val="00FC3139"/>
    <w:rsid w:val="00FC3389"/>
    <w:rsid w:val="00FC3A4C"/>
    <w:rsid w:val="00FC3C57"/>
    <w:rsid w:val="00FC3D13"/>
    <w:rsid w:val="00FC413F"/>
    <w:rsid w:val="00FC4265"/>
    <w:rsid w:val="00FC44D2"/>
    <w:rsid w:val="00FC533D"/>
    <w:rsid w:val="00FC542D"/>
    <w:rsid w:val="00FC5790"/>
    <w:rsid w:val="00FC5EC7"/>
    <w:rsid w:val="00FC684E"/>
    <w:rsid w:val="00FC7373"/>
    <w:rsid w:val="00FC7423"/>
    <w:rsid w:val="00FC7AA4"/>
    <w:rsid w:val="00FD04CB"/>
    <w:rsid w:val="00FD0E67"/>
    <w:rsid w:val="00FD0FAD"/>
    <w:rsid w:val="00FD10B3"/>
    <w:rsid w:val="00FD10C3"/>
    <w:rsid w:val="00FD133D"/>
    <w:rsid w:val="00FD1551"/>
    <w:rsid w:val="00FD1E5F"/>
    <w:rsid w:val="00FD1F8B"/>
    <w:rsid w:val="00FD22A6"/>
    <w:rsid w:val="00FD24DB"/>
    <w:rsid w:val="00FD2BB5"/>
    <w:rsid w:val="00FD2FC8"/>
    <w:rsid w:val="00FD3AE2"/>
    <w:rsid w:val="00FD3E38"/>
    <w:rsid w:val="00FD43A1"/>
    <w:rsid w:val="00FD4420"/>
    <w:rsid w:val="00FD44BF"/>
    <w:rsid w:val="00FD480C"/>
    <w:rsid w:val="00FD4B54"/>
    <w:rsid w:val="00FD4BCF"/>
    <w:rsid w:val="00FD5407"/>
    <w:rsid w:val="00FD566F"/>
    <w:rsid w:val="00FD686A"/>
    <w:rsid w:val="00FD6C84"/>
    <w:rsid w:val="00FD7195"/>
    <w:rsid w:val="00FD7509"/>
    <w:rsid w:val="00FD7BDB"/>
    <w:rsid w:val="00FE02A3"/>
    <w:rsid w:val="00FE02EA"/>
    <w:rsid w:val="00FE0635"/>
    <w:rsid w:val="00FE07BC"/>
    <w:rsid w:val="00FE0EBE"/>
    <w:rsid w:val="00FE1A60"/>
    <w:rsid w:val="00FE1C42"/>
    <w:rsid w:val="00FE2546"/>
    <w:rsid w:val="00FE2734"/>
    <w:rsid w:val="00FE28F0"/>
    <w:rsid w:val="00FE37F2"/>
    <w:rsid w:val="00FE41FA"/>
    <w:rsid w:val="00FE45BF"/>
    <w:rsid w:val="00FE45DD"/>
    <w:rsid w:val="00FE4929"/>
    <w:rsid w:val="00FE4A37"/>
    <w:rsid w:val="00FE4E4A"/>
    <w:rsid w:val="00FE5CA3"/>
    <w:rsid w:val="00FE5ECE"/>
    <w:rsid w:val="00FF020C"/>
    <w:rsid w:val="00FF0276"/>
    <w:rsid w:val="00FF02D3"/>
    <w:rsid w:val="00FF048C"/>
    <w:rsid w:val="00FF089F"/>
    <w:rsid w:val="00FF0B1C"/>
    <w:rsid w:val="00FF0BAB"/>
    <w:rsid w:val="00FF1EEC"/>
    <w:rsid w:val="00FF21CF"/>
    <w:rsid w:val="00FF2826"/>
    <w:rsid w:val="00FF2B0A"/>
    <w:rsid w:val="00FF2E53"/>
    <w:rsid w:val="00FF34CA"/>
    <w:rsid w:val="00FF39AA"/>
    <w:rsid w:val="00FF426B"/>
    <w:rsid w:val="00FF446B"/>
    <w:rsid w:val="00FF4B42"/>
    <w:rsid w:val="00FF56B4"/>
    <w:rsid w:val="00FF651B"/>
    <w:rsid w:val="00FF7194"/>
    <w:rsid w:val="00FF762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78514"/>
  <w15:docId w15:val="{2ECF39AC-25FD-4328-B953-34BB5359F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21E"/>
  </w:style>
  <w:style w:type="paragraph" w:styleId="Heading1">
    <w:name w:val="heading 1"/>
    <w:basedOn w:val="Normal"/>
    <w:next w:val="Normal"/>
    <w:link w:val="Heading1Char"/>
    <w:uiPriority w:val="9"/>
    <w:qFormat/>
    <w:rsid w:val="00546206"/>
    <w:pPr>
      <w:keepNext/>
      <w:keepLines/>
      <w:numPr>
        <w:numId w:val="31"/>
      </w:numPr>
      <w:spacing w:before="480" w:after="0"/>
      <w:outlineLvl w:val="0"/>
    </w:pPr>
    <w:rPr>
      <w:rFonts w:eastAsiaTheme="majorEastAsia" w:cstheme="majorBidi"/>
      <w:bCs/>
      <w:sz w:val="28"/>
      <w:szCs w:val="28"/>
    </w:rPr>
  </w:style>
  <w:style w:type="paragraph" w:styleId="Heading2">
    <w:name w:val="heading 2"/>
    <w:basedOn w:val="Normal"/>
    <w:next w:val="Normal"/>
    <w:link w:val="Heading2Char"/>
    <w:uiPriority w:val="9"/>
    <w:unhideWhenUsed/>
    <w:qFormat/>
    <w:rsid w:val="00454FCE"/>
    <w:pPr>
      <w:keepNext/>
      <w:keepLines/>
      <w:numPr>
        <w:ilvl w:val="1"/>
        <w:numId w:val="31"/>
      </w:numPr>
      <w:spacing w:before="200" w:after="0" w:line="240" w:lineRule="auto"/>
      <w:jc w:val="both"/>
      <w:outlineLvl w:val="1"/>
    </w:pPr>
    <w:rPr>
      <w:rFonts w:ascii="Calibri" w:eastAsia="Times New Roman" w:hAnsi="Calibri" w:cs="Times New Roman"/>
      <w:b/>
      <w:bCs/>
      <w:sz w:val="24"/>
      <w:szCs w:val="26"/>
    </w:rPr>
  </w:style>
  <w:style w:type="paragraph" w:styleId="Heading3">
    <w:name w:val="heading 3"/>
    <w:basedOn w:val="Normal"/>
    <w:next w:val="Normal"/>
    <w:link w:val="Heading3Char"/>
    <w:uiPriority w:val="9"/>
    <w:unhideWhenUsed/>
    <w:qFormat/>
    <w:rsid w:val="00454FCE"/>
    <w:pPr>
      <w:keepNext/>
      <w:keepLines/>
      <w:numPr>
        <w:ilvl w:val="2"/>
        <w:numId w:val="31"/>
      </w:numPr>
      <w:spacing w:before="200" w:after="0"/>
      <w:outlineLvl w:val="2"/>
    </w:pPr>
    <w:rPr>
      <w:rFonts w:ascii="Calibri" w:eastAsia="Times New Roman" w:hAnsi="Calibri" w:cs="Times New Roman"/>
      <w:b/>
      <w:bCs/>
    </w:rPr>
  </w:style>
  <w:style w:type="paragraph" w:styleId="Heading4">
    <w:name w:val="heading 4"/>
    <w:basedOn w:val="ListContinue5"/>
    <w:next w:val="ListContinue5"/>
    <w:link w:val="Heading4Char"/>
    <w:uiPriority w:val="99"/>
    <w:qFormat/>
    <w:rsid w:val="00DB41EC"/>
    <w:pPr>
      <w:keepNext/>
      <w:numPr>
        <w:ilvl w:val="3"/>
        <w:numId w:val="31"/>
      </w:numPr>
      <w:tabs>
        <w:tab w:val="left" w:pos="720"/>
        <w:tab w:val="left" w:pos="6912"/>
      </w:tabs>
      <w:spacing w:before="240" w:after="60" w:line="280" w:lineRule="atLeast"/>
      <w:jc w:val="both"/>
      <w:outlineLvl w:val="3"/>
    </w:pPr>
    <w:rPr>
      <w:rFonts w:ascii="Arial" w:hAnsi="Arial"/>
      <w:b/>
      <w:noProof/>
      <w:sz w:val="24"/>
      <w:lang w:val="x-none"/>
    </w:rPr>
  </w:style>
  <w:style w:type="paragraph" w:styleId="Heading5">
    <w:name w:val="heading 5"/>
    <w:basedOn w:val="Normal"/>
    <w:next w:val="Normal"/>
    <w:link w:val="Heading5Char"/>
    <w:uiPriority w:val="99"/>
    <w:unhideWhenUsed/>
    <w:qFormat/>
    <w:rsid w:val="00454FCE"/>
    <w:pPr>
      <w:keepNext/>
      <w:keepLines/>
      <w:numPr>
        <w:ilvl w:val="4"/>
        <w:numId w:val="31"/>
      </w:numPr>
      <w:spacing w:before="200" w:after="0"/>
      <w:jc w:val="both"/>
      <w:outlineLvl w:val="4"/>
    </w:pPr>
    <w:rPr>
      <w:rFonts w:ascii="Cambria" w:eastAsia="Times New Roman" w:hAnsi="Cambria" w:cs="Times New Roman"/>
      <w:color w:val="243F60"/>
    </w:rPr>
  </w:style>
  <w:style w:type="paragraph" w:styleId="Heading6">
    <w:name w:val="heading 6"/>
    <w:aliases w:val="slike"/>
    <w:basedOn w:val="Normal"/>
    <w:next w:val="Normal"/>
    <w:link w:val="Heading6Char"/>
    <w:unhideWhenUsed/>
    <w:qFormat/>
    <w:rsid w:val="00454FCE"/>
    <w:pPr>
      <w:keepNext/>
      <w:keepLines/>
      <w:numPr>
        <w:ilvl w:val="5"/>
        <w:numId w:val="31"/>
      </w:numPr>
      <w:spacing w:after="0"/>
      <w:jc w:val="both"/>
      <w:outlineLvl w:val="5"/>
    </w:pPr>
    <w:rPr>
      <w:rFonts w:ascii="Calibri" w:eastAsia="Times New Roman" w:hAnsi="Calibri" w:cs="Times New Roman"/>
      <w:i/>
      <w:iCs/>
    </w:rPr>
  </w:style>
  <w:style w:type="paragraph" w:styleId="Heading7">
    <w:name w:val="heading 7"/>
    <w:basedOn w:val="Normal"/>
    <w:next w:val="Normal"/>
    <w:link w:val="Heading7Char"/>
    <w:unhideWhenUsed/>
    <w:qFormat/>
    <w:rsid w:val="00454FCE"/>
    <w:pPr>
      <w:keepNext/>
      <w:keepLines/>
      <w:numPr>
        <w:ilvl w:val="6"/>
        <w:numId w:val="31"/>
      </w:numPr>
      <w:spacing w:before="200" w:after="0" w:line="240" w:lineRule="auto"/>
      <w:jc w:val="both"/>
      <w:outlineLvl w:val="6"/>
    </w:pPr>
    <w:rPr>
      <w:rFonts w:ascii="Cambria" w:eastAsia="Times New Roman" w:hAnsi="Cambria" w:cs="Times New Roman"/>
      <w:i/>
      <w:iCs/>
      <w:color w:val="404040"/>
    </w:rPr>
  </w:style>
  <w:style w:type="paragraph" w:styleId="Heading8">
    <w:name w:val="heading 8"/>
    <w:aliases w:val="tablice"/>
    <w:basedOn w:val="Normal"/>
    <w:next w:val="Normal"/>
    <w:link w:val="Heading8Char"/>
    <w:uiPriority w:val="99"/>
    <w:unhideWhenUsed/>
    <w:qFormat/>
    <w:rsid w:val="00454FCE"/>
    <w:pPr>
      <w:keepNext/>
      <w:keepLines/>
      <w:numPr>
        <w:ilvl w:val="7"/>
        <w:numId w:val="31"/>
      </w:numPr>
      <w:spacing w:before="200" w:after="0"/>
      <w:jc w:val="both"/>
      <w:outlineLvl w:val="7"/>
    </w:pPr>
    <w:rPr>
      <w:rFonts w:ascii="Calibri" w:eastAsia="Times New Roman" w:hAnsi="Calibri" w:cs="Times New Roman"/>
      <w:i/>
    </w:rPr>
  </w:style>
  <w:style w:type="paragraph" w:styleId="Heading9">
    <w:name w:val="heading 9"/>
    <w:basedOn w:val="Normal"/>
    <w:next w:val="Normal"/>
    <w:link w:val="Heading9Char"/>
    <w:uiPriority w:val="99"/>
    <w:unhideWhenUsed/>
    <w:qFormat/>
    <w:rsid w:val="00454FCE"/>
    <w:pPr>
      <w:keepNext/>
      <w:keepLines/>
      <w:numPr>
        <w:ilvl w:val="8"/>
        <w:numId w:val="3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9"/>
    <w:rsid w:val="00DB41EC"/>
    <w:rPr>
      <w:rFonts w:ascii="Arial" w:hAnsi="Arial"/>
      <w:b/>
      <w:noProof/>
      <w:sz w:val="24"/>
      <w:lang w:val="x-none"/>
    </w:rPr>
  </w:style>
  <w:style w:type="paragraph" w:styleId="ListContinue5">
    <w:name w:val="List Continue 5"/>
    <w:basedOn w:val="Normal"/>
    <w:uiPriority w:val="99"/>
    <w:semiHidden/>
    <w:unhideWhenUsed/>
    <w:rsid w:val="00DB41EC"/>
    <w:pPr>
      <w:spacing w:after="120"/>
      <w:ind w:left="1415"/>
      <w:contextualSpacing/>
    </w:pPr>
  </w:style>
  <w:style w:type="character" w:customStyle="1" w:styleId="Heading1Char">
    <w:name w:val="Heading 1 Char"/>
    <w:basedOn w:val="DefaultParagraphFont"/>
    <w:link w:val="Heading1"/>
    <w:uiPriority w:val="9"/>
    <w:rsid w:val="00546206"/>
    <w:rPr>
      <w:rFonts w:eastAsiaTheme="majorEastAsia" w:cstheme="majorBidi"/>
      <w:bCs/>
      <w:sz w:val="28"/>
      <w:szCs w:val="28"/>
    </w:rPr>
  </w:style>
  <w:style w:type="character" w:customStyle="1" w:styleId="Heading2Char">
    <w:name w:val="Heading 2 Char"/>
    <w:basedOn w:val="DefaultParagraphFont"/>
    <w:link w:val="Heading2"/>
    <w:uiPriority w:val="9"/>
    <w:rsid w:val="00454FCE"/>
    <w:rPr>
      <w:rFonts w:ascii="Calibri" w:eastAsia="Times New Roman" w:hAnsi="Calibri" w:cs="Times New Roman"/>
      <w:b/>
      <w:bCs/>
      <w:sz w:val="24"/>
      <w:szCs w:val="26"/>
    </w:rPr>
  </w:style>
  <w:style w:type="character" w:customStyle="1" w:styleId="Heading3Char">
    <w:name w:val="Heading 3 Char"/>
    <w:basedOn w:val="DefaultParagraphFont"/>
    <w:link w:val="Heading3"/>
    <w:uiPriority w:val="9"/>
    <w:rsid w:val="00454FCE"/>
    <w:rPr>
      <w:rFonts w:ascii="Calibri" w:eastAsia="Times New Roman" w:hAnsi="Calibri" w:cs="Times New Roman"/>
      <w:b/>
      <w:bCs/>
    </w:rPr>
  </w:style>
  <w:style w:type="character" w:customStyle="1" w:styleId="Heading5Char">
    <w:name w:val="Heading 5 Char"/>
    <w:basedOn w:val="DefaultParagraphFont"/>
    <w:link w:val="Heading5"/>
    <w:uiPriority w:val="99"/>
    <w:rsid w:val="00454FCE"/>
    <w:rPr>
      <w:rFonts w:ascii="Cambria" w:eastAsia="Times New Roman" w:hAnsi="Cambria" w:cs="Times New Roman"/>
      <w:color w:val="243F60"/>
    </w:rPr>
  </w:style>
  <w:style w:type="character" w:customStyle="1" w:styleId="Heading6Char">
    <w:name w:val="Heading 6 Char"/>
    <w:aliases w:val="slike Char"/>
    <w:basedOn w:val="DefaultParagraphFont"/>
    <w:link w:val="Heading6"/>
    <w:rsid w:val="00454FCE"/>
    <w:rPr>
      <w:rFonts w:ascii="Calibri" w:eastAsia="Times New Roman" w:hAnsi="Calibri" w:cs="Times New Roman"/>
      <w:i/>
      <w:iCs/>
    </w:rPr>
  </w:style>
  <w:style w:type="character" w:customStyle="1" w:styleId="Heading7Char">
    <w:name w:val="Heading 7 Char"/>
    <w:basedOn w:val="DefaultParagraphFont"/>
    <w:link w:val="Heading7"/>
    <w:rsid w:val="00454FCE"/>
    <w:rPr>
      <w:rFonts w:ascii="Cambria" w:eastAsia="Times New Roman" w:hAnsi="Cambria" w:cs="Times New Roman"/>
      <w:i/>
      <w:iCs/>
      <w:color w:val="404040"/>
    </w:rPr>
  </w:style>
  <w:style w:type="character" w:customStyle="1" w:styleId="Heading8Char">
    <w:name w:val="Heading 8 Char"/>
    <w:aliases w:val="tablice Char"/>
    <w:basedOn w:val="DefaultParagraphFont"/>
    <w:link w:val="Heading8"/>
    <w:uiPriority w:val="99"/>
    <w:rsid w:val="00454FCE"/>
    <w:rPr>
      <w:rFonts w:ascii="Calibri" w:eastAsia="Times New Roman" w:hAnsi="Calibri" w:cs="Times New Roman"/>
      <w:i/>
    </w:rPr>
  </w:style>
  <w:style w:type="character" w:customStyle="1" w:styleId="Heading9Char">
    <w:name w:val="Heading 9 Char"/>
    <w:basedOn w:val="DefaultParagraphFont"/>
    <w:link w:val="Heading9"/>
    <w:uiPriority w:val="99"/>
    <w:rsid w:val="00454FCE"/>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454FCE"/>
  </w:style>
  <w:style w:type="paragraph" w:styleId="ListParagraph">
    <w:name w:val="List Paragraph"/>
    <w:basedOn w:val="Normal"/>
    <w:link w:val="ListParagraphChar"/>
    <w:uiPriority w:val="34"/>
    <w:qFormat/>
    <w:rsid w:val="00454FCE"/>
    <w:pPr>
      <w:ind w:left="720"/>
      <w:contextualSpacing/>
    </w:pPr>
    <w:rPr>
      <w:rFonts w:ascii="Calibri" w:eastAsia="Calibri" w:hAnsi="Calibri" w:cs="Times New Roman"/>
    </w:rPr>
  </w:style>
  <w:style w:type="paragraph" w:customStyle="1" w:styleId="Obinitekst1">
    <w:name w:val="Obični tekst1"/>
    <w:basedOn w:val="Normal"/>
    <w:rsid w:val="00454FCE"/>
    <w:pPr>
      <w:spacing w:after="0" w:line="240" w:lineRule="auto"/>
      <w:jc w:val="center"/>
    </w:pPr>
    <w:rPr>
      <w:rFonts w:ascii="Arial" w:eastAsia="Times New Roman" w:hAnsi="Arial" w:cs="Times New Roman"/>
      <w:sz w:val="24"/>
      <w:szCs w:val="20"/>
      <w:lang w:val="en-GB"/>
    </w:rPr>
  </w:style>
  <w:style w:type="paragraph" w:styleId="BalloonText">
    <w:name w:val="Balloon Text"/>
    <w:basedOn w:val="Normal"/>
    <w:link w:val="BalloonTextChar"/>
    <w:uiPriority w:val="99"/>
    <w:unhideWhenUsed/>
    <w:rsid w:val="00454FC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454FCE"/>
    <w:rPr>
      <w:rFonts w:ascii="Tahoma" w:eastAsia="Calibri" w:hAnsi="Tahoma" w:cs="Tahoma"/>
      <w:sz w:val="16"/>
      <w:szCs w:val="16"/>
      <w:lang w:val="en-US"/>
    </w:rPr>
  </w:style>
  <w:style w:type="paragraph" w:styleId="Caption">
    <w:name w:val="caption"/>
    <w:aliases w:val="Char, Char"/>
    <w:basedOn w:val="Normal"/>
    <w:next w:val="Normal"/>
    <w:link w:val="CaptionChar"/>
    <w:uiPriority w:val="35"/>
    <w:unhideWhenUsed/>
    <w:qFormat/>
    <w:rsid w:val="00454FCE"/>
    <w:pPr>
      <w:jc w:val="both"/>
    </w:pPr>
    <w:rPr>
      <w:rFonts w:ascii="Calibri" w:eastAsia="Calibri" w:hAnsi="Calibri" w:cs="Times New Roman"/>
      <w:b/>
      <w:bCs/>
      <w:sz w:val="20"/>
      <w:szCs w:val="20"/>
    </w:rPr>
  </w:style>
  <w:style w:type="paragraph" w:styleId="NoSpacing">
    <w:name w:val="No Spacing"/>
    <w:qFormat/>
    <w:rsid w:val="00454FCE"/>
    <w:pPr>
      <w:spacing w:after="0" w:line="240" w:lineRule="auto"/>
      <w:jc w:val="both"/>
    </w:pPr>
    <w:rPr>
      <w:rFonts w:ascii="Calibri" w:eastAsia="Calibri" w:hAnsi="Calibri" w:cs="Times New Roman"/>
    </w:rPr>
  </w:style>
  <w:style w:type="character" w:customStyle="1" w:styleId="plavitext1">
    <w:name w:val="plavitext1"/>
    <w:rsid w:val="00454FCE"/>
    <w:rPr>
      <w:color w:val="00519D"/>
    </w:rPr>
  </w:style>
  <w:style w:type="character" w:styleId="CommentReference">
    <w:name w:val="annotation reference"/>
    <w:uiPriority w:val="99"/>
    <w:unhideWhenUsed/>
    <w:rsid w:val="00454FCE"/>
    <w:rPr>
      <w:sz w:val="16"/>
      <w:szCs w:val="16"/>
    </w:rPr>
  </w:style>
  <w:style w:type="paragraph" w:styleId="CommentText">
    <w:name w:val="annotation text"/>
    <w:basedOn w:val="Normal"/>
    <w:link w:val="CommentTextChar"/>
    <w:uiPriority w:val="99"/>
    <w:semiHidden/>
    <w:unhideWhenUsed/>
    <w:rsid w:val="00454FCE"/>
    <w:pPr>
      <w:spacing w:after="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54FC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54FCE"/>
    <w:rPr>
      <w:b/>
      <w:bCs/>
    </w:rPr>
  </w:style>
  <w:style w:type="character" w:customStyle="1" w:styleId="CommentSubjectChar">
    <w:name w:val="Comment Subject Char"/>
    <w:basedOn w:val="CommentTextChar"/>
    <w:link w:val="CommentSubject"/>
    <w:uiPriority w:val="99"/>
    <w:semiHidden/>
    <w:rsid w:val="00454FCE"/>
    <w:rPr>
      <w:rFonts w:ascii="Calibri" w:eastAsia="Calibri" w:hAnsi="Calibri" w:cs="Times New Roman"/>
      <w:b/>
      <w:bCs/>
      <w:sz w:val="20"/>
      <w:szCs w:val="20"/>
    </w:rPr>
  </w:style>
  <w:style w:type="character" w:styleId="Hyperlink">
    <w:name w:val="Hyperlink"/>
    <w:uiPriority w:val="99"/>
    <w:rsid w:val="00454FCE"/>
    <w:rPr>
      <w:rFonts w:cs="Times New Roman"/>
      <w:color w:val="0000FF"/>
      <w:u w:val="single"/>
    </w:rPr>
  </w:style>
  <w:style w:type="character" w:styleId="Strong">
    <w:name w:val="Strong"/>
    <w:uiPriority w:val="22"/>
    <w:qFormat/>
    <w:rsid w:val="00454FCE"/>
    <w:rPr>
      <w:b/>
      <w:bCs/>
    </w:rPr>
  </w:style>
  <w:style w:type="character" w:styleId="Emphasis">
    <w:name w:val="Emphasis"/>
    <w:uiPriority w:val="20"/>
    <w:qFormat/>
    <w:rsid w:val="00454FCE"/>
    <w:rPr>
      <w:b/>
      <w:bCs/>
      <w:i w:val="0"/>
      <w:iCs w:val="0"/>
    </w:rPr>
  </w:style>
  <w:style w:type="paragraph" w:styleId="Header">
    <w:name w:val="header"/>
    <w:basedOn w:val="Normal"/>
    <w:link w:val="HeaderChar"/>
    <w:uiPriority w:val="99"/>
    <w:unhideWhenUsed/>
    <w:rsid w:val="00454FCE"/>
    <w:pPr>
      <w:tabs>
        <w:tab w:val="center" w:pos="4536"/>
        <w:tab w:val="right" w:pos="9072"/>
      </w:tabs>
      <w:spacing w:after="0" w:line="240" w:lineRule="auto"/>
      <w:jc w:val="both"/>
    </w:pPr>
    <w:rPr>
      <w:rFonts w:ascii="Calibri" w:eastAsia="Calibri" w:hAnsi="Calibri" w:cs="Times New Roman"/>
    </w:rPr>
  </w:style>
  <w:style w:type="character" w:customStyle="1" w:styleId="HeaderChar">
    <w:name w:val="Header Char"/>
    <w:basedOn w:val="DefaultParagraphFont"/>
    <w:link w:val="Header"/>
    <w:uiPriority w:val="99"/>
    <w:rsid w:val="00454FCE"/>
    <w:rPr>
      <w:rFonts w:ascii="Calibri" w:eastAsia="Calibri" w:hAnsi="Calibri" w:cs="Times New Roman"/>
    </w:rPr>
  </w:style>
  <w:style w:type="paragraph" w:styleId="Footer">
    <w:name w:val="footer"/>
    <w:basedOn w:val="Normal"/>
    <w:link w:val="FooterChar"/>
    <w:uiPriority w:val="99"/>
    <w:unhideWhenUsed/>
    <w:rsid w:val="00454FCE"/>
    <w:pPr>
      <w:tabs>
        <w:tab w:val="center" w:pos="4536"/>
        <w:tab w:val="right" w:pos="9072"/>
      </w:tabs>
      <w:spacing w:after="0" w:line="240" w:lineRule="auto"/>
      <w:jc w:val="both"/>
    </w:pPr>
    <w:rPr>
      <w:rFonts w:ascii="Calibri" w:eastAsia="Calibri" w:hAnsi="Calibri" w:cs="Times New Roman"/>
    </w:rPr>
  </w:style>
  <w:style w:type="character" w:customStyle="1" w:styleId="FooterChar">
    <w:name w:val="Footer Char"/>
    <w:basedOn w:val="DefaultParagraphFont"/>
    <w:link w:val="Footer"/>
    <w:uiPriority w:val="99"/>
    <w:rsid w:val="00454FCE"/>
    <w:rPr>
      <w:rFonts w:ascii="Calibri" w:eastAsia="Calibri" w:hAnsi="Calibri" w:cs="Times New Roman"/>
    </w:rPr>
  </w:style>
  <w:style w:type="table" w:styleId="TableGrid">
    <w:name w:val="Table Grid"/>
    <w:basedOn w:val="TableNormal"/>
    <w:rsid w:val="00454FCE"/>
    <w:pPr>
      <w:spacing w:after="0" w:line="240" w:lineRule="auto"/>
      <w:jc w:val="both"/>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4FCE"/>
  </w:style>
  <w:style w:type="table" w:customStyle="1" w:styleId="TableGrid1">
    <w:name w:val="Table Grid1"/>
    <w:basedOn w:val="TableNormal"/>
    <w:next w:val="TableGrid"/>
    <w:uiPriority w:val="59"/>
    <w:rsid w:val="00454FCE"/>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454FCE"/>
  </w:style>
  <w:style w:type="table" w:customStyle="1" w:styleId="TableGrid2">
    <w:name w:val="Table Grid2"/>
    <w:basedOn w:val="TableNormal"/>
    <w:next w:val="TableGrid"/>
    <w:rsid w:val="00454FCE"/>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454FC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454FCE"/>
    <w:rPr>
      <w:rFonts w:ascii="Arial" w:eastAsia="Times New Roman" w:hAnsi="Arial" w:cs="Times New Roman"/>
      <w:sz w:val="20"/>
      <w:szCs w:val="20"/>
    </w:rPr>
  </w:style>
  <w:style w:type="paragraph" w:customStyle="1" w:styleId="NASLOVSTUDIJE">
    <w:name w:val="NASLOV STUDIJE"/>
    <w:basedOn w:val="Normal"/>
    <w:uiPriority w:val="99"/>
    <w:rsid w:val="00454FCE"/>
    <w:pPr>
      <w:spacing w:after="0" w:line="240" w:lineRule="auto"/>
      <w:jc w:val="right"/>
    </w:pPr>
    <w:rPr>
      <w:rFonts w:ascii="Arial" w:eastAsia="MS Mincho" w:hAnsi="Arial" w:cs="Times New Roman"/>
      <w:b/>
      <w:bCs/>
      <w:sz w:val="32"/>
      <w:szCs w:val="20"/>
      <w:lang w:eastAsia="ja-JP"/>
    </w:rPr>
  </w:style>
  <w:style w:type="paragraph" w:customStyle="1" w:styleId="t-9-8">
    <w:name w:val="t-9-8"/>
    <w:basedOn w:val="Normal"/>
    <w:rsid w:val="00454FCE"/>
    <w:pPr>
      <w:spacing w:before="100" w:beforeAutospacing="1" w:after="100" w:afterAutospacing="1" w:line="240" w:lineRule="auto"/>
      <w:jc w:val="both"/>
    </w:pPr>
    <w:rPr>
      <w:rFonts w:ascii="Times New Roman" w:eastAsia="Times New Roman" w:hAnsi="Times New Roman" w:cs="Times New Roman"/>
      <w:color w:val="000000"/>
      <w:sz w:val="24"/>
      <w:szCs w:val="24"/>
      <w:lang w:eastAsia="hr-HR"/>
    </w:rPr>
  </w:style>
  <w:style w:type="paragraph" w:styleId="NormalWeb">
    <w:name w:val="Normal (Web)"/>
    <w:basedOn w:val="Normal"/>
    <w:link w:val="NormalWebChar"/>
    <w:uiPriority w:val="99"/>
    <w:unhideWhenUsed/>
    <w:rsid w:val="00454FC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WebChar">
    <w:name w:val="Normal (Web) Char"/>
    <w:link w:val="NormalWeb"/>
    <w:uiPriority w:val="99"/>
    <w:rsid w:val="00454FCE"/>
    <w:rPr>
      <w:rFonts w:ascii="Times New Roman" w:eastAsia="Times New Roman" w:hAnsi="Times New Roman" w:cs="Times New Roman"/>
      <w:sz w:val="24"/>
      <w:szCs w:val="24"/>
      <w:lang w:eastAsia="hr-HR"/>
    </w:rPr>
  </w:style>
  <w:style w:type="paragraph" w:styleId="BodyText3">
    <w:name w:val="Body Text 3"/>
    <w:basedOn w:val="Normal"/>
    <w:link w:val="BodyText3Char"/>
    <w:uiPriority w:val="99"/>
    <w:unhideWhenUsed/>
    <w:rsid w:val="00454FC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dyText3Char">
    <w:name w:val="Body Text 3 Char"/>
    <w:basedOn w:val="DefaultParagraphFont"/>
    <w:link w:val="BodyText3"/>
    <w:uiPriority w:val="99"/>
    <w:rsid w:val="00454FCE"/>
    <w:rPr>
      <w:rFonts w:ascii="Times New Roman" w:eastAsia="Times New Roman" w:hAnsi="Times New Roman" w:cs="Times New Roman"/>
      <w:sz w:val="24"/>
      <w:szCs w:val="24"/>
      <w:lang w:eastAsia="hr-HR"/>
    </w:rPr>
  </w:style>
  <w:style w:type="character" w:customStyle="1" w:styleId="italicen">
    <w:name w:val="italicen"/>
    <w:basedOn w:val="DefaultParagraphFont"/>
    <w:rsid w:val="00454FCE"/>
  </w:style>
  <w:style w:type="paragraph" w:customStyle="1" w:styleId="text">
    <w:name w:val="text"/>
    <w:basedOn w:val="Normal"/>
    <w:rsid w:val="00454FC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odyText">
    <w:name w:val="Body Text"/>
    <w:basedOn w:val="Normal"/>
    <w:link w:val="BodyTextChar"/>
    <w:uiPriority w:val="99"/>
    <w:unhideWhenUsed/>
    <w:rsid w:val="00454FCE"/>
    <w:pPr>
      <w:spacing w:after="120"/>
      <w:jc w:val="both"/>
    </w:pPr>
    <w:rPr>
      <w:rFonts w:ascii="Calibri" w:eastAsia="Calibri" w:hAnsi="Calibri" w:cs="Times New Roman"/>
    </w:rPr>
  </w:style>
  <w:style w:type="character" w:customStyle="1" w:styleId="BodyTextChar">
    <w:name w:val="Body Text Char"/>
    <w:basedOn w:val="DefaultParagraphFont"/>
    <w:link w:val="BodyText"/>
    <w:uiPriority w:val="99"/>
    <w:rsid w:val="00454FCE"/>
    <w:rPr>
      <w:rFonts w:ascii="Calibri" w:eastAsia="Calibri" w:hAnsi="Calibri" w:cs="Times New Roman"/>
    </w:rPr>
  </w:style>
  <w:style w:type="paragraph" w:customStyle="1" w:styleId="Tekststudije">
    <w:name w:val="Tekst studije"/>
    <w:basedOn w:val="Normal"/>
    <w:link w:val="TekststudijeChar"/>
    <w:rsid w:val="00454FCE"/>
    <w:pPr>
      <w:spacing w:after="0" w:line="240" w:lineRule="auto"/>
      <w:jc w:val="both"/>
    </w:pPr>
    <w:rPr>
      <w:rFonts w:ascii="Arial" w:eastAsia="Times New Roman" w:hAnsi="Arial" w:cs="Arial"/>
      <w:color w:val="000000"/>
      <w:szCs w:val="24"/>
      <w:lang w:eastAsia="hr-HR"/>
    </w:rPr>
  </w:style>
  <w:style w:type="character" w:customStyle="1" w:styleId="TekststudijeChar">
    <w:name w:val="Tekst studije Char"/>
    <w:link w:val="Tekststudije"/>
    <w:rsid w:val="00454FCE"/>
    <w:rPr>
      <w:rFonts w:ascii="Arial" w:eastAsia="Times New Roman" w:hAnsi="Arial" w:cs="Arial"/>
      <w:color w:val="000000"/>
      <w:szCs w:val="24"/>
      <w:lang w:eastAsia="hr-HR"/>
    </w:rPr>
  </w:style>
  <w:style w:type="paragraph" w:customStyle="1" w:styleId="TEKST">
    <w:name w:val="TEKST"/>
    <w:rsid w:val="00454FCE"/>
    <w:pPr>
      <w:spacing w:after="120"/>
      <w:jc w:val="both"/>
    </w:pPr>
    <w:rPr>
      <w:rFonts w:ascii="Tahoma" w:eastAsia="Times New Roman" w:hAnsi="Tahoma" w:cs="Times New Roman"/>
      <w:snapToGrid w:val="0"/>
    </w:rPr>
  </w:style>
  <w:style w:type="paragraph" w:customStyle="1" w:styleId="CM54">
    <w:name w:val="CM54"/>
    <w:basedOn w:val="Normal"/>
    <w:next w:val="Normal"/>
    <w:uiPriority w:val="99"/>
    <w:rsid w:val="00454FCE"/>
    <w:pPr>
      <w:widowControl w:val="0"/>
      <w:autoSpaceDE w:val="0"/>
      <w:autoSpaceDN w:val="0"/>
      <w:adjustRightInd w:val="0"/>
      <w:spacing w:after="0" w:line="240" w:lineRule="auto"/>
      <w:jc w:val="both"/>
    </w:pPr>
    <w:rPr>
      <w:rFonts w:ascii="Palatino Linotype" w:eastAsia="Times New Roman" w:hAnsi="Palatino Linotype" w:cs="Times New Roman"/>
      <w:color w:val="000000"/>
      <w:sz w:val="24"/>
      <w:szCs w:val="24"/>
      <w:lang w:eastAsia="hr-HR"/>
    </w:rPr>
  </w:style>
  <w:style w:type="character" w:styleId="EndnoteReference">
    <w:name w:val="endnote reference"/>
    <w:uiPriority w:val="99"/>
    <w:rsid w:val="00454FCE"/>
    <w:rPr>
      <w:vertAlign w:val="superscript"/>
    </w:rPr>
  </w:style>
  <w:style w:type="paragraph" w:customStyle="1" w:styleId="Default">
    <w:name w:val="Default"/>
    <w:rsid w:val="00454FCE"/>
    <w:pPr>
      <w:autoSpaceDE w:val="0"/>
      <w:autoSpaceDN w:val="0"/>
      <w:adjustRightInd w:val="0"/>
      <w:spacing w:after="0" w:line="240" w:lineRule="auto"/>
    </w:pPr>
    <w:rPr>
      <w:rFonts w:ascii="Arial" w:eastAsia="Times New Roman" w:hAnsi="Arial" w:cs="Arial"/>
      <w:color w:val="000000"/>
      <w:sz w:val="24"/>
      <w:szCs w:val="24"/>
      <w:lang w:eastAsia="hr-HR"/>
    </w:rPr>
  </w:style>
  <w:style w:type="character" w:styleId="PageNumber">
    <w:name w:val="page number"/>
    <w:basedOn w:val="DefaultParagraphFont"/>
    <w:uiPriority w:val="99"/>
    <w:rsid w:val="00454FCE"/>
  </w:style>
  <w:style w:type="paragraph" w:customStyle="1" w:styleId="HEADERFOOTER">
    <w:name w:val="HEADER/FOOTER"/>
    <w:basedOn w:val="Normal"/>
    <w:uiPriority w:val="99"/>
    <w:rsid w:val="00454FCE"/>
    <w:pPr>
      <w:spacing w:after="0" w:line="240" w:lineRule="auto"/>
      <w:jc w:val="both"/>
    </w:pPr>
    <w:rPr>
      <w:rFonts w:ascii="Arial" w:eastAsia="MS Mincho" w:hAnsi="Arial" w:cs="Times New Roman"/>
      <w:sz w:val="16"/>
      <w:szCs w:val="24"/>
      <w:lang w:eastAsia="ja-JP"/>
    </w:rPr>
  </w:style>
  <w:style w:type="paragraph" w:customStyle="1" w:styleId="ZANASLOVNU">
    <w:name w:val="ZA NASLOVNU"/>
    <w:basedOn w:val="Normal"/>
    <w:uiPriority w:val="99"/>
    <w:rsid w:val="00454FCE"/>
    <w:pPr>
      <w:spacing w:after="0" w:line="240" w:lineRule="auto"/>
      <w:jc w:val="right"/>
    </w:pPr>
    <w:rPr>
      <w:rFonts w:ascii="Arial" w:eastAsia="MS Mincho" w:hAnsi="Arial" w:cs="Times New Roman"/>
      <w:b/>
      <w:bCs/>
      <w:sz w:val="24"/>
      <w:szCs w:val="20"/>
      <w:lang w:eastAsia="ja-JP"/>
    </w:rPr>
  </w:style>
  <w:style w:type="paragraph" w:styleId="EndnoteText">
    <w:name w:val="endnote text"/>
    <w:basedOn w:val="Normal"/>
    <w:link w:val="EndnoteTextChar"/>
    <w:uiPriority w:val="99"/>
    <w:rsid w:val="00454FCE"/>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rsid w:val="00454FCE"/>
    <w:rPr>
      <w:rFonts w:ascii="Arial" w:eastAsia="Times New Roman" w:hAnsi="Arial" w:cs="Times New Roman"/>
      <w:sz w:val="20"/>
      <w:szCs w:val="20"/>
    </w:rPr>
  </w:style>
  <w:style w:type="paragraph" w:styleId="TOC1">
    <w:name w:val="toc 1"/>
    <w:basedOn w:val="Normal"/>
    <w:next w:val="Normal"/>
    <w:autoRedefine/>
    <w:uiPriority w:val="39"/>
    <w:qFormat/>
    <w:rsid w:val="00345AA1"/>
    <w:pPr>
      <w:tabs>
        <w:tab w:val="left" w:pos="440"/>
        <w:tab w:val="right" w:leader="dot" w:pos="9344"/>
      </w:tabs>
      <w:spacing w:after="0" w:line="240" w:lineRule="auto"/>
      <w:jc w:val="both"/>
    </w:pPr>
    <w:rPr>
      <w:rFonts w:ascii="Calibri" w:eastAsia="Times New Roman" w:hAnsi="Calibri" w:cs="Arial"/>
      <w:b/>
      <w:bCs/>
      <w:caps/>
      <w:noProof/>
      <w:szCs w:val="24"/>
    </w:rPr>
  </w:style>
  <w:style w:type="paragraph" w:styleId="TOC2">
    <w:name w:val="toc 2"/>
    <w:basedOn w:val="Normal"/>
    <w:next w:val="Normal"/>
    <w:autoRedefine/>
    <w:uiPriority w:val="39"/>
    <w:qFormat/>
    <w:rsid w:val="006D6828"/>
    <w:pPr>
      <w:tabs>
        <w:tab w:val="left" w:pos="880"/>
        <w:tab w:val="right" w:leader="dot" w:pos="9356"/>
      </w:tabs>
      <w:spacing w:before="120" w:after="120" w:line="240" w:lineRule="auto"/>
      <w:ind w:left="221"/>
      <w:jc w:val="both"/>
    </w:pPr>
    <w:rPr>
      <w:rFonts w:ascii="Calibri" w:eastAsia="Times New Roman" w:hAnsi="Calibri" w:cs="Times New Roman"/>
      <w:smallCaps/>
      <w:sz w:val="20"/>
      <w:szCs w:val="20"/>
    </w:rPr>
  </w:style>
  <w:style w:type="paragraph" w:styleId="TOC3">
    <w:name w:val="toc 3"/>
    <w:basedOn w:val="Normal"/>
    <w:next w:val="Normal"/>
    <w:autoRedefine/>
    <w:uiPriority w:val="39"/>
    <w:qFormat/>
    <w:rsid w:val="00FE45DD"/>
    <w:pPr>
      <w:tabs>
        <w:tab w:val="left" w:pos="1320"/>
        <w:tab w:val="right" w:leader="dot" w:pos="9356"/>
      </w:tabs>
      <w:spacing w:after="0" w:line="240" w:lineRule="auto"/>
      <w:ind w:left="442"/>
      <w:jc w:val="both"/>
    </w:pPr>
    <w:rPr>
      <w:rFonts w:ascii="Calibri" w:eastAsia="Times New Roman" w:hAnsi="Calibri" w:cs="Times New Roman"/>
      <w:bCs/>
      <w:i/>
      <w:iCs/>
      <w:noProof/>
      <w:sz w:val="20"/>
      <w:szCs w:val="20"/>
    </w:rPr>
  </w:style>
  <w:style w:type="paragraph" w:styleId="TOC4">
    <w:name w:val="toc 4"/>
    <w:basedOn w:val="Normal"/>
    <w:next w:val="Normal"/>
    <w:autoRedefine/>
    <w:uiPriority w:val="39"/>
    <w:rsid w:val="00454FCE"/>
    <w:pPr>
      <w:spacing w:after="0" w:line="240" w:lineRule="auto"/>
      <w:ind w:left="660"/>
    </w:pPr>
    <w:rPr>
      <w:rFonts w:ascii="Calibri" w:eastAsia="Times New Roman" w:hAnsi="Calibri" w:cs="Times New Roman"/>
      <w:sz w:val="20"/>
      <w:szCs w:val="18"/>
    </w:rPr>
  </w:style>
  <w:style w:type="paragraph" w:styleId="TOC5">
    <w:name w:val="toc 5"/>
    <w:basedOn w:val="Normal"/>
    <w:next w:val="Normal"/>
    <w:autoRedefine/>
    <w:uiPriority w:val="39"/>
    <w:rsid w:val="00454FCE"/>
    <w:pPr>
      <w:spacing w:after="0" w:line="240" w:lineRule="auto"/>
      <w:ind w:left="880"/>
    </w:pPr>
    <w:rPr>
      <w:rFonts w:ascii="Calibri" w:eastAsia="Times New Roman" w:hAnsi="Calibri" w:cs="Times New Roman"/>
      <w:sz w:val="18"/>
      <w:szCs w:val="18"/>
    </w:rPr>
  </w:style>
  <w:style w:type="paragraph" w:styleId="TOC6">
    <w:name w:val="toc 6"/>
    <w:basedOn w:val="Normal"/>
    <w:next w:val="Normal"/>
    <w:autoRedefine/>
    <w:uiPriority w:val="39"/>
    <w:rsid w:val="00454FCE"/>
    <w:pPr>
      <w:spacing w:after="0" w:line="240" w:lineRule="auto"/>
      <w:ind w:left="1100"/>
    </w:pPr>
    <w:rPr>
      <w:rFonts w:ascii="Calibri" w:eastAsia="Times New Roman" w:hAnsi="Calibri" w:cs="Times New Roman"/>
      <w:sz w:val="18"/>
      <w:szCs w:val="18"/>
    </w:rPr>
  </w:style>
  <w:style w:type="paragraph" w:styleId="TOC7">
    <w:name w:val="toc 7"/>
    <w:basedOn w:val="Normal"/>
    <w:next w:val="Normal"/>
    <w:autoRedefine/>
    <w:uiPriority w:val="39"/>
    <w:rsid w:val="00454FCE"/>
    <w:pPr>
      <w:spacing w:after="0" w:line="240" w:lineRule="auto"/>
      <w:ind w:left="1320"/>
    </w:pPr>
    <w:rPr>
      <w:rFonts w:ascii="Calibri" w:eastAsia="Times New Roman" w:hAnsi="Calibri" w:cs="Times New Roman"/>
      <w:sz w:val="18"/>
      <w:szCs w:val="18"/>
    </w:rPr>
  </w:style>
  <w:style w:type="paragraph" w:styleId="TOC8">
    <w:name w:val="toc 8"/>
    <w:basedOn w:val="Normal"/>
    <w:next w:val="Normal"/>
    <w:autoRedefine/>
    <w:uiPriority w:val="39"/>
    <w:rsid w:val="00454FCE"/>
    <w:pPr>
      <w:spacing w:after="0" w:line="240" w:lineRule="auto"/>
      <w:ind w:left="1540"/>
    </w:pPr>
    <w:rPr>
      <w:rFonts w:ascii="Calibri" w:eastAsia="Times New Roman" w:hAnsi="Calibri" w:cs="Times New Roman"/>
      <w:sz w:val="18"/>
      <w:szCs w:val="18"/>
    </w:rPr>
  </w:style>
  <w:style w:type="paragraph" w:styleId="TOC9">
    <w:name w:val="toc 9"/>
    <w:basedOn w:val="Normal"/>
    <w:next w:val="Normal"/>
    <w:autoRedefine/>
    <w:uiPriority w:val="39"/>
    <w:rsid w:val="00454FCE"/>
    <w:pPr>
      <w:spacing w:after="0" w:line="240" w:lineRule="auto"/>
      <w:ind w:left="1760"/>
    </w:pPr>
    <w:rPr>
      <w:rFonts w:ascii="Calibri" w:eastAsia="Times New Roman" w:hAnsi="Calibri" w:cs="Times New Roman"/>
      <w:sz w:val="18"/>
      <w:szCs w:val="18"/>
    </w:rPr>
  </w:style>
  <w:style w:type="paragraph" w:styleId="TableofFigures">
    <w:name w:val="table of figures"/>
    <w:basedOn w:val="Normal"/>
    <w:next w:val="Normal"/>
    <w:uiPriority w:val="99"/>
    <w:rsid w:val="00454FCE"/>
    <w:pPr>
      <w:spacing w:after="0" w:line="240" w:lineRule="auto"/>
    </w:pPr>
    <w:rPr>
      <w:rFonts w:ascii="Calibri" w:eastAsia="Times New Roman" w:hAnsi="Calibri" w:cs="Times New Roman"/>
      <w:sz w:val="20"/>
      <w:szCs w:val="20"/>
    </w:rPr>
  </w:style>
  <w:style w:type="paragraph" w:styleId="Title">
    <w:name w:val="Title"/>
    <w:basedOn w:val="Normal"/>
    <w:link w:val="TitleChar"/>
    <w:uiPriority w:val="99"/>
    <w:qFormat/>
    <w:rsid w:val="00454FCE"/>
    <w:pPr>
      <w:spacing w:before="240" w:after="60" w:line="280" w:lineRule="exact"/>
      <w:jc w:val="center"/>
      <w:outlineLvl w:val="0"/>
    </w:pPr>
    <w:rPr>
      <w:rFonts w:ascii="Arial" w:eastAsia="Calibri" w:hAnsi="Arial" w:cs="Arial"/>
      <w:b/>
      <w:bCs/>
      <w:kern w:val="28"/>
      <w:sz w:val="32"/>
      <w:szCs w:val="32"/>
      <w:lang w:eastAsia="ja-JP"/>
    </w:rPr>
  </w:style>
  <w:style w:type="character" w:customStyle="1" w:styleId="TitleChar">
    <w:name w:val="Title Char"/>
    <w:basedOn w:val="DefaultParagraphFont"/>
    <w:link w:val="Title"/>
    <w:uiPriority w:val="99"/>
    <w:rsid w:val="00454FCE"/>
    <w:rPr>
      <w:rFonts w:ascii="Arial" w:eastAsia="Calibri" w:hAnsi="Arial" w:cs="Arial"/>
      <w:b/>
      <w:bCs/>
      <w:kern w:val="28"/>
      <w:sz w:val="32"/>
      <w:szCs w:val="32"/>
      <w:lang w:eastAsia="ja-JP"/>
    </w:rPr>
  </w:style>
  <w:style w:type="paragraph" w:customStyle="1" w:styleId="SlikaChar">
    <w:name w:val="Slika Char"/>
    <w:basedOn w:val="Normal"/>
    <w:link w:val="SlikaCharChar"/>
    <w:uiPriority w:val="99"/>
    <w:rsid w:val="00454FCE"/>
    <w:pPr>
      <w:spacing w:after="0" w:line="280" w:lineRule="exact"/>
      <w:jc w:val="center"/>
    </w:pPr>
    <w:rPr>
      <w:rFonts w:ascii="Arial" w:eastAsia="MS Mincho" w:hAnsi="Arial" w:cs="Arial"/>
      <w:i/>
      <w:iCs/>
      <w:lang w:eastAsia="ja-JP"/>
    </w:rPr>
  </w:style>
  <w:style w:type="character" w:customStyle="1" w:styleId="SlikaCharChar">
    <w:name w:val="Slika Char Char"/>
    <w:link w:val="SlikaChar"/>
    <w:uiPriority w:val="99"/>
    <w:rsid w:val="00454FCE"/>
    <w:rPr>
      <w:rFonts w:ascii="Arial" w:eastAsia="MS Mincho" w:hAnsi="Arial" w:cs="Arial"/>
      <w:i/>
      <w:iCs/>
      <w:lang w:eastAsia="ja-JP"/>
    </w:rPr>
  </w:style>
  <w:style w:type="paragraph" w:customStyle="1" w:styleId="Odlomakpopisa1">
    <w:name w:val="Odlomak popisa1"/>
    <w:basedOn w:val="Normal"/>
    <w:uiPriority w:val="99"/>
    <w:rsid w:val="00454FCE"/>
    <w:pPr>
      <w:ind w:left="720"/>
      <w:contextualSpacing/>
      <w:jc w:val="both"/>
    </w:pPr>
    <w:rPr>
      <w:rFonts w:ascii="Calibri" w:eastAsia="Times New Roman" w:hAnsi="Calibri" w:cs="Times New Roman"/>
    </w:rPr>
  </w:style>
  <w:style w:type="paragraph" w:styleId="TOCHeading">
    <w:name w:val="TOC Heading"/>
    <w:basedOn w:val="Heading1"/>
    <w:next w:val="Normal"/>
    <w:uiPriority w:val="99"/>
    <w:unhideWhenUsed/>
    <w:qFormat/>
    <w:rsid w:val="00454FCE"/>
    <w:pPr>
      <w:spacing w:before="0"/>
      <w:outlineLvl w:val="9"/>
    </w:pPr>
    <w:rPr>
      <w:rFonts w:ascii="Cambria" w:eastAsia="Times New Roman" w:hAnsi="Cambria" w:cs="Times New Roman"/>
      <w:b/>
      <w:color w:val="365F91"/>
      <w:lang w:val="en-US"/>
    </w:rPr>
  </w:style>
  <w:style w:type="paragraph" w:styleId="Quote">
    <w:name w:val="Quote"/>
    <w:basedOn w:val="Normal"/>
    <w:next w:val="Normal"/>
    <w:link w:val="QuoteChar"/>
    <w:uiPriority w:val="29"/>
    <w:qFormat/>
    <w:rsid w:val="00454FCE"/>
    <w:pPr>
      <w:spacing w:after="0" w:line="240" w:lineRule="auto"/>
      <w:jc w:val="both"/>
    </w:pPr>
    <w:rPr>
      <w:rFonts w:ascii="Calibri" w:eastAsia="Calibri" w:hAnsi="Calibri" w:cs="Times New Roman"/>
      <w:i/>
      <w:iCs/>
      <w:color w:val="000000"/>
    </w:rPr>
  </w:style>
  <w:style w:type="character" w:customStyle="1" w:styleId="QuoteChar">
    <w:name w:val="Quote Char"/>
    <w:basedOn w:val="DefaultParagraphFont"/>
    <w:link w:val="Quote"/>
    <w:uiPriority w:val="29"/>
    <w:rsid w:val="00454FCE"/>
    <w:rPr>
      <w:rFonts w:ascii="Calibri" w:eastAsia="Calibri" w:hAnsi="Calibri" w:cs="Times New Roman"/>
      <w:i/>
      <w:iCs/>
      <w:color w:val="000000"/>
    </w:rPr>
  </w:style>
  <w:style w:type="character" w:styleId="HTMLCite">
    <w:name w:val="HTML Cite"/>
    <w:uiPriority w:val="99"/>
    <w:semiHidden/>
    <w:unhideWhenUsed/>
    <w:rsid w:val="00454FCE"/>
    <w:rPr>
      <w:i w:val="0"/>
      <w:iCs w:val="0"/>
      <w:color w:val="0E774A"/>
    </w:rPr>
  </w:style>
  <w:style w:type="character" w:styleId="FollowedHyperlink">
    <w:name w:val="FollowedHyperlink"/>
    <w:uiPriority w:val="99"/>
    <w:semiHidden/>
    <w:unhideWhenUsed/>
    <w:rsid w:val="00454FCE"/>
    <w:rPr>
      <w:color w:val="800080"/>
      <w:u w:val="single"/>
    </w:rPr>
  </w:style>
  <w:style w:type="paragraph" w:styleId="Subtitle">
    <w:name w:val="Subtitle"/>
    <w:basedOn w:val="Normal"/>
    <w:next w:val="Normal"/>
    <w:link w:val="SubtitleChar"/>
    <w:uiPriority w:val="11"/>
    <w:qFormat/>
    <w:rsid w:val="00454FCE"/>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454FCE"/>
    <w:rPr>
      <w:rFonts w:ascii="Cambria" w:eastAsia="Times New Roman" w:hAnsi="Cambria" w:cs="Times New Roman"/>
      <w:sz w:val="24"/>
      <w:szCs w:val="24"/>
      <w:lang w:val="en-US"/>
    </w:rPr>
  </w:style>
  <w:style w:type="numbering" w:customStyle="1" w:styleId="NoList3">
    <w:name w:val="No List3"/>
    <w:next w:val="NoList"/>
    <w:uiPriority w:val="99"/>
    <w:semiHidden/>
    <w:unhideWhenUsed/>
    <w:rsid w:val="00454FCE"/>
  </w:style>
  <w:style w:type="table" w:customStyle="1" w:styleId="TableGrid3">
    <w:name w:val="Table Grid3"/>
    <w:basedOn w:val="TableNormal"/>
    <w:next w:val="TableGrid"/>
    <w:uiPriority w:val="59"/>
    <w:rsid w:val="00454FCE"/>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otnoteReference">
    <w:name w:val="footnote reference"/>
    <w:uiPriority w:val="99"/>
    <w:rsid w:val="00454FCE"/>
    <w:rPr>
      <w:rFonts w:cs="Times New Roman"/>
      <w:vertAlign w:val="superscript"/>
    </w:rPr>
  </w:style>
  <w:style w:type="character" w:customStyle="1" w:styleId="apple-converted-space">
    <w:name w:val="apple-converted-space"/>
    <w:rsid w:val="00454FCE"/>
  </w:style>
  <w:style w:type="character" w:customStyle="1" w:styleId="apple-style-span">
    <w:name w:val="apple-style-span"/>
    <w:rsid w:val="00454FCE"/>
  </w:style>
  <w:style w:type="table" w:styleId="LightShading-Accent2">
    <w:name w:val="Light Shading Accent 2"/>
    <w:basedOn w:val="TableNormal"/>
    <w:uiPriority w:val="60"/>
    <w:rsid w:val="00454FCE"/>
    <w:pPr>
      <w:spacing w:after="0" w:line="240" w:lineRule="auto"/>
    </w:pPr>
    <w:rPr>
      <w:rFonts w:ascii="Calibri" w:eastAsia="Calibri" w:hAnsi="Calibri" w:cs="Times New Roman"/>
      <w:color w:val="943634"/>
      <w:sz w:val="20"/>
      <w:szCs w:val="20"/>
      <w:lang w:eastAsia="hr-H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4">
    <w:name w:val="No List4"/>
    <w:next w:val="NoList"/>
    <w:uiPriority w:val="99"/>
    <w:semiHidden/>
    <w:unhideWhenUsed/>
    <w:rsid w:val="00454FCE"/>
  </w:style>
  <w:style w:type="table" w:customStyle="1" w:styleId="TableGrid4">
    <w:name w:val="Table Grid4"/>
    <w:basedOn w:val="TableNormal"/>
    <w:next w:val="TableGrid"/>
    <w:rsid w:val="00454FCE"/>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studije0">
    <w:name w:val="Naslov studije"/>
    <w:basedOn w:val="Normal"/>
    <w:uiPriority w:val="99"/>
    <w:rsid w:val="00AD21FA"/>
    <w:pPr>
      <w:spacing w:after="0" w:line="240" w:lineRule="auto"/>
    </w:pPr>
    <w:rPr>
      <w:rFonts w:ascii="Arial" w:eastAsia="Times New Roman" w:hAnsi="Arial" w:cs="Arial"/>
      <w:b/>
      <w:sz w:val="48"/>
      <w:szCs w:val="36"/>
      <w:lang w:eastAsia="hr-HR"/>
    </w:rPr>
  </w:style>
  <w:style w:type="character" w:customStyle="1" w:styleId="Heading6Char1">
    <w:name w:val="Heading 6 Char1"/>
    <w:aliases w:val="slike Char1"/>
    <w:basedOn w:val="DefaultParagraphFont"/>
    <w:uiPriority w:val="99"/>
    <w:semiHidden/>
    <w:rsid w:val="004118B1"/>
    <w:rPr>
      <w:rFonts w:ascii="Cambria" w:eastAsia="Times New Roman" w:hAnsi="Cambria" w:cs="Times New Roman"/>
      <w:i/>
      <w:iCs/>
      <w:color w:val="243F60"/>
      <w:sz w:val="22"/>
      <w:szCs w:val="22"/>
      <w:lang w:eastAsia="en-US"/>
    </w:rPr>
  </w:style>
  <w:style w:type="table" w:customStyle="1" w:styleId="TableGrid5">
    <w:name w:val="Table Grid5"/>
    <w:basedOn w:val="TableNormal"/>
    <w:next w:val="TableGrid"/>
    <w:rsid w:val="004118B1"/>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4118B1"/>
  </w:style>
  <w:style w:type="table" w:customStyle="1" w:styleId="TableGrid6">
    <w:name w:val="Table Grid6"/>
    <w:basedOn w:val="TableNormal"/>
    <w:next w:val="TableGrid"/>
    <w:uiPriority w:val="59"/>
    <w:rsid w:val="004118B1"/>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4118B1"/>
  </w:style>
  <w:style w:type="table" w:customStyle="1" w:styleId="TableGrid7">
    <w:name w:val="Table Grid7"/>
    <w:basedOn w:val="TableNormal"/>
    <w:next w:val="TableGrid"/>
    <w:rsid w:val="004118B1"/>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4118B1"/>
  </w:style>
  <w:style w:type="table" w:customStyle="1" w:styleId="TableGrid8">
    <w:name w:val="Table Grid8"/>
    <w:basedOn w:val="TableNormal"/>
    <w:next w:val="TableGrid"/>
    <w:rsid w:val="004118B1"/>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4118B1"/>
    <w:rPr>
      <w:color w:val="808080"/>
    </w:rPr>
  </w:style>
  <w:style w:type="table" w:customStyle="1" w:styleId="TableGrid9">
    <w:name w:val="Table Grid9"/>
    <w:basedOn w:val="TableNormal"/>
    <w:next w:val="TableGrid"/>
    <w:rsid w:val="004118B1"/>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4118B1"/>
  </w:style>
  <w:style w:type="table" w:customStyle="1" w:styleId="TableGrid10">
    <w:name w:val="Table Grid10"/>
    <w:basedOn w:val="TableNormal"/>
    <w:next w:val="TableGrid"/>
    <w:uiPriority w:val="59"/>
    <w:rsid w:val="004118B1"/>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4118B1"/>
  </w:style>
  <w:style w:type="table" w:customStyle="1" w:styleId="TableGrid11">
    <w:name w:val="Table Grid11"/>
    <w:basedOn w:val="TableNormal"/>
    <w:next w:val="TableGrid"/>
    <w:rsid w:val="004118B1"/>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4118B1"/>
  </w:style>
  <w:style w:type="table" w:customStyle="1" w:styleId="TableGrid12">
    <w:name w:val="Table Grid12"/>
    <w:basedOn w:val="TableNormal"/>
    <w:next w:val="TableGrid"/>
    <w:rsid w:val="004118B1"/>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rsid w:val="004118B1"/>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1860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339FF"/>
    <w:rPr>
      <w:rFonts w:ascii="Calibri" w:eastAsia="Calibri" w:hAnsi="Calibri" w:cs="Times New Roman"/>
    </w:rPr>
  </w:style>
  <w:style w:type="character" w:customStyle="1" w:styleId="CaptionChar">
    <w:name w:val="Caption Char"/>
    <w:aliases w:val="Char Char, Char Char"/>
    <w:link w:val="Caption"/>
    <w:uiPriority w:val="35"/>
    <w:locked/>
    <w:rsid w:val="003E48CC"/>
    <w:rPr>
      <w:rFonts w:ascii="Calibri" w:eastAsia="Calibri" w:hAnsi="Calibri" w:cs="Times New Roman"/>
      <w:b/>
      <w:bCs/>
      <w:sz w:val="20"/>
      <w:szCs w:val="20"/>
    </w:rPr>
  </w:style>
  <w:style w:type="numbering" w:customStyle="1" w:styleId="WWOutlineListStyle4">
    <w:name w:val="WW_OutlineListStyle_4"/>
    <w:basedOn w:val="NoList"/>
    <w:rsid w:val="000F64C5"/>
    <w:pPr>
      <w:numPr>
        <w:numId w:val="20"/>
      </w:numPr>
    </w:pPr>
  </w:style>
  <w:style w:type="numbering" w:customStyle="1" w:styleId="NoList12">
    <w:name w:val="No List12"/>
    <w:next w:val="NoList"/>
    <w:uiPriority w:val="99"/>
    <w:semiHidden/>
    <w:unhideWhenUsed/>
    <w:rsid w:val="00F34A8B"/>
  </w:style>
  <w:style w:type="table" w:customStyle="1" w:styleId="TableGrid14">
    <w:name w:val="Table Grid14"/>
    <w:basedOn w:val="TableNormal"/>
    <w:next w:val="TableGrid"/>
    <w:uiPriority w:val="99"/>
    <w:rsid w:val="00F34A8B"/>
    <w:pPr>
      <w:spacing w:after="0" w:line="240" w:lineRule="auto"/>
    </w:pPr>
    <w:rPr>
      <w:rFonts w:ascii="Calibri" w:eastAsia="Calibri"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F34A8B"/>
    <w:rPr>
      <w:b/>
      <w:bCs/>
      <w:i/>
      <w:iCs/>
      <w:color w:val="4F81BD"/>
    </w:rPr>
  </w:style>
  <w:style w:type="paragraph" w:customStyle="1" w:styleId="NASLOVPOGLAVLJA">
    <w:name w:val="NASLOV POGLAVLJA"/>
    <w:basedOn w:val="Normal"/>
    <w:rsid w:val="00F34A8B"/>
    <w:pPr>
      <w:tabs>
        <w:tab w:val="left" w:pos="426"/>
      </w:tabs>
      <w:spacing w:after="240" w:line="240" w:lineRule="auto"/>
      <w:ind w:left="426" w:hanging="426"/>
      <w:jc w:val="both"/>
    </w:pPr>
    <w:rPr>
      <w:rFonts w:ascii="Arial" w:eastAsia="Arial Unicode MS" w:hAnsi="Arial" w:cs="Times New Roman"/>
      <w:b/>
      <w:sz w:val="28"/>
      <w:szCs w:val="28"/>
      <w:lang w:eastAsia="ja-JP"/>
    </w:rPr>
  </w:style>
  <w:style w:type="character" w:customStyle="1" w:styleId="kurziv">
    <w:name w:val="kurziv"/>
    <w:rsid w:val="00F34A8B"/>
  </w:style>
  <w:style w:type="paragraph" w:customStyle="1" w:styleId="Obinitekst2">
    <w:name w:val="Obični tekst2"/>
    <w:basedOn w:val="Normal"/>
    <w:rsid w:val="00262474"/>
    <w:pPr>
      <w:jc w:val="center"/>
    </w:pPr>
    <w:rPr>
      <w:rFonts w:ascii="Arial" w:eastAsia="Calibri" w:hAnsi="Arial"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645">
      <w:bodyDiv w:val="1"/>
      <w:marLeft w:val="0"/>
      <w:marRight w:val="0"/>
      <w:marTop w:val="0"/>
      <w:marBottom w:val="0"/>
      <w:divBdr>
        <w:top w:val="none" w:sz="0" w:space="0" w:color="auto"/>
        <w:left w:val="none" w:sz="0" w:space="0" w:color="auto"/>
        <w:bottom w:val="none" w:sz="0" w:space="0" w:color="auto"/>
        <w:right w:val="none" w:sz="0" w:space="0" w:color="auto"/>
      </w:divBdr>
    </w:div>
    <w:div w:id="12536619">
      <w:bodyDiv w:val="1"/>
      <w:marLeft w:val="0"/>
      <w:marRight w:val="0"/>
      <w:marTop w:val="0"/>
      <w:marBottom w:val="0"/>
      <w:divBdr>
        <w:top w:val="none" w:sz="0" w:space="0" w:color="auto"/>
        <w:left w:val="none" w:sz="0" w:space="0" w:color="auto"/>
        <w:bottom w:val="none" w:sz="0" w:space="0" w:color="auto"/>
        <w:right w:val="none" w:sz="0" w:space="0" w:color="auto"/>
      </w:divBdr>
    </w:div>
    <w:div w:id="15235260">
      <w:bodyDiv w:val="1"/>
      <w:marLeft w:val="0"/>
      <w:marRight w:val="0"/>
      <w:marTop w:val="0"/>
      <w:marBottom w:val="0"/>
      <w:divBdr>
        <w:top w:val="none" w:sz="0" w:space="0" w:color="auto"/>
        <w:left w:val="none" w:sz="0" w:space="0" w:color="auto"/>
        <w:bottom w:val="none" w:sz="0" w:space="0" w:color="auto"/>
        <w:right w:val="none" w:sz="0" w:space="0" w:color="auto"/>
      </w:divBdr>
    </w:div>
    <w:div w:id="17119902">
      <w:bodyDiv w:val="1"/>
      <w:marLeft w:val="0"/>
      <w:marRight w:val="0"/>
      <w:marTop w:val="0"/>
      <w:marBottom w:val="0"/>
      <w:divBdr>
        <w:top w:val="none" w:sz="0" w:space="0" w:color="auto"/>
        <w:left w:val="none" w:sz="0" w:space="0" w:color="auto"/>
        <w:bottom w:val="none" w:sz="0" w:space="0" w:color="auto"/>
        <w:right w:val="none" w:sz="0" w:space="0" w:color="auto"/>
      </w:divBdr>
      <w:divsChild>
        <w:div w:id="1885218525">
          <w:marLeft w:val="547"/>
          <w:marRight w:val="0"/>
          <w:marTop w:val="0"/>
          <w:marBottom w:val="0"/>
          <w:divBdr>
            <w:top w:val="none" w:sz="0" w:space="0" w:color="auto"/>
            <w:left w:val="none" w:sz="0" w:space="0" w:color="auto"/>
            <w:bottom w:val="none" w:sz="0" w:space="0" w:color="auto"/>
            <w:right w:val="none" w:sz="0" w:space="0" w:color="auto"/>
          </w:divBdr>
        </w:div>
        <w:div w:id="2059236977">
          <w:marLeft w:val="547"/>
          <w:marRight w:val="0"/>
          <w:marTop w:val="0"/>
          <w:marBottom w:val="0"/>
          <w:divBdr>
            <w:top w:val="none" w:sz="0" w:space="0" w:color="auto"/>
            <w:left w:val="none" w:sz="0" w:space="0" w:color="auto"/>
            <w:bottom w:val="none" w:sz="0" w:space="0" w:color="auto"/>
            <w:right w:val="none" w:sz="0" w:space="0" w:color="auto"/>
          </w:divBdr>
        </w:div>
      </w:divsChild>
    </w:div>
    <w:div w:id="22444452">
      <w:bodyDiv w:val="1"/>
      <w:marLeft w:val="0"/>
      <w:marRight w:val="0"/>
      <w:marTop w:val="0"/>
      <w:marBottom w:val="0"/>
      <w:divBdr>
        <w:top w:val="none" w:sz="0" w:space="0" w:color="auto"/>
        <w:left w:val="none" w:sz="0" w:space="0" w:color="auto"/>
        <w:bottom w:val="none" w:sz="0" w:space="0" w:color="auto"/>
        <w:right w:val="none" w:sz="0" w:space="0" w:color="auto"/>
      </w:divBdr>
    </w:div>
    <w:div w:id="24839082">
      <w:bodyDiv w:val="1"/>
      <w:marLeft w:val="0"/>
      <w:marRight w:val="0"/>
      <w:marTop w:val="0"/>
      <w:marBottom w:val="0"/>
      <w:divBdr>
        <w:top w:val="none" w:sz="0" w:space="0" w:color="auto"/>
        <w:left w:val="none" w:sz="0" w:space="0" w:color="auto"/>
        <w:bottom w:val="none" w:sz="0" w:space="0" w:color="auto"/>
        <w:right w:val="none" w:sz="0" w:space="0" w:color="auto"/>
      </w:divBdr>
    </w:div>
    <w:div w:id="29653655">
      <w:bodyDiv w:val="1"/>
      <w:marLeft w:val="0"/>
      <w:marRight w:val="0"/>
      <w:marTop w:val="0"/>
      <w:marBottom w:val="0"/>
      <w:divBdr>
        <w:top w:val="none" w:sz="0" w:space="0" w:color="auto"/>
        <w:left w:val="none" w:sz="0" w:space="0" w:color="auto"/>
        <w:bottom w:val="none" w:sz="0" w:space="0" w:color="auto"/>
        <w:right w:val="none" w:sz="0" w:space="0" w:color="auto"/>
      </w:divBdr>
    </w:div>
    <w:div w:id="30959203">
      <w:bodyDiv w:val="1"/>
      <w:marLeft w:val="0"/>
      <w:marRight w:val="0"/>
      <w:marTop w:val="0"/>
      <w:marBottom w:val="0"/>
      <w:divBdr>
        <w:top w:val="none" w:sz="0" w:space="0" w:color="auto"/>
        <w:left w:val="none" w:sz="0" w:space="0" w:color="auto"/>
        <w:bottom w:val="none" w:sz="0" w:space="0" w:color="auto"/>
        <w:right w:val="none" w:sz="0" w:space="0" w:color="auto"/>
      </w:divBdr>
    </w:div>
    <w:div w:id="32924469">
      <w:bodyDiv w:val="1"/>
      <w:marLeft w:val="0"/>
      <w:marRight w:val="0"/>
      <w:marTop w:val="0"/>
      <w:marBottom w:val="0"/>
      <w:divBdr>
        <w:top w:val="none" w:sz="0" w:space="0" w:color="auto"/>
        <w:left w:val="none" w:sz="0" w:space="0" w:color="auto"/>
        <w:bottom w:val="none" w:sz="0" w:space="0" w:color="auto"/>
        <w:right w:val="none" w:sz="0" w:space="0" w:color="auto"/>
      </w:divBdr>
    </w:div>
    <w:div w:id="35279804">
      <w:bodyDiv w:val="1"/>
      <w:marLeft w:val="0"/>
      <w:marRight w:val="0"/>
      <w:marTop w:val="0"/>
      <w:marBottom w:val="0"/>
      <w:divBdr>
        <w:top w:val="none" w:sz="0" w:space="0" w:color="auto"/>
        <w:left w:val="none" w:sz="0" w:space="0" w:color="auto"/>
        <w:bottom w:val="none" w:sz="0" w:space="0" w:color="auto"/>
        <w:right w:val="none" w:sz="0" w:space="0" w:color="auto"/>
      </w:divBdr>
    </w:div>
    <w:div w:id="35356227">
      <w:bodyDiv w:val="1"/>
      <w:marLeft w:val="0"/>
      <w:marRight w:val="0"/>
      <w:marTop w:val="0"/>
      <w:marBottom w:val="0"/>
      <w:divBdr>
        <w:top w:val="none" w:sz="0" w:space="0" w:color="auto"/>
        <w:left w:val="none" w:sz="0" w:space="0" w:color="auto"/>
        <w:bottom w:val="none" w:sz="0" w:space="0" w:color="auto"/>
        <w:right w:val="none" w:sz="0" w:space="0" w:color="auto"/>
      </w:divBdr>
    </w:div>
    <w:div w:id="46996861">
      <w:bodyDiv w:val="1"/>
      <w:marLeft w:val="0"/>
      <w:marRight w:val="0"/>
      <w:marTop w:val="0"/>
      <w:marBottom w:val="0"/>
      <w:divBdr>
        <w:top w:val="none" w:sz="0" w:space="0" w:color="auto"/>
        <w:left w:val="none" w:sz="0" w:space="0" w:color="auto"/>
        <w:bottom w:val="none" w:sz="0" w:space="0" w:color="auto"/>
        <w:right w:val="none" w:sz="0" w:space="0" w:color="auto"/>
      </w:divBdr>
    </w:div>
    <w:div w:id="49498713">
      <w:bodyDiv w:val="1"/>
      <w:marLeft w:val="0"/>
      <w:marRight w:val="0"/>
      <w:marTop w:val="0"/>
      <w:marBottom w:val="0"/>
      <w:divBdr>
        <w:top w:val="none" w:sz="0" w:space="0" w:color="auto"/>
        <w:left w:val="none" w:sz="0" w:space="0" w:color="auto"/>
        <w:bottom w:val="none" w:sz="0" w:space="0" w:color="auto"/>
        <w:right w:val="none" w:sz="0" w:space="0" w:color="auto"/>
      </w:divBdr>
    </w:div>
    <w:div w:id="50428958">
      <w:bodyDiv w:val="1"/>
      <w:marLeft w:val="0"/>
      <w:marRight w:val="0"/>
      <w:marTop w:val="0"/>
      <w:marBottom w:val="0"/>
      <w:divBdr>
        <w:top w:val="none" w:sz="0" w:space="0" w:color="auto"/>
        <w:left w:val="none" w:sz="0" w:space="0" w:color="auto"/>
        <w:bottom w:val="none" w:sz="0" w:space="0" w:color="auto"/>
        <w:right w:val="none" w:sz="0" w:space="0" w:color="auto"/>
      </w:divBdr>
    </w:div>
    <w:div w:id="52700151">
      <w:bodyDiv w:val="1"/>
      <w:marLeft w:val="0"/>
      <w:marRight w:val="0"/>
      <w:marTop w:val="0"/>
      <w:marBottom w:val="0"/>
      <w:divBdr>
        <w:top w:val="none" w:sz="0" w:space="0" w:color="auto"/>
        <w:left w:val="none" w:sz="0" w:space="0" w:color="auto"/>
        <w:bottom w:val="none" w:sz="0" w:space="0" w:color="auto"/>
        <w:right w:val="none" w:sz="0" w:space="0" w:color="auto"/>
      </w:divBdr>
    </w:div>
    <w:div w:id="54284019">
      <w:bodyDiv w:val="1"/>
      <w:marLeft w:val="0"/>
      <w:marRight w:val="0"/>
      <w:marTop w:val="0"/>
      <w:marBottom w:val="0"/>
      <w:divBdr>
        <w:top w:val="none" w:sz="0" w:space="0" w:color="auto"/>
        <w:left w:val="none" w:sz="0" w:space="0" w:color="auto"/>
        <w:bottom w:val="none" w:sz="0" w:space="0" w:color="auto"/>
        <w:right w:val="none" w:sz="0" w:space="0" w:color="auto"/>
      </w:divBdr>
    </w:div>
    <w:div w:id="58945400">
      <w:bodyDiv w:val="1"/>
      <w:marLeft w:val="0"/>
      <w:marRight w:val="0"/>
      <w:marTop w:val="0"/>
      <w:marBottom w:val="0"/>
      <w:divBdr>
        <w:top w:val="none" w:sz="0" w:space="0" w:color="auto"/>
        <w:left w:val="none" w:sz="0" w:space="0" w:color="auto"/>
        <w:bottom w:val="none" w:sz="0" w:space="0" w:color="auto"/>
        <w:right w:val="none" w:sz="0" w:space="0" w:color="auto"/>
      </w:divBdr>
    </w:div>
    <w:div w:id="59983427">
      <w:bodyDiv w:val="1"/>
      <w:marLeft w:val="0"/>
      <w:marRight w:val="0"/>
      <w:marTop w:val="0"/>
      <w:marBottom w:val="0"/>
      <w:divBdr>
        <w:top w:val="none" w:sz="0" w:space="0" w:color="auto"/>
        <w:left w:val="none" w:sz="0" w:space="0" w:color="auto"/>
        <w:bottom w:val="none" w:sz="0" w:space="0" w:color="auto"/>
        <w:right w:val="none" w:sz="0" w:space="0" w:color="auto"/>
      </w:divBdr>
    </w:div>
    <w:div w:id="63457250">
      <w:bodyDiv w:val="1"/>
      <w:marLeft w:val="0"/>
      <w:marRight w:val="0"/>
      <w:marTop w:val="0"/>
      <w:marBottom w:val="0"/>
      <w:divBdr>
        <w:top w:val="none" w:sz="0" w:space="0" w:color="auto"/>
        <w:left w:val="none" w:sz="0" w:space="0" w:color="auto"/>
        <w:bottom w:val="none" w:sz="0" w:space="0" w:color="auto"/>
        <w:right w:val="none" w:sz="0" w:space="0" w:color="auto"/>
      </w:divBdr>
    </w:div>
    <w:div w:id="76875612">
      <w:bodyDiv w:val="1"/>
      <w:marLeft w:val="0"/>
      <w:marRight w:val="0"/>
      <w:marTop w:val="0"/>
      <w:marBottom w:val="0"/>
      <w:divBdr>
        <w:top w:val="none" w:sz="0" w:space="0" w:color="auto"/>
        <w:left w:val="none" w:sz="0" w:space="0" w:color="auto"/>
        <w:bottom w:val="none" w:sz="0" w:space="0" w:color="auto"/>
        <w:right w:val="none" w:sz="0" w:space="0" w:color="auto"/>
      </w:divBdr>
    </w:div>
    <w:div w:id="83382475">
      <w:bodyDiv w:val="1"/>
      <w:marLeft w:val="0"/>
      <w:marRight w:val="0"/>
      <w:marTop w:val="0"/>
      <w:marBottom w:val="0"/>
      <w:divBdr>
        <w:top w:val="none" w:sz="0" w:space="0" w:color="auto"/>
        <w:left w:val="none" w:sz="0" w:space="0" w:color="auto"/>
        <w:bottom w:val="none" w:sz="0" w:space="0" w:color="auto"/>
        <w:right w:val="none" w:sz="0" w:space="0" w:color="auto"/>
      </w:divBdr>
    </w:div>
    <w:div w:id="86385153">
      <w:bodyDiv w:val="1"/>
      <w:marLeft w:val="0"/>
      <w:marRight w:val="0"/>
      <w:marTop w:val="0"/>
      <w:marBottom w:val="0"/>
      <w:divBdr>
        <w:top w:val="none" w:sz="0" w:space="0" w:color="auto"/>
        <w:left w:val="none" w:sz="0" w:space="0" w:color="auto"/>
        <w:bottom w:val="none" w:sz="0" w:space="0" w:color="auto"/>
        <w:right w:val="none" w:sz="0" w:space="0" w:color="auto"/>
      </w:divBdr>
    </w:div>
    <w:div w:id="90441086">
      <w:bodyDiv w:val="1"/>
      <w:marLeft w:val="0"/>
      <w:marRight w:val="0"/>
      <w:marTop w:val="0"/>
      <w:marBottom w:val="0"/>
      <w:divBdr>
        <w:top w:val="none" w:sz="0" w:space="0" w:color="auto"/>
        <w:left w:val="none" w:sz="0" w:space="0" w:color="auto"/>
        <w:bottom w:val="none" w:sz="0" w:space="0" w:color="auto"/>
        <w:right w:val="none" w:sz="0" w:space="0" w:color="auto"/>
      </w:divBdr>
    </w:div>
    <w:div w:id="92432855">
      <w:bodyDiv w:val="1"/>
      <w:marLeft w:val="0"/>
      <w:marRight w:val="0"/>
      <w:marTop w:val="0"/>
      <w:marBottom w:val="0"/>
      <w:divBdr>
        <w:top w:val="none" w:sz="0" w:space="0" w:color="auto"/>
        <w:left w:val="none" w:sz="0" w:space="0" w:color="auto"/>
        <w:bottom w:val="none" w:sz="0" w:space="0" w:color="auto"/>
        <w:right w:val="none" w:sz="0" w:space="0" w:color="auto"/>
      </w:divBdr>
    </w:div>
    <w:div w:id="93088960">
      <w:bodyDiv w:val="1"/>
      <w:marLeft w:val="0"/>
      <w:marRight w:val="0"/>
      <w:marTop w:val="0"/>
      <w:marBottom w:val="0"/>
      <w:divBdr>
        <w:top w:val="none" w:sz="0" w:space="0" w:color="auto"/>
        <w:left w:val="none" w:sz="0" w:space="0" w:color="auto"/>
        <w:bottom w:val="none" w:sz="0" w:space="0" w:color="auto"/>
        <w:right w:val="none" w:sz="0" w:space="0" w:color="auto"/>
      </w:divBdr>
    </w:div>
    <w:div w:id="100221186">
      <w:bodyDiv w:val="1"/>
      <w:marLeft w:val="0"/>
      <w:marRight w:val="0"/>
      <w:marTop w:val="0"/>
      <w:marBottom w:val="0"/>
      <w:divBdr>
        <w:top w:val="none" w:sz="0" w:space="0" w:color="auto"/>
        <w:left w:val="none" w:sz="0" w:space="0" w:color="auto"/>
        <w:bottom w:val="none" w:sz="0" w:space="0" w:color="auto"/>
        <w:right w:val="none" w:sz="0" w:space="0" w:color="auto"/>
      </w:divBdr>
    </w:div>
    <w:div w:id="100801824">
      <w:bodyDiv w:val="1"/>
      <w:marLeft w:val="0"/>
      <w:marRight w:val="0"/>
      <w:marTop w:val="0"/>
      <w:marBottom w:val="0"/>
      <w:divBdr>
        <w:top w:val="none" w:sz="0" w:space="0" w:color="auto"/>
        <w:left w:val="none" w:sz="0" w:space="0" w:color="auto"/>
        <w:bottom w:val="none" w:sz="0" w:space="0" w:color="auto"/>
        <w:right w:val="none" w:sz="0" w:space="0" w:color="auto"/>
      </w:divBdr>
    </w:div>
    <w:div w:id="100802978">
      <w:bodyDiv w:val="1"/>
      <w:marLeft w:val="0"/>
      <w:marRight w:val="0"/>
      <w:marTop w:val="0"/>
      <w:marBottom w:val="0"/>
      <w:divBdr>
        <w:top w:val="none" w:sz="0" w:space="0" w:color="auto"/>
        <w:left w:val="none" w:sz="0" w:space="0" w:color="auto"/>
        <w:bottom w:val="none" w:sz="0" w:space="0" w:color="auto"/>
        <w:right w:val="none" w:sz="0" w:space="0" w:color="auto"/>
      </w:divBdr>
    </w:div>
    <w:div w:id="103579310">
      <w:bodyDiv w:val="1"/>
      <w:marLeft w:val="0"/>
      <w:marRight w:val="0"/>
      <w:marTop w:val="0"/>
      <w:marBottom w:val="0"/>
      <w:divBdr>
        <w:top w:val="none" w:sz="0" w:space="0" w:color="auto"/>
        <w:left w:val="none" w:sz="0" w:space="0" w:color="auto"/>
        <w:bottom w:val="none" w:sz="0" w:space="0" w:color="auto"/>
        <w:right w:val="none" w:sz="0" w:space="0" w:color="auto"/>
      </w:divBdr>
    </w:div>
    <w:div w:id="105737662">
      <w:bodyDiv w:val="1"/>
      <w:marLeft w:val="0"/>
      <w:marRight w:val="0"/>
      <w:marTop w:val="0"/>
      <w:marBottom w:val="0"/>
      <w:divBdr>
        <w:top w:val="none" w:sz="0" w:space="0" w:color="auto"/>
        <w:left w:val="none" w:sz="0" w:space="0" w:color="auto"/>
        <w:bottom w:val="none" w:sz="0" w:space="0" w:color="auto"/>
        <w:right w:val="none" w:sz="0" w:space="0" w:color="auto"/>
      </w:divBdr>
    </w:div>
    <w:div w:id="107816311">
      <w:bodyDiv w:val="1"/>
      <w:marLeft w:val="0"/>
      <w:marRight w:val="0"/>
      <w:marTop w:val="0"/>
      <w:marBottom w:val="0"/>
      <w:divBdr>
        <w:top w:val="none" w:sz="0" w:space="0" w:color="auto"/>
        <w:left w:val="none" w:sz="0" w:space="0" w:color="auto"/>
        <w:bottom w:val="none" w:sz="0" w:space="0" w:color="auto"/>
        <w:right w:val="none" w:sz="0" w:space="0" w:color="auto"/>
      </w:divBdr>
    </w:div>
    <w:div w:id="115025801">
      <w:bodyDiv w:val="1"/>
      <w:marLeft w:val="0"/>
      <w:marRight w:val="0"/>
      <w:marTop w:val="0"/>
      <w:marBottom w:val="0"/>
      <w:divBdr>
        <w:top w:val="none" w:sz="0" w:space="0" w:color="auto"/>
        <w:left w:val="none" w:sz="0" w:space="0" w:color="auto"/>
        <w:bottom w:val="none" w:sz="0" w:space="0" w:color="auto"/>
        <w:right w:val="none" w:sz="0" w:space="0" w:color="auto"/>
      </w:divBdr>
    </w:div>
    <w:div w:id="121193416">
      <w:bodyDiv w:val="1"/>
      <w:marLeft w:val="0"/>
      <w:marRight w:val="0"/>
      <w:marTop w:val="0"/>
      <w:marBottom w:val="0"/>
      <w:divBdr>
        <w:top w:val="none" w:sz="0" w:space="0" w:color="auto"/>
        <w:left w:val="none" w:sz="0" w:space="0" w:color="auto"/>
        <w:bottom w:val="none" w:sz="0" w:space="0" w:color="auto"/>
        <w:right w:val="none" w:sz="0" w:space="0" w:color="auto"/>
      </w:divBdr>
    </w:div>
    <w:div w:id="123542135">
      <w:bodyDiv w:val="1"/>
      <w:marLeft w:val="0"/>
      <w:marRight w:val="0"/>
      <w:marTop w:val="0"/>
      <w:marBottom w:val="0"/>
      <w:divBdr>
        <w:top w:val="none" w:sz="0" w:space="0" w:color="auto"/>
        <w:left w:val="none" w:sz="0" w:space="0" w:color="auto"/>
        <w:bottom w:val="none" w:sz="0" w:space="0" w:color="auto"/>
        <w:right w:val="none" w:sz="0" w:space="0" w:color="auto"/>
      </w:divBdr>
    </w:div>
    <w:div w:id="125199025">
      <w:bodyDiv w:val="1"/>
      <w:marLeft w:val="0"/>
      <w:marRight w:val="0"/>
      <w:marTop w:val="0"/>
      <w:marBottom w:val="0"/>
      <w:divBdr>
        <w:top w:val="none" w:sz="0" w:space="0" w:color="auto"/>
        <w:left w:val="none" w:sz="0" w:space="0" w:color="auto"/>
        <w:bottom w:val="none" w:sz="0" w:space="0" w:color="auto"/>
        <w:right w:val="none" w:sz="0" w:space="0" w:color="auto"/>
      </w:divBdr>
    </w:div>
    <w:div w:id="130365507">
      <w:bodyDiv w:val="1"/>
      <w:marLeft w:val="0"/>
      <w:marRight w:val="0"/>
      <w:marTop w:val="0"/>
      <w:marBottom w:val="0"/>
      <w:divBdr>
        <w:top w:val="none" w:sz="0" w:space="0" w:color="auto"/>
        <w:left w:val="none" w:sz="0" w:space="0" w:color="auto"/>
        <w:bottom w:val="none" w:sz="0" w:space="0" w:color="auto"/>
        <w:right w:val="none" w:sz="0" w:space="0" w:color="auto"/>
      </w:divBdr>
    </w:div>
    <w:div w:id="137765121">
      <w:bodyDiv w:val="1"/>
      <w:marLeft w:val="0"/>
      <w:marRight w:val="0"/>
      <w:marTop w:val="0"/>
      <w:marBottom w:val="0"/>
      <w:divBdr>
        <w:top w:val="none" w:sz="0" w:space="0" w:color="auto"/>
        <w:left w:val="none" w:sz="0" w:space="0" w:color="auto"/>
        <w:bottom w:val="none" w:sz="0" w:space="0" w:color="auto"/>
        <w:right w:val="none" w:sz="0" w:space="0" w:color="auto"/>
      </w:divBdr>
    </w:div>
    <w:div w:id="147524789">
      <w:bodyDiv w:val="1"/>
      <w:marLeft w:val="0"/>
      <w:marRight w:val="0"/>
      <w:marTop w:val="0"/>
      <w:marBottom w:val="0"/>
      <w:divBdr>
        <w:top w:val="none" w:sz="0" w:space="0" w:color="auto"/>
        <w:left w:val="none" w:sz="0" w:space="0" w:color="auto"/>
        <w:bottom w:val="none" w:sz="0" w:space="0" w:color="auto"/>
        <w:right w:val="none" w:sz="0" w:space="0" w:color="auto"/>
      </w:divBdr>
    </w:div>
    <w:div w:id="149560017">
      <w:bodyDiv w:val="1"/>
      <w:marLeft w:val="0"/>
      <w:marRight w:val="0"/>
      <w:marTop w:val="0"/>
      <w:marBottom w:val="0"/>
      <w:divBdr>
        <w:top w:val="none" w:sz="0" w:space="0" w:color="auto"/>
        <w:left w:val="none" w:sz="0" w:space="0" w:color="auto"/>
        <w:bottom w:val="none" w:sz="0" w:space="0" w:color="auto"/>
        <w:right w:val="none" w:sz="0" w:space="0" w:color="auto"/>
      </w:divBdr>
    </w:div>
    <w:div w:id="156843472">
      <w:bodyDiv w:val="1"/>
      <w:marLeft w:val="0"/>
      <w:marRight w:val="0"/>
      <w:marTop w:val="0"/>
      <w:marBottom w:val="0"/>
      <w:divBdr>
        <w:top w:val="none" w:sz="0" w:space="0" w:color="auto"/>
        <w:left w:val="none" w:sz="0" w:space="0" w:color="auto"/>
        <w:bottom w:val="none" w:sz="0" w:space="0" w:color="auto"/>
        <w:right w:val="none" w:sz="0" w:space="0" w:color="auto"/>
      </w:divBdr>
    </w:div>
    <w:div w:id="162940589">
      <w:bodyDiv w:val="1"/>
      <w:marLeft w:val="0"/>
      <w:marRight w:val="0"/>
      <w:marTop w:val="0"/>
      <w:marBottom w:val="0"/>
      <w:divBdr>
        <w:top w:val="none" w:sz="0" w:space="0" w:color="auto"/>
        <w:left w:val="none" w:sz="0" w:space="0" w:color="auto"/>
        <w:bottom w:val="none" w:sz="0" w:space="0" w:color="auto"/>
        <w:right w:val="none" w:sz="0" w:space="0" w:color="auto"/>
      </w:divBdr>
    </w:div>
    <w:div w:id="181358432">
      <w:bodyDiv w:val="1"/>
      <w:marLeft w:val="0"/>
      <w:marRight w:val="0"/>
      <w:marTop w:val="0"/>
      <w:marBottom w:val="0"/>
      <w:divBdr>
        <w:top w:val="none" w:sz="0" w:space="0" w:color="auto"/>
        <w:left w:val="none" w:sz="0" w:space="0" w:color="auto"/>
        <w:bottom w:val="none" w:sz="0" w:space="0" w:color="auto"/>
        <w:right w:val="none" w:sz="0" w:space="0" w:color="auto"/>
      </w:divBdr>
    </w:div>
    <w:div w:id="187106866">
      <w:bodyDiv w:val="1"/>
      <w:marLeft w:val="0"/>
      <w:marRight w:val="0"/>
      <w:marTop w:val="0"/>
      <w:marBottom w:val="0"/>
      <w:divBdr>
        <w:top w:val="none" w:sz="0" w:space="0" w:color="auto"/>
        <w:left w:val="none" w:sz="0" w:space="0" w:color="auto"/>
        <w:bottom w:val="none" w:sz="0" w:space="0" w:color="auto"/>
        <w:right w:val="none" w:sz="0" w:space="0" w:color="auto"/>
      </w:divBdr>
    </w:div>
    <w:div w:id="192230448">
      <w:bodyDiv w:val="1"/>
      <w:marLeft w:val="0"/>
      <w:marRight w:val="0"/>
      <w:marTop w:val="0"/>
      <w:marBottom w:val="0"/>
      <w:divBdr>
        <w:top w:val="none" w:sz="0" w:space="0" w:color="auto"/>
        <w:left w:val="none" w:sz="0" w:space="0" w:color="auto"/>
        <w:bottom w:val="none" w:sz="0" w:space="0" w:color="auto"/>
        <w:right w:val="none" w:sz="0" w:space="0" w:color="auto"/>
      </w:divBdr>
    </w:div>
    <w:div w:id="192572671">
      <w:bodyDiv w:val="1"/>
      <w:marLeft w:val="0"/>
      <w:marRight w:val="0"/>
      <w:marTop w:val="0"/>
      <w:marBottom w:val="0"/>
      <w:divBdr>
        <w:top w:val="none" w:sz="0" w:space="0" w:color="auto"/>
        <w:left w:val="none" w:sz="0" w:space="0" w:color="auto"/>
        <w:bottom w:val="none" w:sz="0" w:space="0" w:color="auto"/>
        <w:right w:val="none" w:sz="0" w:space="0" w:color="auto"/>
      </w:divBdr>
    </w:div>
    <w:div w:id="197815501">
      <w:bodyDiv w:val="1"/>
      <w:marLeft w:val="0"/>
      <w:marRight w:val="0"/>
      <w:marTop w:val="0"/>
      <w:marBottom w:val="0"/>
      <w:divBdr>
        <w:top w:val="none" w:sz="0" w:space="0" w:color="auto"/>
        <w:left w:val="none" w:sz="0" w:space="0" w:color="auto"/>
        <w:bottom w:val="none" w:sz="0" w:space="0" w:color="auto"/>
        <w:right w:val="none" w:sz="0" w:space="0" w:color="auto"/>
      </w:divBdr>
    </w:div>
    <w:div w:id="217742291">
      <w:bodyDiv w:val="1"/>
      <w:marLeft w:val="0"/>
      <w:marRight w:val="0"/>
      <w:marTop w:val="0"/>
      <w:marBottom w:val="0"/>
      <w:divBdr>
        <w:top w:val="none" w:sz="0" w:space="0" w:color="auto"/>
        <w:left w:val="none" w:sz="0" w:space="0" w:color="auto"/>
        <w:bottom w:val="none" w:sz="0" w:space="0" w:color="auto"/>
        <w:right w:val="none" w:sz="0" w:space="0" w:color="auto"/>
      </w:divBdr>
    </w:div>
    <w:div w:id="225848009">
      <w:bodyDiv w:val="1"/>
      <w:marLeft w:val="0"/>
      <w:marRight w:val="0"/>
      <w:marTop w:val="0"/>
      <w:marBottom w:val="0"/>
      <w:divBdr>
        <w:top w:val="none" w:sz="0" w:space="0" w:color="auto"/>
        <w:left w:val="none" w:sz="0" w:space="0" w:color="auto"/>
        <w:bottom w:val="none" w:sz="0" w:space="0" w:color="auto"/>
        <w:right w:val="none" w:sz="0" w:space="0" w:color="auto"/>
      </w:divBdr>
    </w:div>
    <w:div w:id="227882711">
      <w:bodyDiv w:val="1"/>
      <w:marLeft w:val="0"/>
      <w:marRight w:val="0"/>
      <w:marTop w:val="0"/>
      <w:marBottom w:val="0"/>
      <w:divBdr>
        <w:top w:val="none" w:sz="0" w:space="0" w:color="auto"/>
        <w:left w:val="none" w:sz="0" w:space="0" w:color="auto"/>
        <w:bottom w:val="none" w:sz="0" w:space="0" w:color="auto"/>
        <w:right w:val="none" w:sz="0" w:space="0" w:color="auto"/>
      </w:divBdr>
    </w:div>
    <w:div w:id="242028215">
      <w:bodyDiv w:val="1"/>
      <w:marLeft w:val="0"/>
      <w:marRight w:val="0"/>
      <w:marTop w:val="0"/>
      <w:marBottom w:val="0"/>
      <w:divBdr>
        <w:top w:val="none" w:sz="0" w:space="0" w:color="auto"/>
        <w:left w:val="none" w:sz="0" w:space="0" w:color="auto"/>
        <w:bottom w:val="none" w:sz="0" w:space="0" w:color="auto"/>
        <w:right w:val="none" w:sz="0" w:space="0" w:color="auto"/>
      </w:divBdr>
    </w:div>
    <w:div w:id="247929667">
      <w:bodyDiv w:val="1"/>
      <w:marLeft w:val="0"/>
      <w:marRight w:val="0"/>
      <w:marTop w:val="0"/>
      <w:marBottom w:val="0"/>
      <w:divBdr>
        <w:top w:val="none" w:sz="0" w:space="0" w:color="auto"/>
        <w:left w:val="none" w:sz="0" w:space="0" w:color="auto"/>
        <w:bottom w:val="none" w:sz="0" w:space="0" w:color="auto"/>
        <w:right w:val="none" w:sz="0" w:space="0" w:color="auto"/>
      </w:divBdr>
    </w:div>
    <w:div w:id="254869881">
      <w:bodyDiv w:val="1"/>
      <w:marLeft w:val="0"/>
      <w:marRight w:val="0"/>
      <w:marTop w:val="0"/>
      <w:marBottom w:val="0"/>
      <w:divBdr>
        <w:top w:val="none" w:sz="0" w:space="0" w:color="auto"/>
        <w:left w:val="none" w:sz="0" w:space="0" w:color="auto"/>
        <w:bottom w:val="none" w:sz="0" w:space="0" w:color="auto"/>
        <w:right w:val="none" w:sz="0" w:space="0" w:color="auto"/>
      </w:divBdr>
    </w:div>
    <w:div w:id="267783535">
      <w:bodyDiv w:val="1"/>
      <w:marLeft w:val="0"/>
      <w:marRight w:val="0"/>
      <w:marTop w:val="0"/>
      <w:marBottom w:val="0"/>
      <w:divBdr>
        <w:top w:val="none" w:sz="0" w:space="0" w:color="auto"/>
        <w:left w:val="none" w:sz="0" w:space="0" w:color="auto"/>
        <w:bottom w:val="none" w:sz="0" w:space="0" w:color="auto"/>
        <w:right w:val="none" w:sz="0" w:space="0" w:color="auto"/>
      </w:divBdr>
    </w:div>
    <w:div w:id="276564629">
      <w:bodyDiv w:val="1"/>
      <w:marLeft w:val="0"/>
      <w:marRight w:val="0"/>
      <w:marTop w:val="0"/>
      <w:marBottom w:val="0"/>
      <w:divBdr>
        <w:top w:val="none" w:sz="0" w:space="0" w:color="auto"/>
        <w:left w:val="none" w:sz="0" w:space="0" w:color="auto"/>
        <w:bottom w:val="none" w:sz="0" w:space="0" w:color="auto"/>
        <w:right w:val="none" w:sz="0" w:space="0" w:color="auto"/>
      </w:divBdr>
    </w:div>
    <w:div w:id="279342378">
      <w:bodyDiv w:val="1"/>
      <w:marLeft w:val="0"/>
      <w:marRight w:val="0"/>
      <w:marTop w:val="0"/>
      <w:marBottom w:val="0"/>
      <w:divBdr>
        <w:top w:val="none" w:sz="0" w:space="0" w:color="auto"/>
        <w:left w:val="none" w:sz="0" w:space="0" w:color="auto"/>
        <w:bottom w:val="none" w:sz="0" w:space="0" w:color="auto"/>
        <w:right w:val="none" w:sz="0" w:space="0" w:color="auto"/>
      </w:divBdr>
    </w:div>
    <w:div w:id="279344375">
      <w:bodyDiv w:val="1"/>
      <w:marLeft w:val="0"/>
      <w:marRight w:val="0"/>
      <w:marTop w:val="0"/>
      <w:marBottom w:val="0"/>
      <w:divBdr>
        <w:top w:val="none" w:sz="0" w:space="0" w:color="auto"/>
        <w:left w:val="none" w:sz="0" w:space="0" w:color="auto"/>
        <w:bottom w:val="none" w:sz="0" w:space="0" w:color="auto"/>
        <w:right w:val="none" w:sz="0" w:space="0" w:color="auto"/>
      </w:divBdr>
    </w:div>
    <w:div w:id="282274200">
      <w:bodyDiv w:val="1"/>
      <w:marLeft w:val="0"/>
      <w:marRight w:val="0"/>
      <w:marTop w:val="0"/>
      <w:marBottom w:val="0"/>
      <w:divBdr>
        <w:top w:val="none" w:sz="0" w:space="0" w:color="auto"/>
        <w:left w:val="none" w:sz="0" w:space="0" w:color="auto"/>
        <w:bottom w:val="none" w:sz="0" w:space="0" w:color="auto"/>
        <w:right w:val="none" w:sz="0" w:space="0" w:color="auto"/>
      </w:divBdr>
    </w:div>
    <w:div w:id="285737012">
      <w:bodyDiv w:val="1"/>
      <w:marLeft w:val="0"/>
      <w:marRight w:val="0"/>
      <w:marTop w:val="0"/>
      <w:marBottom w:val="0"/>
      <w:divBdr>
        <w:top w:val="none" w:sz="0" w:space="0" w:color="auto"/>
        <w:left w:val="none" w:sz="0" w:space="0" w:color="auto"/>
        <w:bottom w:val="none" w:sz="0" w:space="0" w:color="auto"/>
        <w:right w:val="none" w:sz="0" w:space="0" w:color="auto"/>
      </w:divBdr>
    </w:div>
    <w:div w:id="293411646">
      <w:bodyDiv w:val="1"/>
      <w:marLeft w:val="0"/>
      <w:marRight w:val="0"/>
      <w:marTop w:val="0"/>
      <w:marBottom w:val="0"/>
      <w:divBdr>
        <w:top w:val="none" w:sz="0" w:space="0" w:color="auto"/>
        <w:left w:val="none" w:sz="0" w:space="0" w:color="auto"/>
        <w:bottom w:val="none" w:sz="0" w:space="0" w:color="auto"/>
        <w:right w:val="none" w:sz="0" w:space="0" w:color="auto"/>
      </w:divBdr>
    </w:div>
    <w:div w:id="306085823">
      <w:bodyDiv w:val="1"/>
      <w:marLeft w:val="0"/>
      <w:marRight w:val="0"/>
      <w:marTop w:val="0"/>
      <w:marBottom w:val="0"/>
      <w:divBdr>
        <w:top w:val="none" w:sz="0" w:space="0" w:color="auto"/>
        <w:left w:val="none" w:sz="0" w:space="0" w:color="auto"/>
        <w:bottom w:val="none" w:sz="0" w:space="0" w:color="auto"/>
        <w:right w:val="none" w:sz="0" w:space="0" w:color="auto"/>
      </w:divBdr>
    </w:div>
    <w:div w:id="323630236">
      <w:bodyDiv w:val="1"/>
      <w:marLeft w:val="0"/>
      <w:marRight w:val="0"/>
      <w:marTop w:val="0"/>
      <w:marBottom w:val="0"/>
      <w:divBdr>
        <w:top w:val="none" w:sz="0" w:space="0" w:color="auto"/>
        <w:left w:val="none" w:sz="0" w:space="0" w:color="auto"/>
        <w:bottom w:val="none" w:sz="0" w:space="0" w:color="auto"/>
        <w:right w:val="none" w:sz="0" w:space="0" w:color="auto"/>
      </w:divBdr>
    </w:div>
    <w:div w:id="329260626">
      <w:bodyDiv w:val="1"/>
      <w:marLeft w:val="0"/>
      <w:marRight w:val="0"/>
      <w:marTop w:val="0"/>
      <w:marBottom w:val="0"/>
      <w:divBdr>
        <w:top w:val="none" w:sz="0" w:space="0" w:color="auto"/>
        <w:left w:val="none" w:sz="0" w:space="0" w:color="auto"/>
        <w:bottom w:val="none" w:sz="0" w:space="0" w:color="auto"/>
        <w:right w:val="none" w:sz="0" w:space="0" w:color="auto"/>
      </w:divBdr>
    </w:div>
    <w:div w:id="330958485">
      <w:bodyDiv w:val="1"/>
      <w:marLeft w:val="0"/>
      <w:marRight w:val="0"/>
      <w:marTop w:val="0"/>
      <w:marBottom w:val="0"/>
      <w:divBdr>
        <w:top w:val="none" w:sz="0" w:space="0" w:color="auto"/>
        <w:left w:val="none" w:sz="0" w:space="0" w:color="auto"/>
        <w:bottom w:val="none" w:sz="0" w:space="0" w:color="auto"/>
        <w:right w:val="none" w:sz="0" w:space="0" w:color="auto"/>
      </w:divBdr>
    </w:div>
    <w:div w:id="333606892">
      <w:bodyDiv w:val="1"/>
      <w:marLeft w:val="0"/>
      <w:marRight w:val="0"/>
      <w:marTop w:val="0"/>
      <w:marBottom w:val="0"/>
      <w:divBdr>
        <w:top w:val="none" w:sz="0" w:space="0" w:color="auto"/>
        <w:left w:val="none" w:sz="0" w:space="0" w:color="auto"/>
        <w:bottom w:val="none" w:sz="0" w:space="0" w:color="auto"/>
        <w:right w:val="none" w:sz="0" w:space="0" w:color="auto"/>
      </w:divBdr>
    </w:div>
    <w:div w:id="335032923">
      <w:bodyDiv w:val="1"/>
      <w:marLeft w:val="0"/>
      <w:marRight w:val="0"/>
      <w:marTop w:val="0"/>
      <w:marBottom w:val="0"/>
      <w:divBdr>
        <w:top w:val="none" w:sz="0" w:space="0" w:color="auto"/>
        <w:left w:val="none" w:sz="0" w:space="0" w:color="auto"/>
        <w:bottom w:val="none" w:sz="0" w:space="0" w:color="auto"/>
        <w:right w:val="none" w:sz="0" w:space="0" w:color="auto"/>
      </w:divBdr>
    </w:div>
    <w:div w:id="339041465">
      <w:bodyDiv w:val="1"/>
      <w:marLeft w:val="0"/>
      <w:marRight w:val="0"/>
      <w:marTop w:val="0"/>
      <w:marBottom w:val="0"/>
      <w:divBdr>
        <w:top w:val="none" w:sz="0" w:space="0" w:color="auto"/>
        <w:left w:val="none" w:sz="0" w:space="0" w:color="auto"/>
        <w:bottom w:val="none" w:sz="0" w:space="0" w:color="auto"/>
        <w:right w:val="none" w:sz="0" w:space="0" w:color="auto"/>
      </w:divBdr>
    </w:div>
    <w:div w:id="340357908">
      <w:bodyDiv w:val="1"/>
      <w:marLeft w:val="0"/>
      <w:marRight w:val="0"/>
      <w:marTop w:val="0"/>
      <w:marBottom w:val="0"/>
      <w:divBdr>
        <w:top w:val="none" w:sz="0" w:space="0" w:color="auto"/>
        <w:left w:val="none" w:sz="0" w:space="0" w:color="auto"/>
        <w:bottom w:val="none" w:sz="0" w:space="0" w:color="auto"/>
        <w:right w:val="none" w:sz="0" w:space="0" w:color="auto"/>
      </w:divBdr>
    </w:div>
    <w:div w:id="357631765">
      <w:bodyDiv w:val="1"/>
      <w:marLeft w:val="0"/>
      <w:marRight w:val="0"/>
      <w:marTop w:val="0"/>
      <w:marBottom w:val="0"/>
      <w:divBdr>
        <w:top w:val="none" w:sz="0" w:space="0" w:color="auto"/>
        <w:left w:val="none" w:sz="0" w:space="0" w:color="auto"/>
        <w:bottom w:val="none" w:sz="0" w:space="0" w:color="auto"/>
        <w:right w:val="none" w:sz="0" w:space="0" w:color="auto"/>
      </w:divBdr>
    </w:div>
    <w:div w:id="363946135">
      <w:bodyDiv w:val="1"/>
      <w:marLeft w:val="0"/>
      <w:marRight w:val="0"/>
      <w:marTop w:val="0"/>
      <w:marBottom w:val="0"/>
      <w:divBdr>
        <w:top w:val="none" w:sz="0" w:space="0" w:color="auto"/>
        <w:left w:val="none" w:sz="0" w:space="0" w:color="auto"/>
        <w:bottom w:val="none" w:sz="0" w:space="0" w:color="auto"/>
        <w:right w:val="none" w:sz="0" w:space="0" w:color="auto"/>
      </w:divBdr>
    </w:div>
    <w:div w:id="371341910">
      <w:bodyDiv w:val="1"/>
      <w:marLeft w:val="0"/>
      <w:marRight w:val="0"/>
      <w:marTop w:val="0"/>
      <w:marBottom w:val="0"/>
      <w:divBdr>
        <w:top w:val="none" w:sz="0" w:space="0" w:color="auto"/>
        <w:left w:val="none" w:sz="0" w:space="0" w:color="auto"/>
        <w:bottom w:val="none" w:sz="0" w:space="0" w:color="auto"/>
        <w:right w:val="none" w:sz="0" w:space="0" w:color="auto"/>
      </w:divBdr>
    </w:div>
    <w:div w:id="373164084">
      <w:bodyDiv w:val="1"/>
      <w:marLeft w:val="0"/>
      <w:marRight w:val="0"/>
      <w:marTop w:val="0"/>
      <w:marBottom w:val="0"/>
      <w:divBdr>
        <w:top w:val="none" w:sz="0" w:space="0" w:color="auto"/>
        <w:left w:val="none" w:sz="0" w:space="0" w:color="auto"/>
        <w:bottom w:val="none" w:sz="0" w:space="0" w:color="auto"/>
        <w:right w:val="none" w:sz="0" w:space="0" w:color="auto"/>
      </w:divBdr>
    </w:div>
    <w:div w:id="377630531">
      <w:bodyDiv w:val="1"/>
      <w:marLeft w:val="0"/>
      <w:marRight w:val="0"/>
      <w:marTop w:val="0"/>
      <w:marBottom w:val="0"/>
      <w:divBdr>
        <w:top w:val="none" w:sz="0" w:space="0" w:color="auto"/>
        <w:left w:val="none" w:sz="0" w:space="0" w:color="auto"/>
        <w:bottom w:val="none" w:sz="0" w:space="0" w:color="auto"/>
        <w:right w:val="none" w:sz="0" w:space="0" w:color="auto"/>
      </w:divBdr>
    </w:div>
    <w:div w:id="384986628">
      <w:bodyDiv w:val="1"/>
      <w:marLeft w:val="0"/>
      <w:marRight w:val="0"/>
      <w:marTop w:val="0"/>
      <w:marBottom w:val="0"/>
      <w:divBdr>
        <w:top w:val="none" w:sz="0" w:space="0" w:color="auto"/>
        <w:left w:val="none" w:sz="0" w:space="0" w:color="auto"/>
        <w:bottom w:val="none" w:sz="0" w:space="0" w:color="auto"/>
        <w:right w:val="none" w:sz="0" w:space="0" w:color="auto"/>
      </w:divBdr>
    </w:div>
    <w:div w:id="387149076">
      <w:bodyDiv w:val="1"/>
      <w:marLeft w:val="0"/>
      <w:marRight w:val="0"/>
      <w:marTop w:val="0"/>
      <w:marBottom w:val="0"/>
      <w:divBdr>
        <w:top w:val="none" w:sz="0" w:space="0" w:color="auto"/>
        <w:left w:val="none" w:sz="0" w:space="0" w:color="auto"/>
        <w:bottom w:val="none" w:sz="0" w:space="0" w:color="auto"/>
        <w:right w:val="none" w:sz="0" w:space="0" w:color="auto"/>
      </w:divBdr>
    </w:div>
    <w:div w:id="389958661">
      <w:bodyDiv w:val="1"/>
      <w:marLeft w:val="0"/>
      <w:marRight w:val="0"/>
      <w:marTop w:val="0"/>
      <w:marBottom w:val="0"/>
      <w:divBdr>
        <w:top w:val="none" w:sz="0" w:space="0" w:color="auto"/>
        <w:left w:val="none" w:sz="0" w:space="0" w:color="auto"/>
        <w:bottom w:val="none" w:sz="0" w:space="0" w:color="auto"/>
        <w:right w:val="none" w:sz="0" w:space="0" w:color="auto"/>
      </w:divBdr>
    </w:div>
    <w:div w:id="396707207">
      <w:bodyDiv w:val="1"/>
      <w:marLeft w:val="0"/>
      <w:marRight w:val="0"/>
      <w:marTop w:val="0"/>
      <w:marBottom w:val="0"/>
      <w:divBdr>
        <w:top w:val="none" w:sz="0" w:space="0" w:color="auto"/>
        <w:left w:val="none" w:sz="0" w:space="0" w:color="auto"/>
        <w:bottom w:val="none" w:sz="0" w:space="0" w:color="auto"/>
        <w:right w:val="none" w:sz="0" w:space="0" w:color="auto"/>
      </w:divBdr>
    </w:div>
    <w:div w:id="398721210">
      <w:bodyDiv w:val="1"/>
      <w:marLeft w:val="0"/>
      <w:marRight w:val="0"/>
      <w:marTop w:val="0"/>
      <w:marBottom w:val="0"/>
      <w:divBdr>
        <w:top w:val="none" w:sz="0" w:space="0" w:color="auto"/>
        <w:left w:val="none" w:sz="0" w:space="0" w:color="auto"/>
        <w:bottom w:val="none" w:sz="0" w:space="0" w:color="auto"/>
        <w:right w:val="none" w:sz="0" w:space="0" w:color="auto"/>
      </w:divBdr>
    </w:div>
    <w:div w:id="407268239">
      <w:bodyDiv w:val="1"/>
      <w:marLeft w:val="0"/>
      <w:marRight w:val="0"/>
      <w:marTop w:val="0"/>
      <w:marBottom w:val="0"/>
      <w:divBdr>
        <w:top w:val="none" w:sz="0" w:space="0" w:color="auto"/>
        <w:left w:val="none" w:sz="0" w:space="0" w:color="auto"/>
        <w:bottom w:val="none" w:sz="0" w:space="0" w:color="auto"/>
        <w:right w:val="none" w:sz="0" w:space="0" w:color="auto"/>
      </w:divBdr>
    </w:div>
    <w:div w:id="415639679">
      <w:bodyDiv w:val="1"/>
      <w:marLeft w:val="0"/>
      <w:marRight w:val="0"/>
      <w:marTop w:val="0"/>
      <w:marBottom w:val="0"/>
      <w:divBdr>
        <w:top w:val="none" w:sz="0" w:space="0" w:color="auto"/>
        <w:left w:val="none" w:sz="0" w:space="0" w:color="auto"/>
        <w:bottom w:val="none" w:sz="0" w:space="0" w:color="auto"/>
        <w:right w:val="none" w:sz="0" w:space="0" w:color="auto"/>
      </w:divBdr>
    </w:div>
    <w:div w:id="416560425">
      <w:bodyDiv w:val="1"/>
      <w:marLeft w:val="0"/>
      <w:marRight w:val="0"/>
      <w:marTop w:val="0"/>
      <w:marBottom w:val="0"/>
      <w:divBdr>
        <w:top w:val="none" w:sz="0" w:space="0" w:color="auto"/>
        <w:left w:val="none" w:sz="0" w:space="0" w:color="auto"/>
        <w:bottom w:val="none" w:sz="0" w:space="0" w:color="auto"/>
        <w:right w:val="none" w:sz="0" w:space="0" w:color="auto"/>
      </w:divBdr>
    </w:div>
    <w:div w:id="423503750">
      <w:bodyDiv w:val="1"/>
      <w:marLeft w:val="0"/>
      <w:marRight w:val="0"/>
      <w:marTop w:val="0"/>
      <w:marBottom w:val="0"/>
      <w:divBdr>
        <w:top w:val="none" w:sz="0" w:space="0" w:color="auto"/>
        <w:left w:val="none" w:sz="0" w:space="0" w:color="auto"/>
        <w:bottom w:val="none" w:sz="0" w:space="0" w:color="auto"/>
        <w:right w:val="none" w:sz="0" w:space="0" w:color="auto"/>
      </w:divBdr>
    </w:div>
    <w:div w:id="426390118">
      <w:bodyDiv w:val="1"/>
      <w:marLeft w:val="0"/>
      <w:marRight w:val="0"/>
      <w:marTop w:val="0"/>
      <w:marBottom w:val="0"/>
      <w:divBdr>
        <w:top w:val="none" w:sz="0" w:space="0" w:color="auto"/>
        <w:left w:val="none" w:sz="0" w:space="0" w:color="auto"/>
        <w:bottom w:val="none" w:sz="0" w:space="0" w:color="auto"/>
        <w:right w:val="none" w:sz="0" w:space="0" w:color="auto"/>
      </w:divBdr>
    </w:div>
    <w:div w:id="427845787">
      <w:bodyDiv w:val="1"/>
      <w:marLeft w:val="0"/>
      <w:marRight w:val="0"/>
      <w:marTop w:val="0"/>
      <w:marBottom w:val="0"/>
      <w:divBdr>
        <w:top w:val="none" w:sz="0" w:space="0" w:color="auto"/>
        <w:left w:val="none" w:sz="0" w:space="0" w:color="auto"/>
        <w:bottom w:val="none" w:sz="0" w:space="0" w:color="auto"/>
        <w:right w:val="none" w:sz="0" w:space="0" w:color="auto"/>
      </w:divBdr>
    </w:div>
    <w:div w:id="429357123">
      <w:bodyDiv w:val="1"/>
      <w:marLeft w:val="0"/>
      <w:marRight w:val="0"/>
      <w:marTop w:val="0"/>
      <w:marBottom w:val="0"/>
      <w:divBdr>
        <w:top w:val="none" w:sz="0" w:space="0" w:color="auto"/>
        <w:left w:val="none" w:sz="0" w:space="0" w:color="auto"/>
        <w:bottom w:val="none" w:sz="0" w:space="0" w:color="auto"/>
        <w:right w:val="none" w:sz="0" w:space="0" w:color="auto"/>
      </w:divBdr>
    </w:div>
    <w:div w:id="441923091">
      <w:bodyDiv w:val="1"/>
      <w:marLeft w:val="0"/>
      <w:marRight w:val="0"/>
      <w:marTop w:val="0"/>
      <w:marBottom w:val="0"/>
      <w:divBdr>
        <w:top w:val="none" w:sz="0" w:space="0" w:color="auto"/>
        <w:left w:val="none" w:sz="0" w:space="0" w:color="auto"/>
        <w:bottom w:val="none" w:sz="0" w:space="0" w:color="auto"/>
        <w:right w:val="none" w:sz="0" w:space="0" w:color="auto"/>
      </w:divBdr>
    </w:div>
    <w:div w:id="457533133">
      <w:bodyDiv w:val="1"/>
      <w:marLeft w:val="0"/>
      <w:marRight w:val="0"/>
      <w:marTop w:val="0"/>
      <w:marBottom w:val="0"/>
      <w:divBdr>
        <w:top w:val="none" w:sz="0" w:space="0" w:color="auto"/>
        <w:left w:val="none" w:sz="0" w:space="0" w:color="auto"/>
        <w:bottom w:val="none" w:sz="0" w:space="0" w:color="auto"/>
        <w:right w:val="none" w:sz="0" w:space="0" w:color="auto"/>
      </w:divBdr>
    </w:div>
    <w:div w:id="458692030">
      <w:bodyDiv w:val="1"/>
      <w:marLeft w:val="0"/>
      <w:marRight w:val="0"/>
      <w:marTop w:val="0"/>
      <w:marBottom w:val="0"/>
      <w:divBdr>
        <w:top w:val="none" w:sz="0" w:space="0" w:color="auto"/>
        <w:left w:val="none" w:sz="0" w:space="0" w:color="auto"/>
        <w:bottom w:val="none" w:sz="0" w:space="0" w:color="auto"/>
        <w:right w:val="none" w:sz="0" w:space="0" w:color="auto"/>
      </w:divBdr>
    </w:div>
    <w:div w:id="486016741">
      <w:bodyDiv w:val="1"/>
      <w:marLeft w:val="0"/>
      <w:marRight w:val="0"/>
      <w:marTop w:val="0"/>
      <w:marBottom w:val="0"/>
      <w:divBdr>
        <w:top w:val="none" w:sz="0" w:space="0" w:color="auto"/>
        <w:left w:val="none" w:sz="0" w:space="0" w:color="auto"/>
        <w:bottom w:val="none" w:sz="0" w:space="0" w:color="auto"/>
        <w:right w:val="none" w:sz="0" w:space="0" w:color="auto"/>
      </w:divBdr>
    </w:div>
    <w:div w:id="486475858">
      <w:bodyDiv w:val="1"/>
      <w:marLeft w:val="0"/>
      <w:marRight w:val="0"/>
      <w:marTop w:val="0"/>
      <w:marBottom w:val="0"/>
      <w:divBdr>
        <w:top w:val="none" w:sz="0" w:space="0" w:color="auto"/>
        <w:left w:val="none" w:sz="0" w:space="0" w:color="auto"/>
        <w:bottom w:val="none" w:sz="0" w:space="0" w:color="auto"/>
        <w:right w:val="none" w:sz="0" w:space="0" w:color="auto"/>
      </w:divBdr>
    </w:div>
    <w:div w:id="496386638">
      <w:bodyDiv w:val="1"/>
      <w:marLeft w:val="0"/>
      <w:marRight w:val="0"/>
      <w:marTop w:val="0"/>
      <w:marBottom w:val="0"/>
      <w:divBdr>
        <w:top w:val="none" w:sz="0" w:space="0" w:color="auto"/>
        <w:left w:val="none" w:sz="0" w:space="0" w:color="auto"/>
        <w:bottom w:val="none" w:sz="0" w:space="0" w:color="auto"/>
        <w:right w:val="none" w:sz="0" w:space="0" w:color="auto"/>
      </w:divBdr>
    </w:div>
    <w:div w:id="498077064">
      <w:bodyDiv w:val="1"/>
      <w:marLeft w:val="0"/>
      <w:marRight w:val="0"/>
      <w:marTop w:val="0"/>
      <w:marBottom w:val="0"/>
      <w:divBdr>
        <w:top w:val="none" w:sz="0" w:space="0" w:color="auto"/>
        <w:left w:val="none" w:sz="0" w:space="0" w:color="auto"/>
        <w:bottom w:val="none" w:sz="0" w:space="0" w:color="auto"/>
        <w:right w:val="none" w:sz="0" w:space="0" w:color="auto"/>
      </w:divBdr>
    </w:div>
    <w:div w:id="499582838">
      <w:bodyDiv w:val="1"/>
      <w:marLeft w:val="0"/>
      <w:marRight w:val="0"/>
      <w:marTop w:val="0"/>
      <w:marBottom w:val="0"/>
      <w:divBdr>
        <w:top w:val="none" w:sz="0" w:space="0" w:color="auto"/>
        <w:left w:val="none" w:sz="0" w:space="0" w:color="auto"/>
        <w:bottom w:val="none" w:sz="0" w:space="0" w:color="auto"/>
        <w:right w:val="none" w:sz="0" w:space="0" w:color="auto"/>
      </w:divBdr>
    </w:div>
    <w:div w:id="500200639">
      <w:bodyDiv w:val="1"/>
      <w:marLeft w:val="0"/>
      <w:marRight w:val="0"/>
      <w:marTop w:val="0"/>
      <w:marBottom w:val="0"/>
      <w:divBdr>
        <w:top w:val="none" w:sz="0" w:space="0" w:color="auto"/>
        <w:left w:val="none" w:sz="0" w:space="0" w:color="auto"/>
        <w:bottom w:val="none" w:sz="0" w:space="0" w:color="auto"/>
        <w:right w:val="none" w:sz="0" w:space="0" w:color="auto"/>
      </w:divBdr>
    </w:div>
    <w:div w:id="505823548">
      <w:bodyDiv w:val="1"/>
      <w:marLeft w:val="0"/>
      <w:marRight w:val="0"/>
      <w:marTop w:val="0"/>
      <w:marBottom w:val="0"/>
      <w:divBdr>
        <w:top w:val="none" w:sz="0" w:space="0" w:color="auto"/>
        <w:left w:val="none" w:sz="0" w:space="0" w:color="auto"/>
        <w:bottom w:val="none" w:sz="0" w:space="0" w:color="auto"/>
        <w:right w:val="none" w:sz="0" w:space="0" w:color="auto"/>
      </w:divBdr>
    </w:div>
    <w:div w:id="516189687">
      <w:bodyDiv w:val="1"/>
      <w:marLeft w:val="0"/>
      <w:marRight w:val="0"/>
      <w:marTop w:val="0"/>
      <w:marBottom w:val="0"/>
      <w:divBdr>
        <w:top w:val="none" w:sz="0" w:space="0" w:color="auto"/>
        <w:left w:val="none" w:sz="0" w:space="0" w:color="auto"/>
        <w:bottom w:val="none" w:sz="0" w:space="0" w:color="auto"/>
        <w:right w:val="none" w:sz="0" w:space="0" w:color="auto"/>
      </w:divBdr>
    </w:div>
    <w:div w:id="517933096">
      <w:bodyDiv w:val="1"/>
      <w:marLeft w:val="0"/>
      <w:marRight w:val="0"/>
      <w:marTop w:val="0"/>
      <w:marBottom w:val="0"/>
      <w:divBdr>
        <w:top w:val="none" w:sz="0" w:space="0" w:color="auto"/>
        <w:left w:val="none" w:sz="0" w:space="0" w:color="auto"/>
        <w:bottom w:val="none" w:sz="0" w:space="0" w:color="auto"/>
        <w:right w:val="none" w:sz="0" w:space="0" w:color="auto"/>
      </w:divBdr>
    </w:div>
    <w:div w:id="522981214">
      <w:bodyDiv w:val="1"/>
      <w:marLeft w:val="0"/>
      <w:marRight w:val="0"/>
      <w:marTop w:val="0"/>
      <w:marBottom w:val="0"/>
      <w:divBdr>
        <w:top w:val="none" w:sz="0" w:space="0" w:color="auto"/>
        <w:left w:val="none" w:sz="0" w:space="0" w:color="auto"/>
        <w:bottom w:val="none" w:sz="0" w:space="0" w:color="auto"/>
        <w:right w:val="none" w:sz="0" w:space="0" w:color="auto"/>
      </w:divBdr>
    </w:div>
    <w:div w:id="532303949">
      <w:bodyDiv w:val="1"/>
      <w:marLeft w:val="0"/>
      <w:marRight w:val="0"/>
      <w:marTop w:val="0"/>
      <w:marBottom w:val="0"/>
      <w:divBdr>
        <w:top w:val="none" w:sz="0" w:space="0" w:color="auto"/>
        <w:left w:val="none" w:sz="0" w:space="0" w:color="auto"/>
        <w:bottom w:val="none" w:sz="0" w:space="0" w:color="auto"/>
        <w:right w:val="none" w:sz="0" w:space="0" w:color="auto"/>
      </w:divBdr>
    </w:div>
    <w:div w:id="540213993">
      <w:bodyDiv w:val="1"/>
      <w:marLeft w:val="0"/>
      <w:marRight w:val="0"/>
      <w:marTop w:val="0"/>
      <w:marBottom w:val="0"/>
      <w:divBdr>
        <w:top w:val="none" w:sz="0" w:space="0" w:color="auto"/>
        <w:left w:val="none" w:sz="0" w:space="0" w:color="auto"/>
        <w:bottom w:val="none" w:sz="0" w:space="0" w:color="auto"/>
        <w:right w:val="none" w:sz="0" w:space="0" w:color="auto"/>
      </w:divBdr>
    </w:div>
    <w:div w:id="546453474">
      <w:bodyDiv w:val="1"/>
      <w:marLeft w:val="0"/>
      <w:marRight w:val="0"/>
      <w:marTop w:val="0"/>
      <w:marBottom w:val="0"/>
      <w:divBdr>
        <w:top w:val="none" w:sz="0" w:space="0" w:color="auto"/>
        <w:left w:val="none" w:sz="0" w:space="0" w:color="auto"/>
        <w:bottom w:val="none" w:sz="0" w:space="0" w:color="auto"/>
        <w:right w:val="none" w:sz="0" w:space="0" w:color="auto"/>
      </w:divBdr>
    </w:div>
    <w:div w:id="552153045">
      <w:bodyDiv w:val="1"/>
      <w:marLeft w:val="0"/>
      <w:marRight w:val="0"/>
      <w:marTop w:val="0"/>
      <w:marBottom w:val="0"/>
      <w:divBdr>
        <w:top w:val="none" w:sz="0" w:space="0" w:color="auto"/>
        <w:left w:val="none" w:sz="0" w:space="0" w:color="auto"/>
        <w:bottom w:val="none" w:sz="0" w:space="0" w:color="auto"/>
        <w:right w:val="none" w:sz="0" w:space="0" w:color="auto"/>
      </w:divBdr>
    </w:div>
    <w:div w:id="560409544">
      <w:bodyDiv w:val="1"/>
      <w:marLeft w:val="0"/>
      <w:marRight w:val="0"/>
      <w:marTop w:val="0"/>
      <w:marBottom w:val="0"/>
      <w:divBdr>
        <w:top w:val="none" w:sz="0" w:space="0" w:color="auto"/>
        <w:left w:val="none" w:sz="0" w:space="0" w:color="auto"/>
        <w:bottom w:val="none" w:sz="0" w:space="0" w:color="auto"/>
        <w:right w:val="none" w:sz="0" w:space="0" w:color="auto"/>
      </w:divBdr>
    </w:div>
    <w:div w:id="588001327">
      <w:bodyDiv w:val="1"/>
      <w:marLeft w:val="0"/>
      <w:marRight w:val="0"/>
      <w:marTop w:val="0"/>
      <w:marBottom w:val="0"/>
      <w:divBdr>
        <w:top w:val="none" w:sz="0" w:space="0" w:color="auto"/>
        <w:left w:val="none" w:sz="0" w:space="0" w:color="auto"/>
        <w:bottom w:val="none" w:sz="0" w:space="0" w:color="auto"/>
        <w:right w:val="none" w:sz="0" w:space="0" w:color="auto"/>
      </w:divBdr>
    </w:div>
    <w:div w:id="588002848">
      <w:bodyDiv w:val="1"/>
      <w:marLeft w:val="0"/>
      <w:marRight w:val="0"/>
      <w:marTop w:val="0"/>
      <w:marBottom w:val="0"/>
      <w:divBdr>
        <w:top w:val="none" w:sz="0" w:space="0" w:color="auto"/>
        <w:left w:val="none" w:sz="0" w:space="0" w:color="auto"/>
        <w:bottom w:val="none" w:sz="0" w:space="0" w:color="auto"/>
        <w:right w:val="none" w:sz="0" w:space="0" w:color="auto"/>
      </w:divBdr>
    </w:div>
    <w:div w:id="588272942">
      <w:bodyDiv w:val="1"/>
      <w:marLeft w:val="0"/>
      <w:marRight w:val="0"/>
      <w:marTop w:val="0"/>
      <w:marBottom w:val="0"/>
      <w:divBdr>
        <w:top w:val="none" w:sz="0" w:space="0" w:color="auto"/>
        <w:left w:val="none" w:sz="0" w:space="0" w:color="auto"/>
        <w:bottom w:val="none" w:sz="0" w:space="0" w:color="auto"/>
        <w:right w:val="none" w:sz="0" w:space="0" w:color="auto"/>
      </w:divBdr>
    </w:div>
    <w:div w:id="592276920">
      <w:bodyDiv w:val="1"/>
      <w:marLeft w:val="0"/>
      <w:marRight w:val="0"/>
      <w:marTop w:val="0"/>
      <w:marBottom w:val="0"/>
      <w:divBdr>
        <w:top w:val="none" w:sz="0" w:space="0" w:color="auto"/>
        <w:left w:val="none" w:sz="0" w:space="0" w:color="auto"/>
        <w:bottom w:val="none" w:sz="0" w:space="0" w:color="auto"/>
        <w:right w:val="none" w:sz="0" w:space="0" w:color="auto"/>
      </w:divBdr>
    </w:div>
    <w:div w:id="595287916">
      <w:bodyDiv w:val="1"/>
      <w:marLeft w:val="0"/>
      <w:marRight w:val="0"/>
      <w:marTop w:val="0"/>
      <w:marBottom w:val="0"/>
      <w:divBdr>
        <w:top w:val="none" w:sz="0" w:space="0" w:color="auto"/>
        <w:left w:val="none" w:sz="0" w:space="0" w:color="auto"/>
        <w:bottom w:val="none" w:sz="0" w:space="0" w:color="auto"/>
        <w:right w:val="none" w:sz="0" w:space="0" w:color="auto"/>
      </w:divBdr>
    </w:div>
    <w:div w:id="608775198">
      <w:bodyDiv w:val="1"/>
      <w:marLeft w:val="0"/>
      <w:marRight w:val="0"/>
      <w:marTop w:val="0"/>
      <w:marBottom w:val="0"/>
      <w:divBdr>
        <w:top w:val="none" w:sz="0" w:space="0" w:color="auto"/>
        <w:left w:val="none" w:sz="0" w:space="0" w:color="auto"/>
        <w:bottom w:val="none" w:sz="0" w:space="0" w:color="auto"/>
        <w:right w:val="none" w:sz="0" w:space="0" w:color="auto"/>
      </w:divBdr>
    </w:div>
    <w:div w:id="609243041">
      <w:bodyDiv w:val="1"/>
      <w:marLeft w:val="0"/>
      <w:marRight w:val="0"/>
      <w:marTop w:val="0"/>
      <w:marBottom w:val="0"/>
      <w:divBdr>
        <w:top w:val="none" w:sz="0" w:space="0" w:color="auto"/>
        <w:left w:val="none" w:sz="0" w:space="0" w:color="auto"/>
        <w:bottom w:val="none" w:sz="0" w:space="0" w:color="auto"/>
        <w:right w:val="none" w:sz="0" w:space="0" w:color="auto"/>
      </w:divBdr>
    </w:div>
    <w:div w:id="613827303">
      <w:bodyDiv w:val="1"/>
      <w:marLeft w:val="0"/>
      <w:marRight w:val="0"/>
      <w:marTop w:val="0"/>
      <w:marBottom w:val="0"/>
      <w:divBdr>
        <w:top w:val="none" w:sz="0" w:space="0" w:color="auto"/>
        <w:left w:val="none" w:sz="0" w:space="0" w:color="auto"/>
        <w:bottom w:val="none" w:sz="0" w:space="0" w:color="auto"/>
        <w:right w:val="none" w:sz="0" w:space="0" w:color="auto"/>
      </w:divBdr>
    </w:div>
    <w:div w:id="628971486">
      <w:bodyDiv w:val="1"/>
      <w:marLeft w:val="0"/>
      <w:marRight w:val="0"/>
      <w:marTop w:val="0"/>
      <w:marBottom w:val="0"/>
      <w:divBdr>
        <w:top w:val="none" w:sz="0" w:space="0" w:color="auto"/>
        <w:left w:val="none" w:sz="0" w:space="0" w:color="auto"/>
        <w:bottom w:val="none" w:sz="0" w:space="0" w:color="auto"/>
        <w:right w:val="none" w:sz="0" w:space="0" w:color="auto"/>
      </w:divBdr>
    </w:div>
    <w:div w:id="638607323">
      <w:bodyDiv w:val="1"/>
      <w:marLeft w:val="0"/>
      <w:marRight w:val="0"/>
      <w:marTop w:val="0"/>
      <w:marBottom w:val="0"/>
      <w:divBdr>
        <w:top w:val="none" w:sz="0" w:space="0" w:color="auto"/>
        <w:left w:val="none" w:sz="0" w:space="0" w:color="auto"/>
        <w:bottom w:val="none" w:sz="0" w:space="0" w:color="auto"/>
        <w:right w:val="none" w:sz="0" w:space="0" w:color="auto"/>
      </w:divBdr>
    </w:div>
    <w:div w:id="640575908">
      <w:bodyDiv w:val="1"/>
      <w:marLeft w:val="0"/>
      <w:marRight w:val="0"/>
      <w:marTop w:val="0"/>
      <w:marBottom w:val="0"/>
      <w:divBdr>
        <w:top w:val="none" w:sz="0" w:space="0" w:color="auto"/>
        <w:left w:val="none" w:sz="0" w:space="0" w:color="auto"/>
        <w:bottom w:val="none" w:sz="0" w:space="0" w:color="auto"/>
        <w:right w:val="none" w:sz="0" w:space="0" w:color="auto"/>
      </w:divBdr>
    </w:div>
    <w:div w:id="643199875">
      <w:bodyDiv w:val="1"/>
      <w:marLeft w:val="0"/>
      <w:marRight w:val="0"/>
      <w:marTop w:val="0"/>
      <w:marBottom w:val="0"/>
      <w:divBdr>
        <w:top w:val="none" w:sz="0" w:space="0" w:color="auto"/>
        <w:left w:val="none" w:sz="0" w:space="0" w:color="auto"/>
        <w:bottom w:val="none" w:sz="0" w:space="0" w:color="auto"/>
        <w:right w:val="none" w:sz="0" w:space="0" w:color="auto"/>
      </w:divBdr>
    </w:div>
    <w:div w:id="644360943">
      <w:bodyDiv w:val="1"/>
      <w:marLeft w:val="0"/>
      <w:marRight w:val="0"/>
      <w:marTop w:val="0"/>
      <w:marBottom w:val="0"/>
      <w:divBdr>
        <w:top w:val="none" w:sz="0" w:space="0" w:color="auto"/>
        <w:left w:val="none" w:sz="0" w:space="0" w:color="auto"/>
        <w:bottom w:val="none" w:sz="0" w:space="0" w:color="auto"/>
        <w:right w:val="none" w:sz="0" w:space="0" w:color="auto"/>
      </w:divBdr>
    </w:div>
    <w:div w:id="648367320">
      <w:bodyDiv w:val="1"/>
      <w:marLeft w:val="0"/>
      <w:marRight w:val="0"/>
      <w:marTop w:val="0"/>
      <w:marBottom w:val="0"/>
      <w:divBdr>
        <w:top w:val="none" w:sz="0" w:space="0" w:color="auto"/>
        <w:left w:val="none" w:sz="0" w:space="0" w:color="auto"/>
        <w:bottom w:val="none" w:sz="0" w:space="0" w:color="auto"/>
        <w:right w:val="none" w:sz="0" w:space="0" w:color="auto"/>
      </w:divBdr>
    </w:div>
    <w:div w:id="653993945">
      <w:bodyDiv w:val="1"/>
      <w:marLeft w:val="0"/>
      <w:marRight w:val="0"/>
      <w:marTop w:val="0"/>
      <w:marBottom w:val="0"/>
      <w:divBdr>
        <w:top w:val="none" w:sz="0" w:space="0" w:color="auto"/>
        <w:left w:val="none" w:sz="0" w:space="0" w:color="auto"/>
        <w:bottom w:val="none" w:sz="0" w:space="0" w:color="auto"/>
        <w:right w:val="none" w:sz="0" w:space="0" w:color="auto"/>
      </w:divBdr>
    </w:div>
    <w:div w:id="680201438">
      <w:bodyDiv w:val="1"/>
      <w:marLeft w:val="0"/>
      <w:marRight w:val="0"/>
      <w:marTop w:val="0"/>
      <w:marBottom w:val="0"/>
      <w:divBdr>
        <w:top w:val="none" w:sz="0" w:space="0" w:color="auto"/>
        <w:left w:val="none" w:sz="0" w:space="0" w:color="auto"/>
        <w:bottom w:val="none" w:sz="0" w:space="0" w:color="auto"/>
        <w:right w:val="none" w:sz="0" w:space="0" w:color="auto"/>
      </w:divBdr>
    </w:div>
    <w:div w:id="680355483">
      <w:bodyDiv w:val="1"/>
      <w:marLeft w:val="0"/>
      <w:marRight w:val="0"/>
      <w:marTop w:val="0"/>
      <w:marBottom w:val="0"/>
      <w:divBdr>
        <w:top w:val="none" w:sz="0" w:space="0" w:color="auto"/>
        <w:left w:val="none" w:sz="0" w:space="0" w:color="auto"/>
        <w:bottom w:val="none" w:sz="0" w:space="0" w:color="auto"/>
        <w:right w:val="none" w:sz="0" w:space="0" w:color="auto"/>
      </w:divBdr>
    </w:div>
    <w:div w:id="692920213">
      <w:bodyDiv w:val="1"/>
      <w:marLeft w:val="0"/>
      <w:marRight w:val="0"/>
      <w:marTop w:val="0"/>
      <w:marBottom w:val="0"/>
      <w:divBdr>
        <w:top w:val="none" w:sz="0" w:space="0" w:color="auto"/>
        <w:left w:val="none" w:sz="0" w:space="0" w:color="auto"/>
        <w:bottom w:val="none" w:sz="0" w:space="0" w:color="auto"/>
        <w:right w:val="none" w:sz="0" w:space="0" w:color="auto"/>
      </w:divBdr>
    </w:div>
    <w:div w:id="695231439">
      <w:bodyDiv w:val="1"/>
      <w:marLeft w:val="0"/>
      <w:marRight w:val="0"/>
      <w:marTop w:val="0"/>
      <w:marBottom w:val="0"/>
      <w:divBdr>
        <w:top w:val="none" w:sz="0" w:space="0" w:color="auto"/>
        <w:left w:val="none" w:sz="0" w:space="0" w:color="auto"/>
        <w:bottom w:val="none" w:sz="0" w:space="0" w:color="auto"/>
        <w:right w:val="none" w:sz="0" w:space="0" w:color="auto"/>
      </w:divBdr>
    </w:div>
    <w:div w:id="695808119">
      <w:bodyDiv w:val="1"/>
      <w:marLeft w:val="0"/>
      <w:marRight w:val="0"/>
      <w:marTop w:val="0"/>
      <w:marBottom w:val="0"/>
      <w:divBdr>
        <w:top w:val="none" w:sz="0" w:space="0" w:color="auto"/>
        <w:left w:val="none" w:sz="0" w:space="0" w:color="auto"/>
        <w:bottom w:val="none" w:sz="0" w:space="0" w:color="auto"/>
        <w:right w:val="none" w:sz="0" w:space="0" w:color="auto"/>
      </w:divBdr>
    </w:div>
    <w:div w:id="702098449">
      <w:bodyDiv w:val="1"/>
      <w:marLeft w:val="0"/>
      <w:marRight w:val="0"/>
      <w:marTop w:val="0"/>
      <w:marBottom w:val="0"/>
      <w:divBdr>
        <w:top w:val="none" w:sz="0" w:space="0" w:color="auto"/>
        <w:left w:val="none" w:sz="0" w:space="0" w:color="auto"/>
        <w:bottom w:val="none" w:sz="0" w:space="0" w:color="auto"/>
        <w:right w:val="none" w:sz="0" w:space="0" w:color="auto"/>
      </w:divBdr>
    </w:div>
    <w:div w:id="710498673">
      <w:bodyDiv w:val="1"/>
      <w:marLeft w:val="0"/>
      <w:marRight w:val="0"/>
      <w:marTop w:val="0"/>
      <w:marBottom w:val="0"/>
      <w:divBdr>
        <w:top w:val="none" w:sz="0" w:space="0" w:color="auto"/>
        <w:left w:val="none" w:sz="0" w:space="0" w:color="auto"/>
        <w:bottom w:val="none" w:sz="0" w:space="0" w:color="auto"/>
        <w:right w:val="none" w:sz="0" w:space="0" w:color="auto"/>
      </w:divBdr>
    </w:div>
    <w:div w:id="711882007">
      <w:bodyDiv w:val="1"/>
      <w:marLeft w:val="0"/>
      <w:marRight w:val="0"/>
      <w:marTop w:val="0"/>
      <w:marBottom w:val="0"/>
      <w:divBdr>
        <w:top w:val="none" w:sz="0" w:space="0" w:color="auto"/>
        <w:left w:val="none" w:sz="0" w:space="0" w:color="auto"/>
        <w:bottom w:val="none" w:sz="0" w:space="0" w:color="auto"/>
        <w:right w:val="none" w:sz="0" w:space="0" w:color="auto"/>
      </w:divBdr>
    </w:div>
    <w:div w:id="714085295">
      <w:bodyDiv w:val="1"/>
      <w:marLeft w:val="0"/>
      <w:marRight w:val="0"/>
      <w:marTop w:val="0"/>
      <w:marBottom w:val="0"/>
      <w:divBdr>
        <w:top w:val="none" w:sz="0" w:space="0" w:color="auto"/>
        <w:left w:val="none" w:sz="0" w:space="0" w:color="auto"/>
        <w:bottom w:val="none" w:sz="0" w:space="0" w:color="auto"/>
        <w:right w:val="none" w:sz="0" w:space="0" w:color="auto"/>
      </w:divBdr>
    </w:div>
    <w:div w:id="714543195">
      <w:bodyDiv w:val="1"/>
      <w:marLeft w:val="0"/>
      <w:marRight w:val="0"/>
      <w:marTop w:val="0"/>
      <w:marBottom w:val="0"/>
      <w:divBdr>
        <w:top w:val="none" w:sz="0" w:space="0" w:color="auto"/>
        <w:left w:val="none" w:sz="0" w:space="0" w:color="auto"/>
        <w:bottom w:val="none" w:sz="0" w:space="0" w:color="auto"/>
        <w:right w:val="none" w:sz="0" w:space="0" w:color="auto"/>
      </w:divBdr>
    </w:div>
    <w:div w:id="715275068">
      <w:bodyDiv w:val="1"/>
      <w:marLeft w:val="0"/>
      <w:marRight w:val="0"/>
      <w:marTop w:val="0"/>
      <w:marBottom w:val="0"/>
      <w:divBdr>
        <w:top w:val="none" w:sz="0" w:space="0" w:color="auto"/>
        <w:left w:val="none" w:sz="0" w:space="0" w:color="auto"/>
        <w:bottom w:val="none" w:sz="0" w:space="0" w:color="auto"/>
        <w:right w:val="none" w:sz="0" w:space="0" w:color="auto"/>
      </w:divBdr>
    </w:div>
    <w:div w:id="739863598">
      <w:bodyDiv w:val="1"/>
      <w:marLeft w:val="0"/>
      <w:marRight w:val="0"/>
      <w:marTop w:val="0"/>
      <w:marBottom w:val="0"/>
      <w:divBdr>
        <w:top w:val="none" w:sz="0" w:space="0" w:color="auto"/>
        <w:left w:val="none" w:sz="0" w:space="0" w:color="auto"/>
        <w:bottom w:val="none" w:sz="0" w:space="0" w:color="auto"/>
        <w:right w:val="none" w:sz="0" w:space="0" w:color="auto"/>
      </w:divBdr>
    </w:div>
    <w:div w:id="746532580">
      <w:bodyDiv w:val="1"/>
      <w:marLeft w:val="0"/>
      <w:marRight w:val="0"/>
      <w:marTop w:val="0"/>
      <w:marBottom w:val="0"/>
      <w:divBdr>
        <w:top w:val="none" w:sz="0" w:space="0" w:color="auto"/>
        <w:left w:val="none" w:sz="0" w:space="0" w:color="auto"/>
        <w:bottom w:val="none" w:sz="0" w:space="0" w:color="auto"/>
        <w:right w:val="none" w:sz="0" w:space="0" w:color="auto"/>
      </w:divBdr>
    </w:div>
    <w:div w:id="751044462">
      <w:bodyDiv w:val="1"/>
      <w:marLeft w:val="0"/>
      <w:marRight w:val="0"/>
      <w:marTop w:val="0"/>
      <w:marBottom w:val="0"/>
      <w:divBdr>
        <w:top w:val="none" w:sz="0" w:space="0" w:color="auto"/>
        <w:left w:val="none" w:sz="0" w:space="0" w:color="auto"/>
        <w:bottom w:val="none" w:sz="0" w:space="0" w:color="auto"/>
        <w:right w:val="none" w:sz="0" w:space="0" w:color="auto"/>
      </w:divBdr>
    </w:div>
    <w:div w:id="753554344">
      <w:bodyDiv w:val="1"/>
      <w:marLeft w:val="0"/>
      <w:marRight w:val="0"/>
      <w:marTop w:val="0"/>
      <w:marBottom w:val="0"/>
      <w:divBdr>
        <w:top w:val="none" w:sz="0" w:space="0" w:color="auto"/>
        <w:left w:val="none" w:sz="0" w:space="0" w:color="auto"/>
        <w:bottom w:val="none" w:sz="0" w:space="0" w:color="auto"/>
        <w:right w:val="none" w:sz="0" w:space="0" w:color="auto"/>
      </w:divBdr>
    </w:div>
    <w:div w:id="757948455">
      <w:bodyDiv w:val="1"/>
      <w:marLeft w:val="0"/>
      <w:marRight w:val="0"/>
      <w:marTop w:val="0"/>
      <w:marBottom w:val="0"/>
      <w:divBdr>
        <w:top w:val="none" w:sz="0" w:space="0" w:color="auto"/>
        <w:left w:val="none" w:sz="0" w:space="0" w:color="auto"/>
        <w:bottom w:val="none" w:sz="0" w:space="0" w:color="auto"/>
        <w:right w:val="none" w:sz="0" w:space="0" w:color="auto"/>
      </w:divBdr>
    </w:div>
    <w:div w:id="759907355">
      <w:bodyDiv w:val="1"/>
      <w:marLeft w:val="0"/>
      <w:marRight w:val="0"/>
      <w:marTop w:val="0"/>
      <w:marBottom w:val="0"/>
      <w:divBdr>
        <w:top w:val="none" w:sz="0" w:space="0" w:color="auto"/>
        <w:left w:val="none" w:sz="0" w:space="0" w:color="auto"/>
        <w:bottom w:val="none" w:sz="0" w:space="0" w:color="auto"/>
        <w:right w:val="none" w:sz="0" w:space="0" w:color="auto"/>
      </w:divBdr>
    </w:div>
    <w:div w:id="765003683">
      <w:bodyDiv w:val="1"/>
      <w:marLeft w:val="0"/>
      <w:marRight w:val="0"/>
      <w:marTop w:val="0"/>
      <w:marBottom w:val="0"/>
      <w:divBdr>
        <w:top w:val="none" w:sz="0" w:space="0" w:color="auto"/>
        <w:left w:val="none" w:sz="0" w:space="0" w:color="auto"/>
        <w:bottom w:val="none" w:sz="0" w:space="0" w:color="auto"/>
        <w:right w:val="none" w:sz="0" w:space="0" w:color="auto"/>
      </w:divBdr>
    </w:div>
    <w:div w:id="784427465">
      <w:bodyDiv w:val="1"/>
      <w:marLeft w:val="0"/>
      <w:marRight w:val="0"/>
      <w:marTop w:val="0"/>
      <w:marBottom w:val="0"/>
      <w:divBdr>
        <w:top w:val="none" w:sz="0" w:space="0" w:color="auto"/>
        <w:left w:val="none" w:sz="0" w:space="0" w:color="auto"/>
        <w:bottom w:val="none" w:sz="0" w:space="0" w:color="auto"/>
        <w:right w:val="none" w:sz="0" w:space="0" w:color="auto"/>
      </w:divBdr>
    </w:div>
    <w:div w:id="785467977">
      <w:bodyDiv w:val="1"/>
      <w:marLeft w:val="0"/>
      <w:marRight w:val="0"/>
      <w:marTop w:val="0"/>
      <w:marBottom w:val="0"/>
      <w:divBdr>
        <w:top w:val="none" w:sz="0" w:space="0" w:color="auto"/>
        <w:left w:val="none" w:sz="0" w:space="0" w:color="auto"/>
        <w:bottom w:val="none" w:sz="0" w:space="0" w:color="auto"/>
        <w:right w:val="none" w:sz="0" w:space="0" w:color="auto"/>
      </w:divBdr>
    </w:div>
    <w:div w:id="788473664">
      <w:bodyDiv w:val="1"/>
      <w:marLeft w:val="0"/>
      <w:marRight w:val="0"/>
      <w:marTop w:val="0"/>
      <w:marBottom w:val="0"/>
      <w:divBdr>
        <w:top w:val="none" w:sz="0" w:space="0" w:color="auto"/>
        <w:left w:val="none" w:sz="0" w:space="0" w:color="auto"/>
        <w:bottom w:val="none" w:sz="0" w:space="0" w:color="auto"/>
        <w:right w:val="none" w:sz="0" w:space="0" w:color="auto"/>
      </w:divBdr>
    </w:div>
    <w:div w:id="794254033">
      <w:bodyDiv w:val="1"/>
      <w:marLeft w:val="0"/>
      <w:marRight w:val="0"/>
      <w:marTop w:val="0"/>
      <w:marBottom w:val="0"/>
      <w:divBdr>
        <w:top w:val="none" w:sz="0" w:space="0" w:color="auto"/>
        <w:left w:val="none" w:sz="0" w:space="0" w:color="auto"/>
        <w:bottom w:val="none" w:sz="0" w:space="0" w:color="auto"/>
        <w:right w:val="none" w:sz="0" w:space="0" w:color="auto"/>
      </w:divBdr>
    </w:div>
    <w:div w:id="799226767">
      <w:bodyDiv w:val="1"/>
      <w:marLeft w:val="0"/>
      <w:marRight w:val="0"/>
      <w:marTop w:val="0"/>
      <w:marBottom w:val="0"/>
      <w:divBdr>
        <w:top w:val="none" w:sz="0" w:space="0" w:color="auto"/>
        <w:left w:val="none" w:sz="0" w:space="0" w:color="auto"/>
        <w:bottom w:val="none" w:sz="0" w:space="0" w:color="auto"/>
        <w:right w:val="none" w:sz="0" w:space="0" w:color="auto"/>
      </w:divBdr>
    </w:div>
    <w:div w:id="802886410">
      <w:bodyDiv w:val="1"/>
      <w:marLeft w:val="0"/>
      <w:marRight w:val="0"/>
      <w:marTop w:val="0"/>
      <w:marBottom w:val="0"/>
      <w:divBdr>
        <w:top w:val="none" w:sz="0" w:space="0" w:color="auto"/>
        <w:left w:val="none" w:sz="0" w:space="0" w:color="auto"/>
        <w:bottom w:val="none" w:sz="0" w:space="0" w:color="auto"/>
        <w:right w:val="none" w:sz="0" w:space="0" w:color="auto"/>
      </w:divBdr>
    </w:div>
    <w:div w:id="806120711">
      <w:bodyDiv w:val="1"/>
      <w:marLeft w:val="0"/>
      <w:marRight w:val="0"/>
      <w:marTop w:val="0"/>
      <w:marBottom w:val="0"/>
      <w:divBdr>
        <w:top w:val="none" w:sz="0" w:space="0" w:color="auto"/>
        <w:left w:val="none" w:sz="0" w:space="0" w:color="auto"/>
        <w:bottom w:val="none" w:sz="0" w:space="0" w:color="auto"/>
        <w:right w:val="none" w:sz="0" w:space="0" w:color="auto"/>
      </w:divBdr>
    </w:div>
    <w:div w:id="809396421">
      <w:bodyDiv w:val="1"/>
      <w:marLeft w:val="0"/>
      <w:marRight w:val="0"/>
      <w:marTop w:val="0"/>
      <w:marBottom w:val="0"/>
      <w:divBdr>
        <w:top w:val="none" w:sz="0" w:space="0" w:color="auto"/>
        <w:left w:val="none" w:sz="0" w:space="0" w:color="auto"/>
        <w:bottom w:val="none" w:sz="0" w:space="0" w:color="auto"/>
        <w:right w:val="none" w:sz="0" w:space="0" w:color="auto"/>
      </w:divBdr>
    </w:div>
    <w:div w:id="812451197">
      <w:bodyDiv w:val="1"/>
      <w:marLeft w:val="0"/>
      <w:marRight w:val="0"/>
      <w:marTop w:val="0"/>
      <w:marBottom w:val="0"/>
      <w:divBdr>
        <w:top w:val="none" w:sz="0" w:space="0" w:color="auto"/>
        <w:left w:val="none" w:sz="0" w:space="0" w:color="auto"/>
        <w:bottom w:val="none" w:sz="0" w:space="0" w:color="auto"/>
        <w:right w:val="none" w:sz="0" w:space="0" w:color="auto"/>
      </w:divBdr>
    </w:div>
    <w:div w:id="813107582">
      <w:bodyDiv w:val="1"/>
      <w:marLeft w:val="0"/>
      <w:marRight w:val="0"/>
      <w:marTop w:val="0"/>
      <w:marBottom w:val="0"/>
      <w:divBdr>
        <w:top w:val="none" w:sz="0" w:space="0" w:color="auto"/>
        <w:left w:val="none" w:sz="0" w:space="0" w:color="auto"/>
        <w:bottom w:val="none" w:sz="0" w:space="0" w:color="auto"/>
        <w:right w:val="none" w:sz="0" w:space="0" w:color="auto"/>
      </w:divBdr>
    </w:div>
    <w:div w:id="826436994">
      <w:bodyDiv w:val="1"/>
      <w:marLeft w:val="0"/>
      <w:marRight w:val="0"/>
      <w:marTop w:val="0"/>
      <w:marBottom w:val="0"/>
      <w:divBdr>
        <w:top w:val="none" w:sz="0" w:space="0" w:color="auto"/>
        <w:left w:val="none" w:sz="0" w:space="0" w:color="auto"/>
        <w:bottom w:val="none" w:sz="0" w:space="0" w:color="auto"/>
        <w:right w:val="none" w:sz="0" w:space="0" w:color="auto"/>
      </w:divBdr>
    </w:div>
    <w:div w:id="827988302">
      <w:bodyDiv w:val="1"/>
      <w:marLeft w:val="0"/>
      <w:marRight w:val="0"/>
      <w:marTop w:val="0"/>
      <w:marBottom w:val="0"/>
      <w:divBdr>
        <w:top w:val="none" w:sz="0" w:space="0" w:color="auto"/>
        <w:left w:val="none" w:sz="0" w:space="0" w:color="auto"/>
        <w:bottom w:val="none" w:sz="0" w:space="0" w:color="auto"/>
        <w:right w:val="none" w:sz="0" w:space="0" w:color="auto"/>
      </w:divBdr>
    </w:div>
    <w:div w:id="833687756">
      <w:bodyDiv w:val="1"/>
      <w:marLeft w:val="0"/>
      <w:marRight w:val="0"/>
      <w:marTop w:val="0"/>
      <w:marBottom w:val="0"/>
      <w:divBdr>
        <w:top w:val="none" w:sz="0" w:space="0" w:color="auto"/>
        <w:left w:val="none" w:sz="0" w:space="0" w:color="auto"/>
        <w:bottom w:val="none" w:sz="0" w:space="0" w:color="auto"/>
        <w:right w:val="none" w:sz="0" w:space="0" w:color="auto"/>
      </w:divBdr>
    </w:div>
    <w:div w:id="834734166">
      <w:bodyDiv w:val="1"/>
      <w:marLeft w:val="0"/>
      <w:marRight w:val="0"/>
      <w:marTop w:val="0"/>
      <w:marBottom w:val="0"/>
      <w:divBdr>
        <w:top w:val="none" w:sz="0" w:space="0" w:color="auto"/>
        <w:left w:val="none" w:sz="0" w:space="0" w:color="auto"/>
        <w:bottom w:val="none" w:sz="0" w:space="0" w:color="auto"/>
        <w:right w:val="none" w:sz="0" w:space="0" w:color="auto"/>
      </w:divBdr>
    </w:div>
    <w:div w:id="848829514">
      <w:bodyDiv w:val="1"/>
      <w:marLeft w:val="0"/>
      <w:marRight w:val="0"/>
      <w:marTop w:val="0"/>
      <w:marBottom w:val="0"/>
      <w:divBdr>
        <w:top w:val="none" w:sz="0" w:space="0" w:color="auto"/>
        <w:left w:val="none" w:sz="0" w:space="0" w:color="auto"/>
        <w:bottom w:val="none" w:sz="0" w:space="0" w:color="auto"/>
        <w:right w:val="none" w:sz="0" w:space="0" w:color="auto"/>
      </w:divBdr>
    </w:div>
    <w:div w:id="851148214">
      <w:bodyDiv w:val="1"/>
      <w:marLeft w:val="0"/>
      <w:marRight w:val="0"/>
      <w:marTop w:val="0"/>
      <w:marBottom w:val="0"/>
      <w:divBdr>
        <w:top w:val="none" w:sz="0" w:space="0" w:color="auto"/>
        <w:left w:val="none" w:sz="0" w:space="0" w:color="auto"/>
        <w:bottom w:val="none" w:sz="0" w:space="0" w:color="auto"/>
        <w:right w:val="none" w:sz="0" w:space="0" w:color="auto"/>
      </w:divBdr>
      <w:divsChild>
        <w:div w:id="80376955">
          <w:marLeft w:val="0"/>
          <w:marRight w:val="0"/>
          <w:marTop w:val="0"/>
          <w:marBottom w:val="0"/>
          <w:divBdr>
            <w:top w:val="none" w:sz="0" w:space="0" w:color="auto"/>
            <w:left w:val="none" w:sz="0" w:space="0" w:color="auto"/>
            <w:bottom w:val="none" w:sz="0" w:space="0" w:color="auto"/>
            <w:right w:val="none" w:sz="0" w:space="0" w:color="auto"/>
          </w:divBdr>
          <w:divsChild>
            <w:div w:id="894857120">
              <w:marLeft w:val="0"/>
              <w:marRight w:val="0"/>
              <w:marTop w:val="0"/>
              <w:marBottom w:val="0"/>
              <w:divBdr>
                <w:top w:val="none" w:sz="0" w:space="0" w:color="auto"/>
                <w:left w:val="none" w:sz="0" w:space="0" w:color="auto"/>
                <w:bottom w:val="none" w:sz="0" w:space="0" w:color="auto"/>
                <w:right w:val="none" w:sz="0" w:space="0" w:color="auto"/>
              </w:divBdr>
              <w:divsChild>
                <w:div w:id="786512931">
                  <w:marLeft w:val="0"/>
                  <w:marRight w:val="0"/>
                  <w:marTop w:val="0"/>
                  <w:marBottom w:val="0"/>
                  <w:divBdr>
                    <w:top w:val="none" w:sz="0" w:space="0" w:color="auto"/>
                    <w:left w:val="none" w:sz="0" w:space="0" w:color="auto"/>
                    <w:bottom w:val="none" w:sz="0" w:space="0" w:color="auto"/>
                    <w:right w:val="none" w:sz="0" w:space="0" w:color="auto"/>
                  </w:divBdr>
                  <w:divsChild>
                    <w:div w:id="505217098">
                      <w:marLeft w:val="0"/>
                      <w:marRight w:val="300"/>
                      <w:marTop w:val="0"/>
                      <w:marBottom w:val="0"/>
                      <w:divBdr>
                        <w:top w:val="none" w:sz="0" w:space="0" w:color="auto"/>
                        <w:left w:val="none" w:sz="0" w:space="0" w:color="auto"/>
                        <w:bottom w:val="none" w:sz="0" w:space="0" w:color="auto"/>
                        <w:right w:val="none" w:sz="0" w:space="0" w:color="auto"/>
                      </w:divBdr>
                      <w:divsChild>
                        <w:div w:id="17388608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541508">
      <w:bodyDiv w:val="1"/>
      <w:marLeft w:val="0"/>
      <w:marRight w:val="0"/>
      <w:marTop w:val="0"/>
      <w:marBottom w:val="0"/>
      <w:divBdr>
        <w:top w:val="none" w:sz="0" w:space="0" w:color="auto"/>
        <w:left w:val="none" w:sz="0" w:space="0" w:color="auto"/>
        <w:bottom w:val="none" w:sz="0" w:space="0" w:color="auto"/>
        <w:right w:val="none" w:sz="0" w:space="0" w:color="auto"/>
      </w:divBdr>
    </w:div>
    <w:div w:id="858079294">
      <w:bodyDiv w:val="1"/>
      <w:marLeft w:val="0"/>
      <w:marRight w:val="0"/>
      <w:marTop w:val="0"/>
      <w:marBottom w:val="0"/>
      <w:divBdr>
        <w:top w:val="none" w:sz="0" w:space="0" w:color="auto"/>
        <w:left w:val="none" w:sz="0" w:space="0" w:color="auto"/>
        <w:bottom w:val="none" w:sz="0" w:space="0" w:color="auto"/>
        <w:right w:val="none" w:sz="0" w:space="0" w:color="auto"/>
      </w:divBdr>
    </w:div>
    <w:div w:id="859314469">
      <w:bodyDiv w:val="1"/>
      <w:marLeft w:val="0"/>
      <w:marRight w:val="0"/>
      <w:marTop w:val="0"/>
      <w:marBottom w:val="0"/>
      <w:divBdr>
        <w:top w:val="none" w:sz="0" w:space="0" w:color="auto"/>
        <w:left w:val="none" w:sz="0" w:space="0" w:color="auto"/>
        <w:bottom w:val="none" w:sz="0" w:space="0" w:color="auto"/>
        <w:right w:val="none" w:sz="0" w:space="0" w:color="auto"/>
      </w:divBdr>
    </w:div>
    <w:div w:id="867065766">
      <w:bodyDiv w:val="1"/>
      <w:marLeft w:val="0"/>
      <w:marRight w:val="0"/>
      <w:marTop w:val="0"/>
      <w:marBottom w:val="0"/>
      <w:divBdr>
        <w:top w:val="none" w:sz="0" w:space="0" w:color="auto"/>
        <w:left w:val="none" w:sz="0" w:space="0" w:color="auto"/>
        <w:bottom w:val="none" w:sz="0" w:space="0" w:color="auto"/>
        <w:right w:val="none" w:sz="0" w:space="0" w:color="auto"/>
      </w:divBdr>
    </w:div>
    <w:div w:id="873738717">
      <w:bodyDiv w:val="1"/>
      <w:marLeft w:val="0"/>
      <w:marRight w:val="0"/>
      <w:marTop w:val="0"/>
      <w:marBottom w:val="0"/>
      <w:divBdr>
        <w:top w:val="none" w:sz="0" w:space="0" w:color="auto"/>
        <w:left w:val="none" w:sz="0" w:space="0" w:color="auto"/>
        <w:bottom w:val="none" w:sz="0" w:space="0" w:color="auto"/>
        <w:right w:val="none" w:sz="0" w:space="0" w:color="auto"/>
      </w:divBdr>
    </w:div>
    <w:div w:id="886642438">
      <w:bodyDiv w:val="1"/>
      <w:marLeft w:val="0"/>
      <w:marRight w:val="0"/>
      <w:marTop w:val="0"/>
      <w:marBottom w:val="0"/>
      <w:divBdr>
        <w:top w:val="none" w:sz="0" w:space="0" w:color="auto"/>
        <w:left w:val="none" w:sz="0" w:space="0" w:color="auto"/>
        <w:bottom w:val="none" w:sz="0" w:space="0" w:color="auto"/>
        <w:right w:val="none" w:sz="0" w:space="0" w:color="auto"/>
      </w:divBdr>
    </w:div>
    <w:div w:id="894897242">
      <w:bodyDiv w:val="1"/>
      <w:marLeft w:val="0"/>
      <w:marRight w:val="0"/>
      <w:marTop w:val="0"/>
      <w:marBottom w:val="0"/>
      <w:divBdr>
        <w:top w:val="none" w:sz="0" w:space="0" w:color="auto"/>
        <w:left w:val="none" w:sz="0" w:space="0" w:color="auto"/>
        <w:bottom w:val="none" w:sz="0" w:space="0" w:color="auto"/>
        <w:right w:val="none" w:sz="0" w:space="0" w:color="auto"/>
      </w:divBdr>
    </w:div>
    <w:div w:id="899636202">
      <w:bodyDiv w:val="1"/>
      <w:marLeft w:val="0"/>
      <w:marRight w:val="0"/>
      <w:marTop w:val="0"/>
      <w:marBottom w:val="0"/>
      <w:divBdr>
        <w:top w:val="none" w:sz="0" w:space="0" w:color="auto"/>
        <w:left w:val="none" w:sz="0" w:space="0" w:color="auto"/>
        <w:bottom w:val="none" w:sz="0" w:space="0" w:color="auto"/>
        <w:right w:val="none" w:sz="0" w:space="0" w:color="auto"/>
      </w:divBdr>
    </w:div>
    <w:div w:id="901675784">
      <w:bodyDiv w:val="1"/>
      <w:marLeft w:val="0"/>
      <w:marRight w:val="0"/>
      <w:marTop w:val="0"/>
      <w:marBottom w:val="0"/>
      <w:divBdr>
        <w:top w:val="none" w:sz="0" w:space="0" w:color="auto"/>
        <w:left w:val="none" w:sz="0" w:space="0" w:color="auto"/>
        <w:bottom w:val="none" w:sz="0" w:space="0" w:color="auto"/>
        <w:right w:val="none" w:sz="0" w:space="0" w:color="auto"/>
      </w:divBdr>
    </w:div>
    <w:div w:id="903375684">
      <w:bodyDiv w:val="1"/>
      <w:marLeft w:val="0"/>
      <w:marRight w:val="0"/>
      <w:marTop w:val="0"/>
      <w:marBottom w:val="0"/>
      <w:divBdr>
        <w:top w:val="none" w:sz="0" w:space="0" w:color="auto"/>
        <w:left w:val="none" w:sz="0" w:space="0" w:color="auto"/>
        <w:bottom w:val="none" w:sz="0" w:space="0" w:color="auto"/>
        <w:right w:val="none" w:sz="0" w:space="0" w:color="auto"/>
      </w:divBdr>
    </w:div>
    <w:div w:id="907230296">
      <w:bodyDiv w:val="1"/>
      <w:marLeft w:val="0"/>
      <w:marRight w:val="0"/>
      <w:marTop w:val="0"/>
      <w:marBottom w:val="0"/>
      <w:divBdr>
        <w:top w:val="none" w:sz="0" w:space="0" w:color="auto"/>
        <w:left w:val="none" w:sz="0" w:space="0" w:color="auto"/>
        <w:bottom w:val="none" w:sz="0" w:space="0" w:color="auto"/>
        <w:right w:val="none" w:sz="0" w:space="0" w:color="auto"/>
      </w:divBdr>
    </w:div>
    <w:div w:id="913660638">
      <w:bodyDiv w:val="1"/>
      <w:marLeft w:val="0"/>
      <w:marRight w:val="0"/>
      <w:marTop w:val="0"/>
      <w:marBottom w:val="0"/>
      <w:divBdr>
        <w:top w:val="none" w:sz="0" w:space="0" w:color="auto"/>
        <w:left w:val="none" w:sz="0" w:space="0" w:color="auto"/>
        <w:bottom w:val="none" w:sz="0" w:space="0" w:color="auto"/>
        <w:right w:val="none" w:sz="0" w:space="0" w:color="auto"/>
      </w:divBdr>
    </w:div>
    <w:div w:id="916090944">
      <w:bodyDiv w:val="1"/>
      <w:marLeft w:val="0"/>
      <w:marRight w:val="0"/>
      <w:marTop w:val="0"/>
      <w:marBottom w:val="0"/>
      <w:divBdr>
        <w:top w:val="none" w:sz="0" w:space="0" w:color="auto"/>
        <w:left w:val="none" w:sz="0" w:space="0" w:color="auto"/>
        <w:bottom w:val="none" w:sz="0" w:space="0" w:color="auto"/>
        <w:right w:val="none" w:sz="0" w:space="0" w:color="auto"/>
      </w:divBdr>
      <w:divsChild>
        <w:div w:id="152913533">
          <w:marLeft w:val="0"/>
          <w:marRight w:val="0"/>
          <w:marTop w:val="0"/>
          <w:marBottom w:val="0"/>
          <w:divBdr>
            <w:top w:val="none" w:sz="0" w:space="0" w:color="auto"/>
            <w:left w:val="none" w:sz="0" w:space="0" w:color="auto"/>
            <w:bottom w:val="none" w:sz="0" w:space="0" w:color="auto"/>
            <w:right w:val="none" w:sz="0" w:space="0" w:color="auto"/>
          </w:divBdr>
          <w:divsChild>
            <w:div w:id="313997750">
              <w:marLeft w:val="0"/>
              <w:marRight w:val="0"/>
              <w:marTop w:val="0"/>
              <w:marBottom w:val="0"/>
              <w:divBdr>
                <w:top w:val="none" w:sz="0" w:space="0" w:color="auto"/>
                <w:left w:val="none" w:sz="0" w:space="0" w:color="auto"/>
                <w:bottom w:val="none" w:sz="0" w:space="0" w:color="auto"/>
                <w:right w:val="none" w:sz="0" w:space="0" w:color="auto"/>
              </w:divBdr>
              <w:divsChild>
                <w:div w:id="1442073502">
                  <w:marLeft w:val="0"/>
                  <w:marRight w:val="0"/>
                  <w:marTop w:val="0"/>
                  <w:marBottom w:val="0"/>
                  <w:divBdr>
                    <w:top w:val="none" w:sz="0" w:space="0" w:color="auto"/>
                    <w:left w:val="none" w:sz="0" w:space="0" w:color="auto"/>
                    <w:bottom w:val="none" w:sz="0" w:space="0" w:color="auto"/>
                    <w:right w:val="none" w:sz="0" w:space="0" w:color="auto"/>
                  </w:divBdr>
                  <w:divsChild>
                    <w:div w:id="67045589">
                      <w:marLeft w:val="0"/>
                      <w:marRight w:val="0"/>
                      <w:marTop w:val="0"/>
                      <w:marBottom w:val="0"/>
                      <w:divBdr>
                        <w:top w:val="none" w:sz="0" w:space="0" w:color="auto"/>
                        <w:left w:val="none" w:sz="0" w:space="0" w:color="auto"/>
                        <w:bottom w:val="none" w:sz="0" w:space="0" w:color="auto"/>
                        <w:right w:val="none" w:sz="0" w:space="0" w:color="auto"/>
                      </w:divBdr>
                      <w:divsChild>
                        <w:div w:id="2688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447674">
      <w:bodyDiv w:val="1"/>
      <w:marLeft w:val="0"/>
      <w:marRight w:val="0"/>
      <w:marTop w:val="0"/>
      <w:marBottom w:val="0"/>
      <w:divBdr>
        <w:top w:val="none" w:sz="0" w:space="0" w:color="auto"/>
        <w:left w:val="none" w:sz="0" w:space="0" w:color="auto"/>
        <w:bottom w:val="none" w:sz="0" w:space="0" w:color="auto"/>
        <w:right w:val="none" w:sz="0" w:space="0" w:color="auto"/>
      </w:divBdr>
    </w:div>
    <w:div w:id="930698118">
      <w:bodyDiv w:val="1"/>
      <w:marLeft w:val="0"/>
      <w:marRight w:val="0"/>
      <w:marTop w:val="0"/>
      <w:marBottom w:val="0"/>
      <w:divBdr>
        <w:top w:val="none" w:sz="0" w:space="0" w:color="auto"/>
        <w:left w:val="none" w:sz="0" w:space="0" w:color="auto"/>
        <w:bottom w:val="none" w:sz="0" w:space="0" w:color="auto"/>
        <w:right w:val="none" w:sz="0" w:space="0" w:color="auto"/>
      </w:divBdr>
    </w:div>
    <w:div w:id="931857888">
      <w:bodyDiv w:val="1"/>
      <w:marLeft w:val="0"/>
      <w:marRight w:val="0"/>
      <w:marTop w:val="0"/>
      <w:marBottom w:val="0"/>
      <w:divBdr>
        <w:top w:val="none" w:sz="0" w:space="0" w:color="auto"/>
        <w:left w:val="none" w:sz="0" w:space="0" w:color="auto"/>
        <w:bottom w:val="none" w:sz="0" w:space="0" w:color="auto"/>
        <w:right w:val="none" w:sz="0" w:space="0" w:color="auto"/>
      </w:divBdr>
    </w:div>
    <w:div w:id="938104725">
      <w:bodyDiv w:val="1"/>
      <w:marLeft w:val="0"/>
      <w:marRight w:val="0"/>
      <w:marTop w:val="0"/>
      <w:marBottom w:val="0"/>
      <w:divBdr>
        <w:top w:val="none" w:sz="0" w:space="0" w:color="auto"/>
        <w:left w:val="none" w:sz="0" w:space="0" w:color="auto"/>
        <w:bottom w:val="none" w:sz="0" w:space="0" w:color="auto"/>
        <w:right w:val="none" w:sz="0" w:space="0" w:color="auto"/>
      </w:divBdr>
    </w:div>
    <w:div w:id="940138596">
      <w:bodyDiv w:val="1"/>
      <w:marLeft w:val="0"/>
      <w:marRight w:val="0"/>
      <w:marTop w:val="0"/>
      <w:marBottom w:val="0"/>
      <w:divBdr>
        <w:top w:val="none" w:sz="0" w:space="0" w:color="auto"/>
        <w:left w:val="none" w:sz="0" w:space="0" w:color="auto"/>
        <w:bottom w:val="none" w:sz="0" w:space="0" w:color="auto"/>
        <w:right w:val="none" w:sz="0" w:space="0" w:color="auto"/>
      </w:divBdr>
    </w:div>
    <w:div w:id="946739382">
      <w:bodyDiv w:val="1"/>
      <w:marLeft w:val="0"/>
      <w:marRight w:val="0"/>
      <w:marTop w:val="0"/>
      <w:marBottom w:val="0"/>
      <w:divBdr>
        <w:top w:val="none" w:sz="0" w:space="0" w:color="auto"/>
        <w:left w:val="none" w:sz="0" w:space="0" w:color="auto"/>
        <w:bottom w:val="none" w:sz="0" w:space="0" w:color="auto"/>
        <w:right w:val="none" w:sz="0" w:space="0" w:color="auto"/>
      </w:divBdr>
    </w:div>
    <w:div w:id="950405049">
      <w:bodyDiv w:val="1"/>
      <w:marLeft w:val="0"/>
      <w:marRight w:val="0"/>
      <w:marTop w:val="0"/>
      <w:marBottom w:val="0"/>
      <w:divBdr>
        <w:top w:val="none" w:sz="0" w:space="0" w:color="auto"/>
        <w:left w:val="none" w:sz="0" w:space="0" w:color="auto"/>
        <w:bottom w:val="none" w:sz="0" w:space="0" w:color="auto"/>
        <w:right w:val="none" w:sz="0" w:space="0" w:color="auto"/>
      </w:divBdr>
    </w:div>
    <w:div w:id="952858871">
      <w:bodyDiv w:val="1"/>
      <w:marLeft w:val="0"/>
      <w:marRight w:val="0"/>
      <w:marTop w:val="0"/>
      <w:marBottom w:val="0"/>
      <w:divBdr>
        <w:top w:val="none" w:sz="0" w:space="0" w:color="auto"/>
        <w:left w:val="none" w:sz="0" w:space="0" w:color="auto"/>
        <w:bottom w:val="none" w:sz="0" w:space="0" w:color="auto"/>
        <w:right w:val="none" w:sz="0" w:space="0" w:color="auto"/>
      </w:divBdr>
    </w:div>
    <w:div w:id="959727801">
      <w:bodyDiv w:val="1"/>
      <w:marLeft w:val="0"/>
      <w:marRight w:val="0"/>
      <w:marTop w:val="0"/>
      <w:marBottom w:val="0"/>
      <w:divBdr>
        <w:top w:val="none" w:sz="0" w:space="0" w:color="auto"/>
        <w:left w:val="none" w:sz="0" w:space="0" w:color="auto"/>
        <w:bottom w:val="none" w:sz="0" w:space="0" w:color="auto"/>
        <w:right w:val="none" w:sz="0" w:space="0" w:color="auto"/>
      </w:divBdr>
    </w:div>
    <w:div w:id="978801513">
      <w:bodyDiv w:val="1"/>
      <w:marLeft w:val="0"/>
      <w:marRight w:val="0"/>
      <w:marTop w:val="0"/>
      <w:marBottom w:val="0"/>
      <w:divBdr>
        <w:top w:val="none" w:sz="0" w:space="0" w:color="auto"/>
        <w:left w:val="none" w:sz="0" w:space="0" w:color="auto"/>
        <w:bottom w:val="none" w:sz="0" w:space="0" w:color="auto"/>
        <w:right w:val="none" w:sz="0" w:space="0" w:color="auto"/>
      </w:divBdr>
    </w:div>
    <w:div w:id="989484457">
      <w:bodyDiv w:val="1"/>
      <w:marLeft w:val="0"/>
      <w:marRight w:val="0"/>
      <w:marTop w:val="0"/>
      <w:marBottom w:val="0"/>
      <w:divBdr>
        <w:top w:val="none" w:sz="0" w:space="0" w:color="auto"/>
        <w:left w:val="none" w:sz="0" w:space="0" w:color="auto"/>
        <w:bottom w:val="none" w:sz="0" w:space="0" w:color="auto"/>
        <w:right w:val="none" w:sz="0" w:space="0" w:color="auto"/>
      </w:divBdr>
      <w:divsChild>
        <w:div w:id="730616686">
          <w:marLeft w:val="0"/>
          <w:marRight w:val="0"/>
          <w:marTop w:val="0"/>
          <w:marBottom w:val="0"/>
          <w:divBdr>
            <w:top w:val="none" w:sz="0" w:space="0" w:color="auto"/>
            <w:left w:val="none" w:sz="0" w:space="0" w:color="auto"/>
            <w:bottom w:val="none" w:sz="0" w:space="0" w:color="auto"/>
            <w:right w:val="none" w:sz="0" w:space="0" w:color="auto"/>
          </w:divBdr>
          <w:divsChild>
            <w:div w:id="7938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3661">
      <w:bodyDiv w:val="1"/>
      <w:marLeft w:val="0"/>
      <w:marRight w:val="0"/>
      <w:marTop w:val="0"/>
      <w:marBottom w:val="0"/>
      <w:divBdr>
        <w:top w:val="none" w:sz="0" w:space="0" w:color="auto"/>
        <w:left w:val="none" w:sz="0" w:space="0" w:color="auto"/>
        <w:bottom w:val="none" w:sz="0" w:space="0" w:color="auto"/>
        <w:right w:val="none" w:sz="0" w:space="0" w:color="auto"/>
      </w:divBdr>
    </w:div>
    <w:div w:id="1015032827">
      <w:bodyDiv w:val="1"/>
      <w:marLeft w:val="0"/>
      <w:marRight w:val="0"/>
      <w:marTop w:val="0"/>
      <w:marBottom w:val="0"/>
      <w:divBdr>
        <w:top w:val="none" w:sz="0" w:space="0" w:color="auto"/>
        <w:left w:val="none" w:sz="0" w:space="0" w:color="auto"/>
        <w:bottom w:val="none" w:sz="0" w:space="0" w:color="auto"/>
        <w:right w:val="none" w:sz="0" w:space="0" w:color="auto"/>
      </w:divBdr>
    </w:div>
    <w:div w:id="1019433980">
      <w:bodyDiv w:val="1"/>
      <w:marLeft w:val="0"/>
      <w:marRight w:val="0"/>
      <w:marTop w:val="0"/>
      <w:marBottom w:val="0"/>
      <w:divBdr>
        <w:top w:val="none" w:sz="0" w:space="0" w:color="auto"/>
        <w:left w:val="none" w:sz="0" w:space="0" w:color="auto"/>
        <w:bottom w:val="none" w:sz="0" w:space="0" w:color="auto"/>
        <w:right w:val="none" w:sz="0" w:space="0" w:color="auto"/>
      </w:divBdr>
    </w:div>
    <w:div w:id="1035423086">
      <w:bodyDiv w:val="1"/>
      <w:marLeft w:val="0"/>
      <w:marRight w:val="0"/>
      <w:marTop w:val="0"/>
      <w:marBottom w:val="0"/>
      <w:divBdr>
        <w:top w:val="none" w:sz="0" w:space="0" w:color="auto"/>
        <w:left w:val="none" w:sz="0" w:space="0" w:color="auto"/>
        <w:bottom w:val="none" w:sz="0" w:space="0" w:color="auto"/>
        <w:right w:val="none" w:sz="0" w:space="0" w:color="auto"/>
      </w:divBdr>
    </w:div>
    <w:div w:id="1039666448">
      <w:bodyDiv w:val="1"/>
      <w:marLeft w:val="0"/>
      <w:marRight w:val="0"/>
      <w:marTop w:val="0"/>
      <w:marBottom w:val="0"/>
      <w:divBdr>
        <w:top w:val="none" w:sz="0" w:space="0" w:color="auto"/>
        <w:left w:val="none" w:sz="0" w:space="0" w:color="auto"/>
        <w:bottom w:val="none" w:sz="0" w:space="0" w:color="auto"/>
        <w:right w:val="none" w:sz="0" w:space="0" w:color="auto"/>
      </w:divBdr>
    </w:div>
    <w:div w:id="1041784427">
      <w:bodyDiv w:val="1"/>
      <w:marLeft w:val="0"/>
      <w:marRight w:val="0"/>
      <w:marTop w:val="0"/>
      <w:marBottom w:val="0"/>
      <w:divBdr>
        <w:top w:val="none" w:sz="0" w:space="0" w:color="auto"/>
        <w:left w:val="none" w:sz="0" w:space="0" w:color="auto"/>
        <w:bottom w:val="none" w:sz="0" w:space="0" w:color="auto"/>
        <w:right w:val="none" w:sz="0" w:space="0" w:color="auto"/>
      </w:divBdr>
    </w:div>
    <w:div w:id="1044330907">
      <w:bodyDiv w:val="1"/>
      <w:marLeft w:val="0"/>
      <w:marRight w:val="0"/>
      <w:marTop w:val="0"/>
      <w:marBottom w:val="0"/>
      <w:divBdr>
        <w:top w:val="none" w:sz="0" w:space="0" w:color="auto"/>
        <w:left w:val="none" w:sz="0" w:space="0" w:color="auto"/>
        <w:bottom w:val="none" w:sz="0" w:space="0" w:color="auto"/>
        <w:right w:val="none" w:sz="0" w:space="0" w:color="auto"/>
      </w:divBdr>
    </w:div>
    <w:div w:id="1044478691">
      <w:bodyDiv w:val="1"/>
      <w:marLeft w:val="0"/>
      <w:marRight w:val="0"/>
      <w:marTop w:val="0"/>
      <w:marBottom w:val="0"/>
      <w:divBdr>
        <w:top w:val="none" w:sz="0" w:space="0" w:color="auto"/>
        <w:left w:val="none" w:sz="0" w:space="0" w:color="auto"/>
        <w:bottom w:val="none" w:sz="0" w:space="0" w:color="auto"/>
        <w:right w:val="none" w:sz="0" w:space="0" w:color="auto"/>
      </w:divBdr>
    </w:div>
    <w:div w:id="1048341278">
      <w:bodyDiv w:val="1"/>
      <w:marLeft w:val="0"/>
      <w:marRight w:val="0"/>
      <w:marTop w:val="0"/>
      <w:marBottom w:val="0"/>
      <w:divBdr>
        <w:top w:val="none" w:sz="0" w:space="0" w:color="auto"/>
        <w:left w:val="none" w:sz="0" w:space="0" w:color="auto"/>
        <w:bottom w:val="none" w:sz="0" w:space="0" w:color="auto"/>
        <w:right w:val="none" w:sz="0" w:space="0" w:color="auto"/>
      </w:divBdr>
    </w:div>
    <w:div w:id="1050881253">
      <w:bodyDiv w:val="1"/>
      <w:marLeft w:val="0"/>
      <w:marRight w:val="0"/>
      <w:marTop w:val="0"/>
      <w:marBottom w:val="0"/>
      <w:divBdr>
        <w:top w:val="none" w:sz="0" w:space="0" w:color="auto"/>
        <w:left w:val="none" w:sz="0" w:space="0" w:color="auto"/>
        <w:bottom w:val="none" w:sz="0" w:space="0" w:color="auto"/>
        <w:right w:val="none" w:sz="0" w:space="0" w:color="auto"/>
      </w:divBdr>
    </w:div>
    <w:div w:id="1053893904">
      <w:bodyDiv w:val="1"/>
      <w:marLeft w:val="0"/>
      <w:marRight w:val="0"/>
      <w:marTop w:val="0"/>
      <w:marBottom w:val="0"/>
      <w:divBdr>
        <w:top w:val="none" w:sz="0" w:space="0" w:color="auto"/>
        <w:left w:val="none" w:sz="0" w:space="0" w:color="auto"/>
        <w:bottom w:val="none" w:sz="0" w:space="0" w:color="auto"/>
        <w:right w:val="none" w:sz="0" w:space="0" w:color="auto"/>
      </w:divBdr>
    </w:div>
    <w:div w:id="1066998591">
      <w:bodyDiv w:val="1"/>
      <w:marLeft w:val="0"/>
      <w:marRight w:val="0"/>
      <w:marTop w:val="0"/>
      <w:marBottom w:val="0"/>
      <w:divBdr>
        <w:top w:val="none" w:sz="0" w:space="0" w:color="auto"/>
        <w:left w:val="none" w:sz="0" w:space="0" w:color="auto"/>
        <w:bottom w:val="none" w:sz="0" w:space="0" w:color="auto"/>
        <w:right w:val="none" w:sz="0" w:space="0" w:color="auto"/>
      </w:divBdr>
    </w:div>
    <w:div w:id="1069766622">
      <w:bodyDiv w:val="1"/>
      <w:marLeft w:val="0"/>
      <w:marRight w:val="0"/>
      <w:marTop w:val="0"/>
      <w:marBottom w:val="0"/>
      <w:divBdr>
        <w:top w:val="none" w:sz="0" w:space="0" w:color="auto"/>
        <w:left w:val="none" w:sz="0" w:space="0" w:color="auto"/>
        <w:bottom w:val="none" w:sz="0" w:space="0" w:color="auto"/>
        <w:right w:val="none" w:sz="0" w:space="0" w:color="auto"/>
      </w:divBdr>
    </w:div>
    <w:div w:id="1082995675">
      <w:bodyDiv w:val="1"/>
      <w:marLeft w:val="0"/>
      <w:marRight w:val="0"/>
      <w:marTop w:val="0"/>
      <w:marBottom w:val="0"/>
      <w:divBdr>
        <w:top w:val="none" w:sz="0" w:space="0" w:color="auto"/>
        <w:left w:val="none" w:sz="0" w:space="0" w:color="auto"/>
        <w:bottom w:val="none" w:sz="0" w:space="0" w:color="auto"/>
        <w:right w:val="none" w:sz="0" w:space="0" w:color="auto"/>
      </w:divBdr>
    </w:div>
    <w:div w:id="1083574669">
      <w:bodyDiv w:val="1"/>
      <w:marLeft w:val="0"/>
      <w:marRight w:val="0"/>
      <w:marTop w:val="0"/>
      <w:marBottom w:val="0"/>
      <w:divBdr>
        <w:top w:val="none" w:sz="0" w:space="0" w:color="auto"/>
        <w:left w:val="none" w:sz="0" w:space="0" w:color="auto"/>
        <w:bottom w:val="none" w:sz="0" w:space="0" w:color="auto"/>
        <w:right w:val="none" w:sz="0" w:space="0" w:color="auto"/>
      </w:divBdr>
    </w:div>
    <w:div w:id="1083919964">
      <w:bodyDiv w:val="1"/>
      <w:marLeft w:val="0"/>
      <w:marRight w:val="0"/>
      <w:marTop w:val="0"/>
      <w:marBottom w:val="0"/>
      <w:divBdr>
        <w:top w:val="none" w:sz="0" w:space="0" w:color="auto"/>
        <w:left w:val="none" w:sz="0" w:space="0" w:color="auto"/>
        <w:bottom w:val="none" w:sz="0" w:space="0" w:color="auto"/>
        <w:right w:val="none" w:sz="0" w:space="0" w:color="auto"/>
      </w:divBdr>
    </w:div>
    <w:div w:id="1089741205">
      <w:bodyDiv w:val="1"/>
      <w:marLeft w:val="0"/>
      <w:marRight w:val="0"/>
      <w:marTop w:val="0"/>
      <w:marBottom w:val="0"/>
      <w:divBdr>
        <w:top w:val="none" w:sz="0" w:space="0" w:color="auto"/>
        <w:left w:val="none" w:sz="0" w:space="0" w:color="auto"/>
        <w:bottom w:val="none" w:sz="0" w:space="0" w:color="auto"/>
        <w:right w:val="none" w:sz="0" w:space="0" w:color="auto"/>
      </w:divBdr>
    </w:div>
    <w:div w:id="1096098865">
      <w:bodyDiv w:val="1"/>
      <w:marLeft w:val="0"/>
      <w:marRight w:val="0"/>
      <w:marTop w:val="0"/>
      <w:marBottom w:val="0"/>
      <w:divBdr>
        <w:top w:val="none" w:sz="0" w:space="0" w:color="auto"/>
        <w:left w:val="none" w:sz="0" w:space="0" w:color="auto"/>
        <w:bottom w:val="none" w:sz="0" w:space="0" w:color="auto"/>
        <w:right w:val="none" w:sz="0" w:space="0" w:color="auto"/>
      </w:divBdr>
    </w:div>
    <w:div w:id="1107307477">
      <w:bodyDiv w:val="1"/>
      <w:marLeft w:val="0"/>
      <w:marRight w:val="0"/>
      <w:marTop w:val="0"/>
      <w:marBottom w:val="0"/>
      <w:divBdr>
        <w:top w:val="none" w:sz="0" w:space="0" w:color="auto"/>
        <w:left w:val="none" w:sz="0" w:space="0" w:color="auto"/>
        <w:bottom w:val="none" w:sz="0" w:space="0" w:color="auto"/>
        <w:right w:val="none" w:sz="0" w:space="0" w:color="auto"/>
      </w:divBdr>
    </w:div>
    <w:div w:id="1111557074">
      <w:bodyDiv w:val="1"/>
      <w:marLeft w:val="0"/>
      <w:marRight w:val="0"/>
      <w:marTop w:val="0"/>
      <w:marBottom w:val="0"/>
      <w:divBdr>
        <w:top w:val="none" w:sz="0" w:space="0" w:color="auto"/>
        <w:left w:val="none" w:sz="0" w:space="0" w:color="auto"/>
        <w:bottom w:val="none" w:sz="0" w:space="0" w:color="auto"/>
        <w:right w:val="none" w:sz="0" w:space="0" w:color="auto"/>
      </w:divBdr>
    </w:div>
    <w:div w:id="1125154388">
      <w:bodyDiv w:val="1"/>
      <w:marLeft w:val="0"/>
      <w:marRight w:val="0"/>
      <w:marTop w:val="0"/>
      <w:marBottom w:val="0"/>
      <w:divBdr>
        <w:top w:val="none" w:sz="0" w:space="0" w:color="auto"/>
        <w:left w:val="none" w:sz="0" w:space="0" w:color="auto"/>
        <w:bottom w:val="none" w:sz="0" w:space="0" w:color="auto"/>
        <w:right w:val="none" w:sz="0" w:space="0" w:color="auto"/>
      </w:divBdr>
      <w:divsChild>
        <w:div w:id="829639513">
          <w:marLeft w:val="0"/>
          <w:marRight w:val="0"/>
          <w:marTop w:val="0"/>
          <w:marBottom w:val="0"/>
          <w:divBdr>
            <w:top w:val="none" w:sz="0" w:space="0" w:color="auto"/>
            <w:left w:val="none" w:sz="0" w:space="0" w:color="auto"/>
            <w:bottom w:val="none" w:sz="0" w:space="0" w:color="auto"/>
            <w:right w:val="none" w:sz="0" w:space="0" w:color="auto"/>
          </w:divBdr>
          <w:divsChild>
            <w:div w:id="337121733">
              <w:marLeft w:val="0"/>
              <w:marRight w:val="0"/>
              <w:marTop w:val="0"/>
              <w:marBottom w:val="0"/>
              <w:divBdr>
                <w:top w:val="none" w:sz="0" w:space="0" w:color="auto"/>
                <w:left w:val="none" w:sz="0" w:space="0" w:color="auto"/>
                <w:bottom w:val="none" w:sz="0" w:space="0" w:color="auto"/>
                <w:right w:val="none" w:sz="0" w:space="0" w:color="auto"/>
              </w:divBdr>
              <w:divsChild>
                <w:div w:id="948701325">
                  <w:marLeft w:val="0"/>
                  <w:marRight w:val="0"/>
                  <w:marTop w:val="0"/>
                  <w:marBottom w:val="0"/>
                  <w:divBdr>
                    <w:top w:val="none" w:sz="0" w:space="0" w:color="auto"/>
                    <w:left w:val="none" w:sz="0" w:space="0" w:color="auto"/>
                    <w:bottom w:val="none" w:sz="0" w:space="0" w:color="auto"/>
                    <w:right w:val="none" w:sz="0" w:space="0" w:color="auto"/>
                  </w:divBdr>
                  <w:divsChild>
                    <w:div w:id="193882525">
                      <w:marLeft w:val="0"/>
                      <w:marRight w:val="0"/>
                      <w:marTop w:val="0"/>
                      <w:marBottom w:val="0"/>
                      <w:divBdr>
                        <w:top w:val="none" w:sz="0" w:space="0" w:color="auto"/>
                        <w:left w:val="none" w:sz="0" w:space="0" w:color="auto"/>
                        <w:bottom w:val="none" w:sz="0" w:space="0" w:color="auto"/>
                        <w:right w:val="none" w:sz="0" w:space="0" w:color="auto"/>
                      </w:divBdr>
                      <w:divsChild>
                        <w:div w:id="7549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77069">
      <w:bodyDiv w:val="1"/>
      <w:marLeft w:val="0"/>
      <w:marRight w:val="0"/>
      <w:marTop w:val="0"/>
      <w:marBottom w:val="0"/>
      <w:divBdr>
        <w:top w:val="none" w:sz="0" w:space="0" w:color="auto"/>
        <w:left w:val="none" w:sz="0" w:space="0" w:color="auto"/>
        <w:bottom w:val="none" w:sz="0" w:space="0" w:color="auto"/>
        <w:right w:val="none" w:sz="0" w:space="0" w:color="auto"/>
      </w:divBdr>
    </w:div>
    <w:div w:id="1128551018">
      <w:bodyDiv w:val="1"/>
      <w:marLeft w:val="0"/>
      <w:marRight w:val="0"/>
      <w:marTop w:val="0"/>
      <w:marBottom w:val="0"/>
      <w:divBdr>
        <w:top w:val="none" w:sz="0" w:space="0" w:color="auto"/>
        <w:left w:val="none" w:sz="0" w:space="0" w:color="auto"/>
        <w:bottom w:val="none" w:sz="0" w:space="0" w:color="auto"/>
        <w:right w:val="none" w:sz="0" w:space="0" w:color="auto"/>
      </w:divBdr>
    </w:div>
    <w:div w:id="1138496619">
      <w:bodyDiv w:val="1"/>
      <w:marLeft w:val="0"/>
      <w:marRight w:val="0"/>
      <w:marTop w:val="0"/>
      <w:marBottom w:val="0"/>
      <w:divBdr>
        <w:top w:val="none" w:sz="0" w:space="0" w:color="auto"/>
        <w:left w:val="none" w:sz="0" w:space="0" w:color="auto"/>
        <w:bottom w:val="none" w:sz="0" w:space="0" w:color="auto"/>
        <w:right w:val="none" w:sz="0" w:space="0" w:color="auto"/>
      </w:divBdr>
    </w:div>
    <w:div w:id="1149975434">
      <w:bodyDiv w:val="1"/>
      <w:marLeft w:val="0"/>
      <w:marRight w:val="0"/>
      <w:marTop w:val="0"/>
      <w:marBottom w:val="0"/>
      <w:divBdr>
        <w:top w:val="none" w:sz="0" w:space="0" w:color="auto"/>
        <w:left w:val="none" w:sz="0" w:space="0" w:color="auto"/>
        <w:bottom w:val="none" w:sz="0" w:space="0" w:color="auto"/>
        <w:right w:val="none" w:sz="0" w:space="0" w:color="auto"/>
      </w:divBdr>
    </w:div>
    <w:div w:id="1158349923">
      <w:bodyDiv w:val="1"/>
      <w:marLeft w:val="0"/>
      <w:marRight w:val="0"/>
      <w:marTop w:val="0"/>
      <w:marBottom w:val="0"/>
      <w:divBdr>
        <w:top w:val="none" w:sz="0" w:space="0" w:color="auto"/>
        <w:left w:val="none" w:sz="0" w:space="0" w:color="auto"/>
        <w:bottom w:val="none" w:sz="0" w:space="0" w:color="auto"/>
        <w:right w:val="none" w:sz="0" w:space="0" w:color="auto"/>
      </w:divBdr>
    </w:div>
    <w:div w:id="1183124617">
      <w:bodyDiv w:val="1"/>
      <w:marLeft w:val="0"/>
      <w:marRight w:val="0"/>
      <w:marTop w:val="0"/>
      <w:marBottom w:val="0"/>
      <w:divBdr>
        <w:top w:val="none" w:sz="0" w:space="0" w:color="auto"/>
        <w:left w:val="none" w:sz="0" w:space="0" w:color="auto"/>
        <w:bottom w:val="none" w:sz="0" w:space="0" w:color="auto"/>
        <w:right w:val="none" w:sz="0" w:space="0" w:color="auto"/>
      </w:divBdr>
    </w:div>
    <w:div w:id="1189682229">
      <w:bodyDiv w:val="1"/>
      <w:marLeft w:val="0"/>
      <w:marRight w:val="0"/>
      <w:marTop w:val="0"/>
      <w:marBottom w:val="0"/>
      <w:divBdr>
        <w:top w:val="none" w:sz="0" w:space="0" w:color="auto"/>
        <w:left w:val="none" w:sz="0" w:space="0" w:color="auto"/>
        <w:bottom w:val="none" w:sz="0" w:space="0" w:color="auto"/>
        <w:right w:val="none" w:sz="0" w:space="0" w:color="auto"/>
      </w:divBdr>
    </w:div>
    <w:div w:id="1198156232">
      <w:bodyDiv w:val="1"/>
      <w:marLeft w:val="0"/>
      <w:marRight w:val="0"/>
      <w:marTop w:val="0"/>
      <w:marBottom w:val="0"/>
      <w:divBdr>
        <w:top w:val="none" w:sz="0" w:space="0" w:color="auto"/>
        <w:left w:val="none" w:sz="0" w:space="0" w:color="auto"/>
        <w:bottom w:val="none" w:sz="0" w:space="0" w:color="auto"/>
        <w:right w:val="none" w:sz="0" w:space="0" w:color="auto"/>
      </w:divBdr>
    </w:div>
    <w:div w:id="1209879100">
      <w:bodyDiv w:val="1"/>
      <w:marLeft w:val="0"/>
      <w:marRight w:val="0"/>
      <w:marTop w:val="0"/>
      <w:marBottom w:val="0"/>
      <w:divBdr>
        <w:top w:val="none" w:sz="0" w:space="0" w:color="auto"/>
        <w:left w:val="none" w:sz="0" w:space="0" w:color="auto"/>
        <w:bottom w:val="none" w:sz="0" w:space="0" w:color="auto"/>
        <w:right w:val="none" w:sz="0" w:space="0" w:color="auto"/>
      </w:divBdr>
    </w:div>
    <w:div w:id="1211646824">
      <w:bodyDiv w:val="1"/>
      <w:marLeft w:val="0"/>
      <w:marRight w:val="0"/>
      <w:marTop w:val="0"/>
      <w:marBottom w:val="0"/>
      <w:divBdr>
        <w:top w:val="none" w:sz="0" w:space="0" w:color="auto"/>
        <w:left w:val="none" w:sz="0" w:space="0" w:color="auto"/>
        <w:bottom w:val="none" w:sz="0" w:space="0" w:color="auto"/>
        <w:right w:val="none" w:sz="0" w:space="0" w:color="auto"/>
      </w:divBdr>
    </w:div>
    <w:div w:id="1221939729">
      <w:bodyDiv w:val="1"/>
      <w:marLeft w:val="0"/>
      <w:marRight w:val="0"/>
      <w:marTop w:val="0"/>
      <w:marBottom w:val="0"/>
      <w:divBdr>
        <w:top w:val="none" w:sz="0" w:space="0" w:color="auto"/>
        <w:left w:val="none" w:sz="0" w:space="0" w:color="auto"/>
        <w:bottom w:val="none" w:sz="0" w:space="0" w:color="auto"/>
        <w:right w:val="none" w:sz="0" w:space="0" w:color="auto"/>
      </w:divBdr>
    </w:div>
    <w:div w:id="1228227572">
      <w:bodyDiv w:val="1"/>
      <w:marLeft w:val="0"/>
      <w:marRight w:val="0"/>
      <w:marTop w:val="0"/>
      <w:marBottom w:val="0"/>
      <w:divBdr>
        <w:top w:val="none" w:sz="0" w:space="0" w:color="auto"/>
        <w:left w:val="none" w:sz="0" w:space="0" w:color="auto"/>
        <w:bottom w:val="none" w:sz="0" w:space="0" w:color="auto"/>
        <w:right w:val="none" w:sz="0" w:space="0" w:color="auto"/>
      </w:divBdr>
    </w:div>
    <w:div w:id="1228763188">
      <w:bodyDiv w:val="1"/>
      <w:marLeft w:val="0"/>
      <w:marRight w:val="0"/>
      <w:marTop w:val="0"/>
      <w:marBottom w:val="0"/>
      <w:divBdr>
        <w:top w:val="none" w:sz="0" w:space="0" w:color="auto"/>
        <w:left w:val="none" w:sz="0" w:space="0" w:color="auto"/>
        <w:bottom w:val="none" w:sz="0" w:space="0" w:color="auto"/>
        <w:right w:val="none" w:sz="0" w:space="0" w:color="auto"/>
      </w:divBdr>
    </w:div>
    <w:div w:id="1232738176">
      <w:bodyDiv w:val="1"/>
      <w:marLeft w:val="0"/>
      <w:marRight w:val="0"/>
      <w:marTop w:val="0"/>
      <w:marBottom w:val="0"/>
      <w:divBdr>
        <w:top w:val="none" w:sz="0" w:space="0" w:color="auto"/>
        <w:left w:val="none" w:sz="0" w:space="0" w:color="auto"/>
        <w:bottom w:val="none" w:sz="0" w:space="0" w:color="auto"/>
        <w:right w:val="none" w:sz="0" w:space="0" w:color="auto"/>
      </w:divBdr>
    </w:div>
    <w:div w:id="1233464807">
      <w:bodyDiv w:val="1"/>
      <w:marLeft w:val="0"/>
      <w:marRight w:val="0"/>
      <w:marTop w:val="0"/>
      <w:marBottom w:val="0"/>
      <w:divBdr>
        <w:top w:val="none" w:sz="0" w:space="0" w:color="auto"/>
        <w:left w:val="none" w:sz="0" w:space="0" w:color="auto"/>
        <w:bottom w:val="none" w:sz="0" w:space="0" w:color="auto"/>
        <w:right w:val="none" w:sz="0" w:space="0" w:color="auto"/>
      </w:divBdr>
    </w:div>
    <w:div w:id="1249460630">
      <w:bodyDiv w:val="1"/>
      <w:marLeft w:val="0"/>
      <w:marRight w:val="0"/>
      <w:marTop w:val="0"/>
      <w:marBottom w:val="0"/>
      <w:divBdr>
        <w:top w:val="none" w:sz="0" w:space="0" w:color="auto"/>
        <w:left w:val="none" w:sz="0" w:space="0" w:color="auto"/>
        <w:bottom w:val="none" w:sz="0" w:space="0" w:color="auto"/>
        <w:right w:val="none" w:sz="0" w:space="0" w:color="auto"/>
      </w:divBdr>
    </w:div>
    <w:div w:id="1249996352">
      <w:bodyDiv w:val="1"/>
      <w:marLeft w:val="0"/>
      <w:marRight w:val="0"/>
      <w:marTop w:val="0"/>
      <w:marBottom w:val="0"/>
      <w:divBdr>
        <w:top w:val="none" w:sz="0" w:space="0" w:color="auto"/>
        <w:left w:val="none" w:sz="0" w:space="0" w:color="auto"/>
        <w:bottom w:val="none" w:sz="0" w:space="0" w:color="auto"/>
        <w:right w:val="none" w:sz="0" w:space="0" w:color="auto"/>
      </w:divBdr>
    </w:div>
    <w:div w:id="1254778993">
      <w:bodyDiv w:val="1"/>
      <w:marLeft w:val="0"/>
      <w:marRight w:val="0"/>
      <w:marTop w:val="0"/>
      <w:marBottom w:val="0"/>
      <w:divBdr>
        <w:top w:val="none" w:sz="0" w:space="0" w:color="auto"/>
        <w:left w:val="none" w:sz="0" w:space="0" w:color="auto"/>
        <w:bottom w:val="none" w:sz="0" w:space="0" w:color="auto"/>
        <w:right w:val="none" w:sz="0" w:space="0" w:color="auto"/>
      </w:divBdr>
    </w:div>
    <w:div w:id="1272862854">
      <w:bodyDiv w:val="1"/>
      <w:marLeft w:val="0"/>
      <w:marRight w:val="0"/>
      <w:marTop w:val="0"/>
      <w:marBottom w:val="0"/>
      <w:divBdr>
        <w:top w:val="none" w:sz="0" w:space="0" w:color="auto"/>
        <w:left w:val="none" w:sz="0" w:space="0" w:color="auto"/>
        <w:bottom w:val="none" w:sz="0" w:space="0" w:color="auto"/>
        <w:right w:val="none" w:sz="0" w:space="0" w:color="auto"/>
      </w:divBdr>
    </w:div>
    <w:div w:id="1278609372">
      <w:bodyDiv w:val="1"/>
      <w:marLeft w:val="0"/>
      <w:marRight w:val="0"/>
      <w:marTop w:val="0"/>
      <w:marBottom w:val="0"/>
      <w:divBdr>
        <w:top w:val="none" w:sz="0" w:space="0" w:color="auto"/>
        <w:left w:val="none" w:sz="0" w:space="0" w:color="auto"/>
        <w:bottom w:val="none" w:sz="0" w:space="0" w:color="auto"/>
        <w:right w:val="none" w:sz="0" w:space="0" w:color="auto"/>
      </w:divBdr>
    </w:div>
    <w:div w:id="1288123483">
      <w:bodyDiv w:val="1"/>
      <w:marLeft w:val="0"/>
      <w:marRight w:val="0"/>
      <w:marTop w:val="0"/>
      <w:marBottom w:val="0"/>
      <w:divBdr>
        <w:top w:val="none" w:sz="0" w:space="0" w:color="auto"/>
        <w:left w:val="none" w:sz="0" w:space="0" w:color="auto"/>
        <w:bottom w:val="none" w:sz="0" w:space="0" w:color="auto"/>
        <w:right w:val="none" w:sz="0" w:space="0" w:color="auto"/>
      </w:divBdr>
    </w:div>
    <w:div w:id="1293707211">
      <w:bodyDiv w:val="1"/>
      <w:marLeft w:val="0"/>
      <w:marRight w:val="0"/>
      <w:marTop w:val="0"/>
      <w:marBottom w:val="0"/>
      <w:divBdr>
        <w:top w:val="none" w:sz="0" w:space="0" w:color="auto"/>
        <w:left w:val="none" w:sz="0" w:space="0" w:color="auto"/>
        <w:bottom w:val="none" w:sz="0" w:space="0" w:color="auto"/>
        <w:right w:val="none" w:sz="0" w:space="0" w:color="auto"/>
      </w:divBdr>
    </w:div>
    <w:div w:id="1294826937">
      <w:bodyDiv w:val="1"/>
      <w:marLeft w:val="0"/>
      <w:marRight w:val="0"/>
      <w:marTop w:val="0"/>
      <w:marBottom w:val="0"/>
      <w:divBdr>
        <w:top w:val="none" w:sz="0" w:space="0" w:color="auto"/>
        <w:left w:val="none" w:sz="0" w:space="0" w:color="auto"/>
        <w:bottom w:val="none" w:sz="0" w:space="0" w:color="auto"/>
        <w:right w:val="none" w:sz="0" w:space="0" w:color="auto"/>
      </w:divBdr>
    </w:div>
    <w:div w:id="1297949862">
      <w:bodyDiv w:val="1"/>
      <w:marLeft w:val="0"/>
      <w:marRight w:val="0"/>
      <w:marTop w:val="0"/>
      <w:marBottom w:val="0"/>
      <w:divBdr>
        <w:top w:val="none" w:sz="0" w:space="0" w:color="auto"/>
        <w:left w:val="none" w:sz="0" w:space="0" w:color="auto"/>
        <w:bottom w:val="none" w:sz="0" w:space="0" w:color="auto"/>
        <w:right w:val="none" w:sz="0" w:space="0" w:color="auto"/>
      </w:divBdr>
    </w:div>
    <w:div w:id="1309282557">
      <w:bodyDiv w:val="1"/>
      <w:marLeft w:val="0"/>
      <w:marRight w:val="0"/>
      <w:marTop w:val="0"/>
      <w:marBottom w:val="0"/>
      <w:divBdr>
        <w:top w:val="none" w:sz="0" w:space="0" w:color="auto"/>
        <w:left w:val="none" w:sz="0" w:space="0" w:color="auto"/>
        <w:bottom w:val="none" w:sz="0" w:space="0" w:color="auto"/>
        <w:right w:val="none" w:sz="0" w:space="0" w:color="auto"/>
      </w:divBdr>
    </w:div>
    <w:div w:id="1327243741">
      <w:bodyDiv w:val="1"/>
      <w:marLeft w:val="0"/>
      <w:marRight w:val="0"/>
      <w:marTop w:val="0"/>
      <w:marBottom w:val="0"/>
      <w:divBdr>
        <w:top w:val="none" w:sz="0" w:space="0" w:color="auto"/>
        <w:left w:val="none" w:sz="0" w:space="0" w:color="auto"/>
        <w:bottom w:val="none" w:sz="0" w:space="0" w:color="auto"/>
        <w:right w:val="none" w:sz="0" w:space="0" w:color="auto"/>
      </w:divBdr>
    </w:div>
    <w:div w:id="1328365947">
      <w:bodyDiv w:val="1"/>
      <w:marLeft w:val="0"/>
      <w:marRight w:val="0"/>
      <w:marTop w:val="0"/>
      <w:marBottom w:val="0"/>
      <w:divBdr>
        <w:top w:val="none" w:sz="0" w:space="0" w:color="auto"/>
        <w:left w:val="none" w:sz="0" w:space="0" w:color="auto"/>
        <w:bottom w:val="none" w:sz="0" w:space="0" w:color="auto"/>
        <w:right w:val="none" w:sz="0" w:space="0" w:color="auto"/>
      </w:divBdr>
    </w:div>
    <w:div w:id="1331177341">
      <w:bodyDiv w:val="1"/>
      <w:marLeft w:val="0"/>
      <w:marRight w:val="0"/>
      <w:marTop w:val="0"/>
      <w:marBottom w:val="0"/>
      <w:divBdr>
        <w:top w:val="none" w:sz="0" w:space="0" w:color="auto"/>
        <w:left w:val="none" w:sz="0" w:space="0" w:color="auto"/>
        <w:bottom w:val="none" w:sz="0" w:space="0" w:color="auto"/>
        <w:right w:val="none" w:sz="0" w:space="0" w:color="auto"/>
      </w:divBdr>
    </w:div>
    <w:div w:id="1337927947">
      <w:bodyDiv w:val="1"/>
      <w:marLeft w:val="0"/>
      <w:marRight w:val="0"/>
      <w:marTop w:val="0"/>
      <w:marBottom w:val="0"/>
      <w:divBdr>
        <w:top w:val="none" w:sz="0" w:space="0" w:color="auto"/>
        <w:left w:val="none" w:sz="0" w:space="0" w:color="auto"/>
        <w:bottom w:val="none" w:sz="0" w:space="0" w:color="auto"/>
        <w:right w:val="none" w:sz="0" w:space="0" w:color="auto"/>
      </w:divBdr>
    </w:div>
    <w:div w:id="1340691104">
      <w:bodyDiv w:val="1"/>
      <w:marLeft w:val="0"/>
      <w:marRight w:val="0"/>
      <w:marTop w:val="0"/>
      <w:marBottom w:val="0"/>
      <w:divBdr>
        <w:top w:val="none" w:sz="0" w:space="0" w:color="auto"/>
        <w:left w:val="none" w:sz="0" w:space="0" w:color="auto"/>
        <w:bottom w:val="none" w:sz="0" w:space="0" w:color="auto"/>
        <w:right w:val="none" w:sz="0" w:space="0" w:color="auto"/>
      </w:divBdr>
    </w:div>
    <w:div w:id="1347094473">
      <w:bodyDiv w:val="1"/>
      <w:marLeft w:val="0"/>
      <w:marRight w:val="0"/>
      <w:marTop w:val="0"/>
      <w:marBottom w:val="0"/>
      <w:divBdr>
        <w:top w:val="none" w:sz="0" w:space="0" w:color="auto"/>
        <w:left w:val="none" w:sz="0" w:space="0" w:color="auto"/>
        <w:bottom w:val="none" w:sz="0" w:space="0" w:color="auto"/>
        <w:right w:val="none" w:sz="0" w:space="0" w:color="auto"/>
      </w:divBdr>
    </w:div>
    <w:div w:id="1347171314">
      <w:bodyDiv w:val="1"/>
      <w:marLeft w:val="0"/>
      <w:marRight w:val="0"/>
      <w:marTop w:val="0"/>
      <w:marBottom w:val="0"/>
      <w:divBdr>
        <w:top w:val="none" w:sz="0" w:space="0" w:color="auto"/>
        <w:left w:val="none" w:sz="0" w:space="0" w:color="auto"/>
        <w:bottom w:val="none" w:sz="0" w:space="0" w:color="auto"/>
        <w:right w:val="none" w:sz="0" w:space="0" w:color="auto"/>
      </w:divBdr>
    </w:div>
    <w:div w:id="1356422833">
      <w:bodyDiv w:val="1"/>
      <w:marLeft w:val="0"/>
      <w:marRight w:val="0"/>
      <w:marTop w:val="0"/>
      <w:marBottom w:val="0"/>
      <w:divBdr>
        <w:top w:val="none" w:sz="0" w:space="0" w:color="auto"/>
        <w:left w:val="none" w:sz="0" w:space="0" w:color="auto"/>
        <w:bottom w:val="none" w:sz="0" w:space="0" w:color="auto"/>
        <w:right w:val="none" w:sz="0" w:space="0" w:color="auto"/>
      </w:divBdr>
    </w:div>
    <w:div w:id="1358048042">
      <w:bodyDiv w:val="1"/>
      <w:marLeft w:val="0"/>
      <w:marRight w:val="0"/>
      <w:marTop w:val="0"/>
      <w:marBottom w:val="0"/>
      <w:divBdr>
        <w:top w:val="none" w:sz="0" w:space="0" w:color="auto"/>
        <w:left w:val="none" w:sz="0" w:space="0" w:color="auto"/>
        <w:bottom w:val="none" w:sz="0" w:space="0" w:color="auto"/>
        <w:right w:val="none" w:sz="0" w:space="0" w:color="auto"/>
      </w:divBdr>
    </w:div>
    <w:div w:id="1358699367">
      <w:bodyDiv w:val="1"/>
      <w:marLeft w:val="0"/>
      <w:marRight w:val="0"/>
      <w:marTop w:val="0"/>
      <w:marBottom w:val="0"/>
      <w:divBdr>
        <w:top w:val="none" w:sz="0" w:space="0" w:color="auto"/>
        <w:left w:val="none" w:sz="0" w:space="0" w:color="auto"/>
        <w:bottom w:val="none" w:sz="0" w:space="0" w:color="auto"/>
        <w:right w:val="none" w:sz="0" w:space="0" w:color="auto"/>
      </w:divBdr>
    </w:div>
    <w:div w:id="1365904756">
      <w:bodyDiv w:val="1"/>
      <w:marLeft w:val="0"/>
      <w:marRight w:val="0"/>
      <w:marTop w:val="0"/>
      <w:marBottom w:val="0"/>
      <w:divBdr>
        <w:top w:val="none" w:sz="0" w:space="0" w:color="auto"/>
        <w:left w:val="none" w:sz="0" w:space="0" w:color="auto"/>
        <w:bottom w:val="none" w:sz="0" w:space="0" w:color="auto"/>
        <w:right w:val="none" w:sz="0" w:space="0" w:color="auto"/>
      </w:divBdr>
    </w:div>
    <w:div w:id="1366517609">
      <w:bodyDiv w:val="1"/>
      <w:marLeft w:val="0"/>
      <w:marRight w:val="0"/>
      <w:marTop w:val="0"/>
      <w:marBottom w:val="0"/>
      <w:divBdr>
        <w:top w:val="none" w:sz="0" w:space="0" w:color="auto"/>
        <w:left w:val="none" w:sz="0" w:space="0" w:color="auto"/>
        <w:bottom w:val="none" w:sz="0" w:space="0" w:color="auto"/>
        <w:right w:val="none" w:sz="0" w:space="0" w:color="auto"/>
      </w:divBdr>
    </w:div>
    <w:div w:id="1367826551">
      <w:bodyDiv w:val="1"/>
      <w:marLeft w:val="0"/>
      <w:marRight w:val="0"/>
      <w:marTop w:val="0"/>
      <w:marBottom w:val="0"/>
      <w:divBdr>
        <w:top w:val="none" w:sz="0" w:space="0" w:color="auto"/>
        <w:left w:val="none" w:sz="0" w:space="0" w:color="auto"/>
        <w:bottom w:val="none" w:sz="0" w:space="0" w:color="auto"/>
        <w:right w:val="none" w:sz="0" w:space="0" w:color="auto"/>
      </w:divBdr>
    </w:div>
    <w:div w:id="1376156845">
      <w:bodyDiv w:val="1"/>
      <w:marLeft w:val="0"/>
      <w:marRight w:val="0"/>
      <w:marTop w:val="0"/>
      <w:marBottom w:val="0"/>
      <w:divBdr>
        <w:top w:val="none" w:sz="0" w:space="0" w:color="auto"/>
        <w:left w:val="none" w:sz="0" w:space="0" w:color="auto"/>
        <w:bottom w:val="none" w:sz="0" w:space="0" w:color="auto"/>
        <w:right w:val="none" w:sz="0" w:space="0" w:color="auto"/>
      </w:divBdr>
    </w:div>
    <w:div w:id="1377123783">
      <w:bodyDiv w:val="1"/>
      <w:marLeft w:val="0"/>
      <w:marRight w:val="0"/>
      <w:marTop w:val="0"/>
      <w:marBottom w:val="0"/>
      <w:divBdr>
        <w:top w:val="none" w:sz="0" w:space="0" w:color="auto"/>
        <w:left w:val="none" w:sz="0" w:space="0" w:color="auto"/>
        <w:bottom w:val="none" w:sz="0" w:space="0" w:color="auto"/>
        <w:right w:val="none" w:sz="0" w:space="0" w:color="auto"/>
      </w:divBdr>
    </w:div>
    <w:div w:id="1377660880">
      <w:bodyDiv w:val="1"/>
      <w:marLeft w:val="0"/>
      <w:marRight w:val="0"/>
      <w:marTop w:val="0"/>
      <w:marBottom w:val="0"/>
      <w:divBdr>
        <w:top w:val="none" w:sz="0" w:space="0" w:color="auto"/>
        <w:left w:val="none" w:sz="0" w:space="0" w:color="auto"/>
        <w:bottom w:val="none" w:sz="0" w:space="0" w:color="auto"/>
        <w:right w:val="none" w:sz="0" w:space="0" w:color="auto"/>
      </w:divBdr>
    </w:div>
    <w:div w:id="1392733359">
      <w:bodyDiv w:val="1"/>
      <w:marLeft w:val="0"/>
      <w:marRight w:val="0"/>
      <w:marTop w:val="0"/>
      <w:marBottom w:val="0"/>
      <w:divBdr>
        <w:top w:val="none" w:sz="0" w:space="0" w:color="auto"/>
        <w:left w:val="none" w:sz="0" w:space="0" w:color="auto"/>
        <w:bottom w:val="none" w:sz="0" w:space="0" w:color="auto"/>
        <w:right w:val="none" w:sz="0" w:space="0" w:color="auto"/>
      </w:divBdr>
    </w:div>
    <w:div w:id="1396931066">
      <w:bodyDiv w:val="1"/>
      <w:marLeft w:val="0"/>
      <w:marRight w:val="0"/>
      <w:marTop w:val="0"/>
      <w:marBottom w:val="0"/>
      <w:divBdr>
        <w:top w:val="none" w:sz="0" w:space="0" w:color="auto"/>
        <w:left w:val="none" w:sz="0" w:space="0" w:color="auto"/>
        <w:bottom w:val="none" w:sz="0" w:space="0" w:color="auto"/>
        <w:right w:val="none" w:sz="0" w:space="0" w:color="auto"/>
      </w:divBdr>
    </w:div>
    <w:div w:id="1399278452">
      <w:bodyDiv w:val="1"/>
      <w:marLeft w:val="0"/>
      <w:marRight w:val="0"/>
      <w:marTop w:val="0"/>
      <w:marBottom w:val="0"/>
      <w:divBdr>
        <w:top w:val="none" w:sz="0" w:space="0" w:color="auto"/>
        <w:left w:val="none" w:sz="0" w:space="0" w:color="auto"/>
        <w:bottom w:val="none" w:sz="0" w:space="0" w:color="auto"/>
        <w:right w:val="none" w:sz="0" w:space="0" w:color="auto"/>
      </w:divBdr>
    </w:div>
    <w:div w:id="1404109068">
      <w:bodyDiv w:val="1"/>
      <w:marLeft w:val="0"/>
      <w:marRight w:val="0"/>
      <w:marTop w:val="0"/>
      <w:marBottom w:val="0"/>
      <w:divBdr>
        <w:top w:val="none" w:sz="0" w:space="0" w:color="auto"/>
        <w:left w:val="none" w:sz="0" w:space="0" w:color="auto"/>
        <w:bottom w:val="none" w:sz="0" w:space="0" w:color="auto"/>
        <w:right w:val="none" w:sz="0" w:space="0" w:color="auto"/>
      </w:divBdr>
    </w:div>
    <w:div w:id="1414012851">
      <w:bodyDiv w:val="1"/>
      <w:marLeft w:val="0"/>
      <w:marRight w:val="0"/>
      <w:marTop w:val="0"/>
      <w:marBottom w:val="0"/>
      <w:divBdr>
        <w:top w:val="none" w:sz="0" w:space="0" w:color="auto"/>
        <w:left w:val="none" w:sz="0" w:space="0" w:color="auto"/>
        <w:bottom w:val="none" w:sz="0" w:space="0" w:color="auto"/>
        <w:right w:val="none" w:sz="0" w:space="0" w:color="auto"/>
      </w:divBdr>
    </w:div>
    <w:div w:id="1417092518">
      <w:bodyDiv w:val="1"/>
      <w:marLeft w:val="0"/>
      <w:marRight w:val="0"/>
      <w:marTop w:val="0"/>
      <w:marBottom w:val="0"/>
      <w:divBdr>
        <w:top w:val="none" w:sz="0" w:space="0" w:color="auto"/>
        <w:left w:val="none" w:sz="0" w:space="0" w:color="auto"/>
        <w:bottom w:val="none" w:sz="0" w:space="0" w:color="auto"/>
        <w:right w:val="none" w:sz="0" w:space="0" w:color="auto"/>
      </w:divBdr>
    </w:div>
    <w:div w:id="1432235745">
      <w:bodyDiv w:val="1"/>
      <w:marLeft w:val="0"/>
      <w:marRight w:val="0"/>
      <w:marTop w:val="0"/>
      <w:marBottom w:val="0"/>
      <w:divBdr>
        <w:top w:val="none" w:sz="0" w:space="0" w:color="auto"/>
        <w:left w:val="none" w:sz="0" w:space="0" w:color="auto"/>
        <w:bottom w:val="none" w:sz="0" w:space="0" w:color="auto"/>
        <w:right w:val="none" w:sz="0" w:space="0" w:color="auto"/>
      </w:divBdr>
    </w:div>
    <w:div w:id="1441484132">
      <w:bodyDiv w:val="1"/>
      <w:marLeft w:val="0"/>
      <w:marRight w:val="0"/>
      <w:marTop w:val="0"/>
      <w:marBottom w:val="0"/>
      <w:divBdr>
        <w:top w:val="none" w:sz="0" w:space="0" w:color="auto"/>
        <w:left w:val="none" w:sz="0" w:space="0" w:color="auto"/>
        <w:bottom w:val="none" w:sz="0" w:space="0" w:color="auto"/>
        <w:right w:val="none" w:sz="0" w:space="0" w:color="auto"/>
      </w:divBdr>
    </w:div>
    <w:div w:id="1447777355">
      <w:bodyDiv w:val="1"/>
      <w:marLeft w:val="0"/>
      <w:marRight w:val="0"/>
      <w:marTop w:val="0"/>
      <w:marBottom w:val="0"/>
      <w:divBdr>
        <w:top w:val="none" w:sz="0" w:space="0" w:color="auto"/>
        <w:left w:val="none" w:sz="0" w:space="0" w:color="auto"/>
        <w:bottom w:val="none" w:sz="0" w:space="0" w:color="auto"/>
        <w:right w:val="none" w:sz="0" w:space="0" w:color="auto"/>
      </w:divBdr>
    </w:div>
    <w:div w:id="1454712802">
      <w:bodyDiv w:val="1"/>
      <w:marLeft w:val="0"/>
      <w:marRight w:val="0"/>
      <w:marTop w:val="0"/>
      <w:marBottom w:val="0"/>
      <w:divBdr>
        <w:top w:val="none" w:sz="0" w:space="0" w:color="auto"/>
        <w:left w:val="none" w:sz="0" w:space="0" w:color="auto"/>
        <w:bottom w:val="none" w:sz="0" w:space="0" w:color="auto"/>
        <w:right w:val="none" w:sz="0" w:space="0" w:color="auto"/>
      </w:divBdr>
    </w:div>
    <w:div w:id="1467355790">
      <w:bodyDiv w:val="1"/>
      <w:marLeft w:val="0"/>
      <w:marRight w:val="0"/>
      <w:marTop w:val="0"/>
      <w:marBottom w:val="0"/>
      <w:divBdr>
        <w:top w:val="none" w:sz="0" w:space="0" w:color="auto"/>
        <w:left w:val="none" w:sz="0" w:space="0" w:color="auto"/>
        <w:bottom w:val="none" w:sz="0" w:space="0" w:color="auto"/>
        <w:right w:val="none" w:sz="0" w:space="0" w:color="auto"/>
      </w:divBdr>
    </w:div>
    <w:div w:id="1471819972">
      <w:bodyDiv w:val="1"/>
      <w:marLeft w:val="0"/>
      <w:marRight w:val="0"/>
      <w:marTop w:val="0"/>
      <w:marBottom w:val="0"/>
      <w:divBdr>
        <w:top w:val="none" w:sz="0" w:space="0" w:color="auto"/>
        <w:left w:val="none" w:sz="0" w:space="0" w:color="auto"/>
        <w:bottom w:val="none" w:sz="0" w:space="0" w:color="auto"/>
        <w:right w:val="none" w:sz="0" w:space="0" w:color="auto"/>
      </w:divBdr>
    </w:div>
    <w:div w:id="1473980382">
      <w:bodyDiv w:val="1"/>
      <w:marLeft w:val="0"/>
      <w:marRight w:val="0"/>
      <w:marTop w:val="0"/>
      <w:marBottom w:val="0"/>
      <w:divBdr>
        <w:top w:val="none" w:sz="0" w:space="0" w:color="auto"/>
        <w:left w:val="none" w:sz="0" w:space="0" w:color="auto"/>
        <w:bottom w:val="none" w:sz="0" w:space="0" w:color="auto"/>
        <w:right w:val="none" w:sz="0" w:space="0" w:color="auto"/>
      </w:divBdr>
    </w:div>
    <w:div w:id="1485702693">
      <w:bodyDiv w:val="1"/>
      <w:marLeft w:val="0"/>
      <w:marRight w:val="0"/>
      <w:marTop w:val="0"/>
      <w:marBottom w:val="0"/>
      <w:divBdr>
        <w:top w:val="none" w:sz="0" w:space="0" w:color="auto"/>
        <w:left w:val="none" w:sz="0" w:space="0" w:color="auto"/>
        <w:bottom w:val="none" w:sz="0" w:space="0" w:color="auto"/>
        <w:right w:val="none" w:sz="0" w:space="0" w:color="auto"/>
      </w:divBdr>
    </w:div>
    <w:div w:id="1487934629">
      <w:bodyDiv w:val="1"/>
      <w:marLeft w:val="0"/>
      <w:marRight w:val="0"/>
      <w:marTop w:val="0"/>
      <w:marBottom w:val="0"/>
      <w:divBdr>
        <w:top w:val="none" w:sz="0" w:space="0" w:color="auto"/>
        <w:left w:val="none" w:sz="0" w:space="0" w:color="auto"/>
        <w:bottom w:val="none" w:sz="0" w:space="0" w:color="auto"/>
        <w:right w:val="none" w:sz="0" w:space="0" w:color="auto"/>
      </w:divBdr>
    </w:div>
    <w:div w:id="1489515729">
      <w:bodyDiv w:val="1"/>
      <w:marLeft w:val="0"/>
      <w:marRight w:val="0"/>
      <w:marTop w:val="0"/>
      <w:marBottom w:val="0"/>
      <w:divBdr>
        <w:top w:val="none" w:sz="0" w:space="0" w:color="auto"/>
        <w:left w:val="none" w:sz="0" w:space="0" w:color="auto"/>
        <w:bottom w:val="none" w:sz="0" w:space="0" w:color="auto"/>
        <w:right w:val="none" w:sz="0" w:space="0" w:color="auto"/>
      </w:divBdr>
    </w:div>
    <w:div w:id="1495802852">
      <w:bodyDiv w:val="1"/>
      <w:marLeft w:val="0"/>
      <w:marRight w:val="0"/>
      <w:marTop w:val="0"/>
      <w:marBottom w:val="0"/>
      <w:divBdr>
        <w:top w:val="none" w:sz="0" w:space="0" w:color="auto"/>
        <w:left w:val="none" w:sz="0" w:space="0" w:color="auto"/>
        <w:bottom w:val="none" w:sz="0" w:space="0" w:color="auto"/>
        <w:right w:val="none" w:sz="0" w:space="0" w:color="auto"/>
      </w:divBdr>
    </w:div>
    <w:div w:id="1501774435">
      <w:bodyDiv w:val="1"/>
      <w:marLeft w:val="0"/>
      <w:marRight w:val="0"/>
      <w:marTop w:val="0"/>
      <w:marBottom w:val="0"/>
      <w:divBdr>
        <w:top w:val="none" w:sz="0" w:space="0" w:color="auto"/>
        <w:left w:val="none" w:sz="0" w:space="0" w:color="auto"/>
        <w:bottom w:val="none" w:sz="0" w:space="0" w:color="auto"/>
        <w:right w:val="none" w:sz="0" w:space="0" w:color="auto"/>
      </w:divBdr>
    </w:div>
    <w:div w:id="1511485603">
      <w:bodyDiv w:val="1"/>
      <w:marLeft w:val="0"/>
      <w:marRight w:val="0"/>
      <w:marTop w:val="0"/>
      <w:marBottom w:val="0"/>
      <w:divBdr>
        <w:top w:val="none" w:sz="0" w:space="0" w:color="auto"/>
        <w:left w:val="none" w:sz="0" w:space="0" w:color="auto"/>
        <w:bottom w:val="none" w:sz="0" w:space="0" w:color="auto"/>
        <w:right w:val="none" w:sz="0" w:space="0" w:color="auto"/>
      </w:divBdr>
    </w:div>
    <w:div w:id="1526942714">
      <w:bodyDiv w:val="1"/>
      <w:marLeft w:val="0"/>
      <w:marRight w:val="0"/>
      <w:marTop w:val="0"/>
      <w:marBottom w:val="0"/>
      <w:divBdr>
        <w:top w:val="none" w:sz="0" w:space="0" w:color="auto"/>
        <w:left w:val="none" w:sz="0" w:space="0" w:color="auto"/>
        <w:bottom w:val="none" w:sz="0" w:space="0" w:color="auto"/>
        <w:right w:val="none" w:sz="0" w:space="0" w:color="auto"/>
      </w:divBdr>
    </w:div>
    <w:div w:id="1531719848">
      <w:bodyDiv w:val="1"/>
      <w:marLeft w:val="0"/>
      <w:marRight w:val="0"/>
      <w:marTop w:val="0"/>
      <w:marBottom w:val="0"/>
      <w:divBdr>
        <w:top w:val="none" w:sz="0" w:space="0" w:color="auto"/>
        <w:left w:val="none" w:sz="0" w:space="0" w:color="auto"/>
        <w:bottom w:val="none" w:sz="0" w:space="0" w:color="auto"/>
        <w:right w:val="none" w:sz="0" w:space="0" w:color="auto"/>
      </w:divBdr>
    </w:div>
    <w:div w:id="1533760491">
      <w:bodyDiv w:val="1"/>
      <w:marLeft w:val="0"/>
      <w:marRight w:val="0"/>
      <w:marTop w:val="0"/>
      <w:marBottom w:val="0"/>
      <w:divBdr>
        <w:top w:val="none" w:sz="0" w:space="0" w:color="auto"/>
        <w:left w:val="none" w:sz="0" w:space="0" w:color="auto"/>
        <w:bottom w:val="none" w:sz="0" w:space="0" w:color="auto"/>
        <w:right w:val="none" w:sz="0" w:space="0" w:color="auto"/>
      </w:divBdr>
    </w:div>
    <w:div w:id="1535266289">
      <w:bodyDiv w:val="1"/>
      <w:marLeft w:val="0"/>
      <w:marRight w:val="0"/>
      <w:marTop w:val="0"/>
      <w:marBottom w:val="0"/>
      <w:divBdr>
        <w:top w:val="none" w:sz="0" w:space="0" w:color="auto"/>
        <w:left w:val="none" w:sz="0" w:space="0" w:color="auto"/>
        <w:bottom w:val="none" w:sz="0" w:space="0" w:color="auto"/>
        <w:right w:val="none" w:sz="0" w:space="0" w:color="auto"/>
      </w:divBdr>
    </w:div>
    <w:div w:id="1536311805">
      <w:bodyDiv w:val="1"/>
      <w:marLeft w:val="0"/>
      <w:marRight w:val="0"/>
      <w:marTop w:val="0"/>
      <w:marBottom w:val="0"/>
      <w:divBdr>
        <w:top w:val="none" w:sz="0" w:space="0" w:color="auto"/>
        <w:left w:val="none" w:sz="0" w:space="0" w:color="auto"/>
        <w:bottom w:val="none" w:sz="0" w:space="0" w:color="auto"/>
        <w:right w:val="none" w:sz="0" w:space="0" w:color="auto"/>
      </w:divBdr>
    </w:div>
    <w:div w:id="1539052648">
      <w:bodyDiv w:val="1"/>
      <w:marLeft w:val="0"/>
      <w:marRight w:val="0"/>
      <w:marTop w:val="0"/>
      <w:marBottom w:val="0"/>
      <w:divBdr>
        <w:top w:val="none" w:sz="0" w:space="0" w:color="auto"/>
        <w:left w:val="none" w:sz="0" w:space="0" w:color="auto"/>
        <w:bottom w:val="none" w:sz="0" w:space="0" w:color="auto"/>
        <w:right w:val="none" w:sz="0" w:space="0" w:color="auto"/>
      </w:divBdr>
    </w:div>
    <w:div w:id="1539777390">
      <w:bodyDiv w:val="1"/>
      <w:marLeft w:val="0"/>
      <w:marRight w:val="0"/>
      <w:marTop w:val="0"/>
      <w:marBottom w:val="0"/>
      <w:divBdr>
        <w:top w:val="none" w:sz="0" w:space="0" w:color="auto"/>
        <w:left w:val="none" w:sz="0" w:space="0" w:color="auto"/>
        <w:bottom w:val="none" w:sz="0" w:space="0" w:color="auto"/>
        <w:right w:val="none" w:sz="0" w:space="0" w:color="auto"/>
      </w:divBdr>
    </w:div>
    <w:div w:id="1543398512">
      <w:bodyDiv w:val="1"/>
      <w:marLeft w:val="0"/>
      <w:marRight w:val="0"/>
      <w:marTop w:val="0"/>
      <w:marBottom w:val="0"/>
      <w:divBdr>
        <w:top w:val="none" w:sz="0" w:space="0" w:color="auto"/>
        <w:left w:val="none" w:sz="0" w:space="0" w:color="auto"/>
        <w:bottom w:val="none" w:sz="0" w:space="0" w:color="auto"/>
        <w:right w:val="none" w:sz="0" w:space="0" w:color="auto"/>
      </w:divBdr>
    </w:div>
    <w:div w:id="1546988551">
      <w:bodyDiv w:val="1"/>
      <w:marLeft w:val="0"/>
      <w:marRight w:val="0"/>
      <w:marTop w:val="0"/>
      <w:marBottom w:val="0"/>
      <w:divBdr>
        <w:top w:val="none" w:sz="0" w:space="0" w:color="auto"/>
        <w:left w:val="none" w:sz="0" w:space="0" w:color="auto"/>
        <w:bottom w:val="none" w:sz="0" w:space="0" w:color="auto"/>
        <w:right w:val="none" w:sz="0" w:space="0" w:color="auto"/>
      </w:divBdr>
    </w:div>
    <w:div w:id="1547568815">
      <w:bodyDiv w:val="1"/>
      <w:marLeft w:val="0"/>
      <w:marRight w:val="0"/>
      <w:marTop w:val="0"/>
      <w:marBottom w:val="0"/>
      <w:divBdr>
        <w:top w:val="none" w:sz="0" w:space="0" w:color="auto"/>
        <w:left w:val="none" w:sz="0" w:space="0" w:color="auto"/>
        <w:bottom w:val="none" w:sz="0" w:space="0" w:color="auto"/>
        <w:right w:val="none" w:sz="0" w:space="0" w:color="auto"/>
      </w:divBdr>
    </w:div>
    <w:div w:id="1548175171">
      <w:bodyDiv w:val="1"/>
      <w:marLeft w:val="0"/>
      <w:marRight w:val="0"/>
      <w:marTop w:val="0"/>
      <w:marBottom w:val="0"/>
      <w:divBdr>
        <w:top w:val="none" w:sz="0" w:space="0" w:color="auto"/>
        <w:left w:val="none" w:sz="0" w:space="0" w:color="auto"/>
        <w:bottom w:val="none" w:sz="0" w:space="0" w:color="auto"/>
        <w:right w:val="none" w:sz="0" w:space="0" w:color="auto"/>
      </w:divBdr>
    </w:div>
    <w:div w:id="1548755370">
      <w:bodyDiv w:val="1"/>
      <w:marLeft w:val="0"/>
      <w:marRight w:val="0"/>
      <w:marTop w:val="0"/>
      <w:marBottom w:val="0"/>
      <w:divBdr>
        <w:top w:val="none" w:sz="0" w:space="0" w:color="auto"/>
        <w:left w:val="none" w:sz="0" w:space="0" w:color="auto"/>
        <w:bottom w:val="none" w:sz="0" w:space="0" w:color="auto"/>
        <w:right w:val="none" w:sz="0" w:space="0" w:color="auto"/>
      </w:divBdr>
    </w:div>
    <w:div w:id="1551111066">
      <w:bodyDiv w:val="1"/>
      <w:marLeft w:val="0"/>
      <w:marRight w:val="0"/>
      <w:marTop w:val="0"/>
      <w:marBottom w:val="0"/>
      <w:divBdr>
        <w:top w:val="none" w:sz="0" w:space="0" w:color="auto"/>
        <w:left w:val="none" w:sz="0" w:space="0" w:color="auto"/>
        <w:bottom w:val="none" w:sz="0" w:space="0" w:color="auto"/>
        <w:right w:val="none" w:sz="0" w:space="0" w:color="auto"/>
      </w:divBdr>
    </w:div>
    <w:div w:id="1551189900">
      <w:bodyDiv w:val="1"/>
      <w:marLeft w:val="0"/>
      <w:marRight w:val="0"/>
      <w:marTop w:val="0"/>
      <w:marBottom w:val="0"/>
      <w:divBdr>
        <w:top w:val="none" w:sz="0" w:space="0" w:color="auto"/>
        <w:left w:val="none" w:sz="0" w:space="0" w:color="auto"/>
        <w:bottom w:val="none" w:sz="0" w:space="0" w:color="auto"/>
        <w:right w:val="none" w:sz="0" w:space="0" w:color="auto"/>
      </w:divBdr>
    </w:div>
    <w:div w:id="1577472489">
      <w:bodyDiv w:val="1"/>
      <w:marLeft w:val="0"/>
      <w:marRight w:val="0"/>
      <w:marTop w:val="0"/>
      <w:marBottom w:val="0"/>
      <w:divBdr>
        <w:top w:val="none" w:sz="0" w:space="0" w:color="auto"/>
        <w:left w:val="none" w:sz="0" w:space="0" w:color="auto"/>
        <w:bottom w:val="none" w:sz="0" w:space="0" w:color="auto"/>
        <w:right w:val="none" w:sz="0" w:space="0" w:color="auto"/>
      </w:divBdr>
    </w:div>
    <w:div w:id="1577670093">
      <w:bodyDiv w:val="1"/>
      <w:marLeft w:val="0"/>
      <w:marRight w:val="0"/>
      <w:marTop w:val="0"/>
      <w:marBottom w:val="0"/>
      <w:divBdr>
        <w:top w:val="none" w:sz="0" w:space="0" w:color="auto"/>
        <w:left w:val="none" w:sz="0" w:space="0" w:color="auto"/>
        <w:bottom w:val="none" w:sz="0" w:space="0" w:color="auto"/>
        <w:right w:val="none" w:sz="0" w:space="0" w:color="auto"/>
      </w:divBdr>
    </w:div>
    <w:div w:id="1603370873">
      <w:bodyDiv w:val="1"/>
      <w:marLeft w:val="0"/>
      <w:marRight w:val="0"/>
      <w:marTop w:val="0"/>
      <w:marBottom w:val="0"/>
      <w:divBdr>
        <w:top w:val="none" w:sz="0" w:space="0" w:color="auto"/>
        <w:left w:val="none" w:sz="0" w:space="0" w:color="auto"/>
        <w:bottom w:val="none" w:sz="0" w:space="0" w:color="auto"/>
        <w:right w:val="none" w:sz="0" w:space="0" w:color="auto"/>
      </w:divBdr>
    </w:div>
    <w:div w:id="1603759355">
      <w:bodyDiv w:val="1"/>
      <w:marLeft w:val="0"/>
      <w:marRight w:val="0"/>
      <w:marTop w:val="0"/>
      <w:marBottom w:val="0"/>
      <w:divBdr>
        <w:top w:val="none" w:sz="0" w:space="0" w:color="auto"/>
        <w:left w:val="none" w:sz="0" w:space="0" w:color="auto"/>
        <w:bottom w:val="none" w:sz="0" w:space="0" w:color="auto"/>
        <w:right w:val="none" w:sz="0" w:space="0" w:color="auto"/>
      </w:divBdr>
    </w:div>
    <w:div w:id="1603952439">
      <w:bodyDiv w:val="1"/>
      <w:marLeft w:val="0"/>
      <w:marRight w:val="0"/>
      <w:marTop w:val="0"/>
      <w:marBottom w:val="0"/>
      <w:divBdr>
        <w:top w:val="none" w:sz="0" w:space="0" w:color="auto"/>
        <w:left w:val="none" w:sz="0" w:space="0" w:color="auto"/>
        <w:bottom w:val="none" w:sz="0" w:space="0" w:color="auto"/>
        <w:right w:val="none" w:sz="0" w:space="0" w:color="auto"/>
      </w:divBdr>
    </w:div>
    <w:div w:id="1606768895">
      <w:bodyDiv w:val="1"/>
      <w:marLeft w:val="0"/>
      <w:marRight w:val="0"/>
      <w:marTop w:val="0"/>
      <w:marBottom w:val="0"/>
      <w:divBdr>
        <w:top w:val="none" w:sz="0" w:space="0" w:color="auto"/>
        <w:left w:val="none" w:sz="0" w:space="0" w:color="auto"/>
        <w:bottom w:val="none" w:sz="0" w:space="0" w:color="auto"/>
        <w:right w:val="none" w:sz="0" w:space="0" w:color="auto"/>
      </w:divBdr>
    </w:div>
    <w:div w:id="1621916205">
      <w:bodyDiv w:val="1"/>
      <w:marLeft w:val="0"/>
      <w:marRight w:val="0"/>
      <w:marTop w:val="0"/>
      <w:marBottom w:val="0"/>
      <w:divBdr>
        <w:top w:val="none" w:sz="0" w:space="0" w:color="auto"/>
        <w:left w:val="none" w:sz="0" w:space="0" w:color="auto"/>
        <w:bottom w:val="none" w:sz="0" w:space="0" w:color="auto"/>
        <w:right w:val="none" w:sz="0" w:space="0" w:color="auto"/>
      </w:divBdr>
    </w:div>
    <w:div w:id="1642495352">
      <w:bodyDiv w:val="1"/>
      <w:marLeft w:val="0"/>
      <w:marRight w:val="0"/>
      <w:marTop w:val="0"/>
      <w:marBottom w:val="0"/>
      <w:divBdr>
        <w:top w:val="none" w:sz="0" w:space="0" w:color="auto"/>
        <w:left w:val="none" w:sz="0" w:space="0" w:color="auto"/>
        <w:bottom w:val="none" w:sz="0" w:space="0" w:color="auto"/>
        <w:right w:val="none" w:sz="0" w:space="0" w:color="auto"/>
      </w:divBdr>
    </w:div>
    <w:div w:id="1642611493">
      <w:bodyDiv w:val="1"/>
      <w:marLeft w:val="0"/>
      <w:marRight w:val="0"/>
      <w:marTop w:val="0"/>
      <w:marBottom w:val="0"/>
      <w:divBdr>
        <w:top w:val="none" w:sz="0" w:space="0" w:color="auto"/>
        <w:left w:val="none" w:sz="0" w:space="0" w:color="auto"/>
        <w:bottom w:val="none" w:sz="0" w:space="0" w:color="auto"/>
        <w:right w:val="none" w:sz="0" w:space="0" w:color="auto"/>
      </w:divBdr>
    </w:div>
    <w:div w:id="1644042593">
      <w:bodyDiv w:val="1"/>
      <w:marLeft w:val="0"/>
      <w:marRight w:val="0"/>
      <w:marTop w:val="0"/>
      <w:marBottom w:val="0"/>
      <w:divBdr>
        <w:top w:val="none" w:sz="0" w:space="0" w:color="auto"/>
        <w:left w:val="none" w:sz="0" w:space="0" w:color="auto"/>
        <w:bottom w:val="none" w:sz="0" w:space="0" w:color="auto"/>
        <w:right w:val="none" w:sz="0" w:space="0" w:color="auto"/>
      </w:divBdr>
    </w:div>
    <w:div w:id="1659917202">
      <w:bodyDiv w:val="1"/>
      <w:marLeft w:val="0"/>
      <w:marRight w:val="0"/>
      <w:marTop w:val="0"/>
      <w:marBottom w:val="0"/>
      <w:divBdr>
        <w:top w:val="none" w:sz="0" w:space="0" w:color="auto"/>
        <w:left w:val="none" w:sz="0" w:space="0" w:color="auto"/>
        <w:bottom w:val="none" w:sz="0" w:space="0" w:color="auto"/>
        <w:right w:val="none" w:sz="0" w:space="0" w:color="auto"/>
      </w:divBdr>
    </w:div>
    <w:div w:id="1667323026">
      <w:bodyDiv w:val="1"/>
      <w:marLeft w:val="0"/>
      <w:marRight w:val="0"/>
      <w:marTop w:val="0"/>
      <w:marBottom w:val="0"/>
      <w:divBdr>
        <w:top w:val="none" w:sz="0" w:space="0" w:color="auto"/>
        <w:left w:val="none" w:sz="0" w:space="0" w:color="auto"/>
        <w:bottom w:val="none" w:sz="0" w:space="0" w:color="auto"/>
        <w:right w:val="none" w:sz="0" w:space="0" w:color="auto"/>
      </w:divBdr>
    </w:div>
    <w:div w:id="1675496122">
      <w:bodyDiv w:val="1"/>
      <w:marLeft w:val="0"/>
      <w:marRight w:val="0"/>
      <w:marTop w:val="0"/>
      <w:marBottom w:val="0"/>
      <w:divBdr>
        <w:top w:val="none" w:sz="0" w:space="0" w:color="auto"/>
        <w:left w:val="none" w:sz="0" w:space="0" w:color="auto"/>
        <w:bottom w:val="none" w:sz="0" w:space="0" w:color="auto"/>
        <w:right w:val="none" w:sz="0" w:space="0" w:color="auto"/>
      </w:divBdr>
    </w:div>
    <w:div w:id="1678074320">
      <w:bodyDiv w:val="1"/>
      <w:marLeft w:val="0"/>
      <w:marRight w:val="0"/>
      <w:marTop w:val="0"/>
      <w:marBottom w:val="0"/>
      <w:divBdr>
        <w:top w:val="none" w:sz="0" w:space="0" w:color="auto"/>
        <w:left w:val="none" w:sz="0" w:space="0" w:color="auto"/>
        <w:bottom w:val="none" w:sz="0" w:space="0" w:color="auto"/>
        <w:right w:val="none" w:sz="0" w:space="0" w:color="auto"/>
      </w:divBdr>
    </w:div>
    <w:div w:id="1681077338">
      <w:bodyDiv w:val="1"/>
      <w:marLeft w:val="0"/>
      <w:marRight w:val="0"/>
      <w:marTop w:val="0"/>
      <w:marBottom w:val="0"/>
      <w:divBdr>
        <w:top w:val="none" w:sz="0" w:space="0" w:color="auto"/>
        <w:left w:val="none" w:sz="0" w:space="0" w:color="auto"/>
        <w:bottom w:val="none" w:sz="0" w:space="0" w:color="auto"/>
        <w:right w:val="none" w:sz="0" w:space="0" w:color="auto"/>
      </w:divBdr>
    </w:div>
    <w:div w:id="1682660746">
      <w:bodyDiv w:val="1"/>
      <w:marLeft w:val="0"/>
      <w:marRight w:val="0"/>
      <w:marTop w:val="0"/>
      <w:marBottom w:val="0"/>
      <w:divBdr>
        <w:top w:val="none" w:sz="0" w:space="0" w:color="auto"/>
        <w:left w:val="none" w:sz="0" w:space="0" w:color="auto"/>
        <w:bottom w:val="none" w:sz="0" w:space="0" w:color="auto"/>
        <w:right w:val="none" w:sz="0" w:space="0" w:color="auto"/>
      </w:divBdr>
    </w:div>
    <w:div w:id="1682734793">
      <w:bodyDiv w:val="1"/>
      <w:marLeft w:val="0"/>
      <w:marRight w:val="0"/>
      <w:marTop w:val="0"/>
      <w:marBottom w:val="0"/>
      <w:divBdr>
        <w:top w:val="none" w:sz="0" w:space="0" w:color="auto"/>
        <w:left w:val="none" w:sz="0" w:space="0" w:color="auto"/>
        <w:bottom w:val="none" w:sz="0" w:space="0" w:color="auto"/>
        <w:right w:val="none" w:sz="0" w:space="0" w:color="auto"/>
      </w:divBdr>
    </w:div>
    <w:div w:id="1683699555">
      <w:bodyDiv w:val="1"/>
      <w:marLeft w:val="0"/>
      <w:marRight w:val="0"/>
      <w:marTop w:val="0"/>
      <w:marBottom w:val="0"/>
      <w:divBdr>
        <w:top w:val="none" w:sz="0" w:space="0" w:color="auto"/>
        <w:left w:val="none" w:sz="0" w:space="0" w:color="auto"/>
        <w:bottom w:val="none" w:sz="0" w:space="0" w:color="auto"/>
        <w:right w:val="none" w:sz="0" w:space="0" w:color="auto"/>
      </w:divBdr>
    </w:div>
    <w:div w:id="1694188453">
      <w:bodyDiv w:val="1"/>
      <w:marLeft w:val="0"/>
      <w:marRight w:val="0"/>
      <w:marTop w:val="0"/>
      <w:marBottom w:val="0"/>
      <w:divBdr>
        <w:top w:val="none" w:sz="0" w:space="0" w:color="auto"/>
        <w:left w:val="none" w:sz="0" w:space="0" w:color="auto"/>
        <w:bottom w:val="none" w:sz="0" w:space="0" w:color="auto"/>
        <w:right w:val="none" w:sz="0" w:space="0" w:color="auto"/>
      </w:divBdr>
    </w:div>
    <w:div w:id="1696421871">
      <w:bodyDiv w:val="1"/>
      <w:marLeft w:val="0"/>
      <w:marRight w:val="0"/>
      <w:marTop w:val="0"/>
      <w:marBottom w:val="0"/>
      <w:divBdr>
        <w:top w:val="none" w:sz="0" w:space="0" w:color="auto"/>
        <w:left w:val="none" w:sz="0" w:space="0" w:color="auto"/>
        <w:bottom w:val="none" w:sz="0" w:space="0" w:color="auto"/>
        <w:right w:val="none" w:sz="0" w:space="0" w:color="auto"/>
      </w:divBdr>
    </w:div>
    <w:div w:id="1706713469">
      <w:bodyDiv w:val="1"/>
      <w:marLeft w:val="0"/>
      <w:marRight w:val="0"/>
      <w:marTop w:val="0"/>
      <w:marBottom w:val="0"/>
      <w:divBdr>
        <w:top w:val="none" w:sz="0" w:space="0" w:color="auto"/>
        <w:left w:val="none" w:sz="0" w:space="0" w:color="auto"/>
        <w:bottom w:val="none" w:sz="0" w:space="0" w:color="auto"/>
        <w:right w:val="none" w:sz="0" w:space="0" w:color="auto"/>
      </w:divBdr>
    </w:div>
    <w:div w:id="1709914120">
      <w:bodyDiv w:val="1"/>
      <w:marLeft w:val="0"/>
      <w:marRight w:val="0"/>
      <w:marTop w:val="0"/>
      <w:marBottom w:val="0"/>
      <w:divBdr>
        <w:top w:val="none" w:sz="0" w:space="0" w:color="auto"/>
        <w:left w:val="none" w:sz="0" w:space="0" w:color="auto"/>
        <w:bottom w:val="none" w:sz="0" w:space="0" w:color="auto"/>
        <w:right w:val="none" w:sz="0" w:space="0" w:color="auto"/>
      </w:divBdr>
    </w:div>
    <w:div w:id="1733969330">
      <w:bodyDiv w:val="1"/>
      <w:marLeft w:val="0"/>
      <w:marRight w:val="0"/>
      <w:marTop w:val="0"/>
      <w:marBottom w:val="0"/>
      <w:divBdr>
        <w:top w:val="none" w:sz="0" w:space="0" w:color="auto"/>
        <w:left w:val="none" w:sz="0" w:space="0" w:color="auto"/>
        <w:bottom w:val="none" w:sz="0" w:space="0" w:color="auto"/>
        <w:right w:val="none" w:sz="0" w:space="0" w:color="auto"/>
      </w:divBdr>
    </w:div>
    <w:div w:id="1737699752">
      <w:bodyDiv w:val="1"/>
      <w:marLeft w:val="0"/>
      <w:marRight w:val="0"/>
      <w:marTop w:val="0"/>
      <w:marBottom w:val="0"/>
      <w:divBdr>
        <w:top w:val="none" w:sz="0" w:space="0" w:color="auto"/>
        <w:left w:val="none" w:sz="0" w:space="0" w:color="auto"/>
        <w:bottom w:val="none" w:sz="0" w:space="0" w:color="auto"/>
        <w:right w:val="none" w:sz="0" w:space="0" w:color="auto"/>
      </w:divBdr>
    </w:div>
    <w:div w:id="1740325629">
      <w:bodyDiv w:val="1"/>
      <w:marLeft w:val="0"/>
      <w:marRight w:val="0"/>
      <w:marTop w:val="0"/>
      <w:marBottom w:val="0"/>
      <w:divBdr>
        <w:top w:val="none" w:sz="0" w:space="0" w:color="auto"/>
        <w:left w:val="none" w:sz="0" w:space="0" w:color="auto"/>
        <w:bottom w:val="none" w:sz="0" w:space="0" w:color="auto"/>
        <w:right w:val="none" w:sz="0" w:space="0" w:color="auto"/>
      </w:divBdr>
    </w:div>
    <w:div w:id="1742799559">
      <w:bodyDiv w:val="1"/>
      <w:marLeft w:val="0"/>
      <w:marRight w:val="0"/>
      <w:marTop w:val="0"/>
      <w:marBottom w:val="0"/>
      <w:divBdr>
        <w:top w:val="none" w:sz="0" w:space="0" w:color="auto"/>
        <w:left w:val="none" w:sz="0" w:space="0" w:color="auto"/>
        <w:bottom w:val="none" w:sz="0" w:space="0" w:color="auto"/>
        <w:right w:val="none" w:sz="0" w:space="0" w:color="auto"/>
      </w:divBdr>
    </w:div>
    <w:div w:id="1752579216">
      <w:bodyDiv w:val="1"/>
      <w:marLeft w:val="0"/>
      <w:marRight w:val="0"/>
      <w:marTop w:val="0"/>
      <w:marBottom w:val="0"/>
      <w:divBdr>
        <w:top w:val="none" w:sz="0" w:space="0" w:color="auto"/>
        <w:left w:val="none" w:sz="0" w:space="0" w:color="auto"/>
        <w:bottom w:val="none" w:sz="0" w:space="0" w:color="auto"/>
        <w:right w:val="none" w:sz="0" w:space="0" w:color="auto"/>
      </w:divBdr>
    </w:div>
    <w:div w:id="1753967816">
      <w:bodyDiv w:val="1"/>
      <w:marLeft w:val="0"/>
      <w:marRight w:val="0"/>
      <w:marTop w:val="0"/>
      <w:marBottom w:val="0"/>
      <w:divBdr>
        <w:top w:val="none" w:sz="0" w:space="0" w:color="auto"/>
        <w:left w:val="none" w:sz="0" w:space="0" w:color="auto"/>
        <w:bottom w:val="none" w:sz="0" w:space="0" w:color="auto"/>
        <w:right w:val="none" w:sz="0" w:space="0" w:color="auto"/>
      </w:divBdr>
    </w:div>
    <w:div w:id="1759252215">
      <w:bodyDiv w:val="1"/>
      <w:marLeft w:val="0"/>
      <w:marRight w:val="0"/>
      <w:marTop w:val="0"/>
      <w:marBottom w:val="0"/>
      <w:divBdr>
        <w:top w:val="none" w:sz="0" w:space="0" w:color="auto"/>
        <w:left w:val="none" w:sz="0" w:space="0" w:color="auto"/>
        <w:bottom w:val="none" w:sz="0" w:space="0" w:color="auto"/>
        <w:right w:val="none" w:sz="0" w:space="0" w:color="auto"/>
      </w:divBdr>
    </w:div>
    <w:div w:id="1767186120">
      <w:bodyDiv w:val="1"/>
      <w:marLeft w:val="0"/>
      <w:marRight w:val="0"/>
      <w:marTop w:val="0"/>
      <w:marBottom w:val="0"/>
      <w:divBdr>
        <w:top w:val="none" w:sz="0" w:space="0" w:color="auto"/>
        <w:left w:val="none" w:sz="0" w:space="0" w:color="auto"/>
        <w:bottom w:val="none" w:sz="0" w:space="0" w:color="auto"/>
        <w:right w:val="none" w:sz="0" w:space="0" w:color="auto"/>
      </w:divBdr>
    </w:div>
    <w:div w:id="1773473480">
      <w:bodyDiv w:val="1"/>
      <w:marLeft w:val="0"/>
      <w:marRight w:val="0"/>
      <w:marTop w:val="0"/>
      <w:marBottom w:val="0"/>
      <w:divBdr>
        <w:top w:val="none" w:sz="0" w:space="0" w:color="auto"/>
        <w:left w:val="none" w:sz="0" w:space="0" w:color="auto"/>
        <w:bottom w:val="none" w:sz="0" w:space="0" w:color="auto"/>
        <w:right w:val="none" w:sz="0" w:space="0" w:color="auto"/>
      </w:divBdr>
    </w:div>
    <w:div w:id="1779179670">
      <w:bodyDiv w:val="1"/>
      <w:marLeft w:val="0"/>
      <w:marRight w:val="0"/>
      <w:marTop w:val="0"/>
      <w:marBottom w:val="0"/>
      <w:divBdr>
        <w:top w:val="none" w:sz="0" w:space="0" w:color="auto"/>
        <w:left w:val="none" w:sz="0" w:space="0" w:color="auto"/>
        <w:bottom w:val="none" w:sz="0" w:space="0" w:color="auto"/>
        <w:right w:val="none" w:sz="0" w:space="0" w:color="auto"/>
      </w:divBdr>
    </w:div>
    <w:div w:id="1799494568">
      <w:bodyDiv w:val="1"/>
      <w:marLeft w:val="0"/>
      <w:marRight w:val="0"/>
      <w:marTop w:val="0"/>
      <w:marBottom w:val="0"/>
      <w:divBdr>
        <w:top w:val="none" w:sz="0" w:space="0" w:color="auto"/>
        <w:left w:val="none" w:sz="0" w:space="0" w:color="auto"/>
        <w:bottom w:val="none" w:sz="0" w:space="0" w:color="auto"/>
        <w:right w:val="none" w:sz="0" w:space="0" w:color="auto"/>
      </w:divBdr>
    </w:div>
    <w:div w:id="1802114429">
      <w:bodyDiv w:val="1"/>
      <w:marLeft w:val="0"/>
      <w:marRight w:val="0"/>
      <w:marTop w:val="0"/>
      <w:marBottom w:val="0"/>
      <w:divBdr>
        <w:top w:val="none" w:sz="0" w:space="0" w:color="auto"/>
        <w:left w:val="none" w:sz="0" w:space="0" w:color="auto"/>
        <w:bottom w:val="none" w:sz="0" w:space="0" w:color="auto"/>
        <w:right w:val="none" w:sz="0" w:space="0" w:color="auto"/>
      </w:divBdr>
    </w:div>
    <w:div w:id="1826971918">
      <w:bodyDiv w:val="1"/>
      <w:marLeft w:val="0"/>
      <w:marRight w:val="0"/>
      <w:marTop w:val="0"/>
      <w:marBottom w:val="0"/>
      <w:divBdr>
        <w:top w:val="none" w:sz="0" w:space="0" w:color="auto"/>
        <w:left w:val="none" w:sz="0" w:space="0" w:color="auto"/>
        <w:bottom w:val="none" w:sz="0" w:space="0" w:color="auto"/>
        <w:right w:val="none" w:sz="0" w:space="0" w:color="auto"/>
      </w:divBdr>
    </w:div>
    <w:div w:id="1828205306">
      <w:bodyDiv w:val="1"/>
      <w:marLeft w:val="0"/>
      <w:marRight w:val="0"/>
      <w:marTop w:val="0"/>
      <w:marBottom w:val="0"/>
      <w:divBdr>
        <w:top w:val="none" w:sz="0" w:space="0" w:color="auto"/>
        <w:left w:val="none" w:sz="0" w:space="0" w:color="auto"/>
        <w:bottom w:val="none" w:sz="0" w:space="0" w:color="auto"/>
        <w:right w:val="none" w:sz="0" w:space="0" w:color="auto"/>
      </w:divBdr>
    </w:div>
    <w:div w:id="1850294787">
      <w:bodyDiv w:val="1"/>
      <w:marLeft w:val="0"/>
      <w:marRight w:val="0"/>
      <w:marTop w:val="0"/>
      <w:marBottom w:val="0"/>
      <w:divBdr>
        <w:top w:val="none" w:sz="0" w:space="0" w:color="auto"/>
        <w:left w:val="none" w:sz="0" w:space="0" w:color="auto"/>
        <w:bottom w:val="none" w:sz="0" w:space="0" w:color="auto"/>
        <w:right w:val="none" w:sz="0" w:space="0" w:color="auto"/>
      </w:divBdr>
    </w:div>
    <w:div w:id="1858275379">
      <w:bodyDiv w:val="1"/>
      <w:marLeft w:val="0"/>
      <w:marRight w:val="0"/>
      <w:marTop w:val="0"/>
      <w:marBottom w:val="0"/>
      <w:divBdr>
        <w:top w:val="none" w:sz="0" w:space="0" w:color="auto"/>
        <w:left w:val="none" w:sz="0" w:space="0" w:color="auto"/>
        <w:bottom w:val="none" w:sz="0" w:space="0" w:color="auto"/>
        <w:right w:val="none" w:sz="0" w:space="0" w:color="auto"/>
      </w:divBdr>
    </w:div>
    <w:div w:id="1863321881">
      <w:bodyDiv w:val="1"/>
      <w:marLeft w:val="0"/>
      <w:marRight w:val="0"/>
      <w:marTop w:val="0"/>
      <w:marBottom w:val="0"/>
      <w:divBdr>
        <w:top w:val="none" w:sz="0" w:space="0" w:color="auto"/>
        <w:left w:val="none" w:sz="0" w:space="0" w:color="auto"/>
        <w:bottom w:val="none" w:sz="0" w:space="0" w:color="auto"/>
        <w:right w:val="none" w:sz="0" w:space="0" w:color="auto"/>
      </w:divBdr>
    </w:div>
    <w:div w:id="1865749798">
      <w:bodyDiv w:val="1"/>
      <w:marLeft w:val="0"/>
      <w:marRight w:val="0"/>
      <w:marTop w:val="0"/>
      <w:marBottom w:val="0"/>
      <w:divBdr>
        <w:top w:val="none" w:sz="0" w:space="0" w:color="auto"/>
        <w:left w:val="none" w:sz="0" w:space="0" w:color="auto"/>
        <w:bottom w:val="none" w:sz="0" w:space="0" w:color="auto"/>
        <w:right w:val="none" w:sz="0" w:space="0" w:color="auto"/>
      </w:divBdr>
    </w:div>
    <w:div w:id="1866669094">
      <w:bodyDiv w:val="1"/>
      <w:marLeft w:val="0"/>
      <w:marRight w:val="0"/>
      <w:marTop w:val="0"/>
      <w:marBottom w:val="0"/>
      <w:divBdr>
        <w:top w:val="none" w:sz="0" w:space="0" w:color="auto"/>
        <w:left w:val="none" w:sz="0" w:space="0" w:color="auto"/>
        <w:bottom w:val="none" w:sz="0" w:space="0" w:color="auto"/>
        <w:right w:val="none" w:sz="0" w:space="0" w:color="auto"/>
      </w:divBdr>
    </w:div>
    <w:div w:id="1868328328">
      <w:bodyDiv w:val="1"/>
      <w:marLeft w:val="0"/>
      <w:marRight w:val="0"/>
      <w:marTop w:val="0"/>
      <w:marBottom w:val="0"/>
      <w:divBdr>
        <w:top w:val="none" w:sz="0" w:space="0" w:color="auto"/>
        <w:left w:val="none" w:sz="0" w:space="0" w:color="auto"/>
        <w:bottom w:val="none" w:sz="0" w:space="0" w:color="auto"/>
        <w:right w:val="none" w:sz="0" w:space="0" w:color="auto"/>
      </w:divBdr>
    </w:div>
    <w:div w:id="1870795939">
      <w:bodyDiv w:val="1"/>
      <w:marLeft w:val="0"/>
      <w:marRight w:val="0"/>
      <w:marTop w:val="0"/>
      <w:marBottom w:val="0"/>
      <w:divBdr>
        <w:top w:val="none" w:sz="0" w:space="0" w:color="auto"/>
        <w:left w:val="none" w:sz="0" w:space="0" w:color="auto"/>
        <w:bottom w:val="none" w:sz="0" w:space="0" w:color="auto"/>
        <w:right w:val="none" w:sz="0" w:space="0" w:color="auto"/>
      </w:divBdr>
    </w:div>
    <w:div w:id="1882740283">
      <w:bodyDiv w:val="1"/>
      <w:marLeft w:val="0"/>
      <w:marRight w:val="0"/>
      <w:marTop w:val="0"/>
      <w:marBottom w:val="0"/>
      <w:divBdr>
        <w:top w:val="none" w:sz="0" w:space="0" w:color="auto"/>
        <w:left w:val="none" w:sz="0" w:space="0" w:color="auto"/>
        <w:bottom w:val="none" w:sz="0" w:space="0" w:color="auto"/>
        <w:right w:val="none" w:sz="0" w:space="0" w:color="auto"/>
      </w:divBdr>
    </w:div>
    <w:div w:id="1889759266">
      <w:bodyDiv w:val="1"/>
      <w:marLeft w:val="0"/>
      <w:marRight w:val="0"/>
      <w:marTop w:val="0"/>
      <w:marBottom w:val="0"/>
      <w:divBdr>
        <w:top w:val="none" w:sz="0" w:space="0" w:color="auto"/>
        <w:left w:val="none" w:sz="0" w:space="0" w:color="auto"/>
        <w:bottom w:val="none" w:sz="0" w:space="0" w:color="auto"/>
        <w:right w:val="none" w:sz="0" w:space="0" w:color="auto"/>
      </w:divBdr>
    </w:div>
    <w:div w:id="1891184967">
      <w:bodyDiv w:val="1"/>
      <w:marLeft w:val="0"/>
      <w:marRight w:val="0"/>
      <w:marTop w:val="0"/>
      <w:marBottom w:val="0"/>
      <w:divBdr>
        <w:top w:val="none" w:sz="0" w:space="0" w:color="auto"/>
        <w:left w:val="none" w:sz="0" w:space="0" w:color="auto"/>
        <w:bottom w:val="none" w:sz="0" w:space="0" w:color="auto"/>
        <w:right w:val="none" w:sz="0" w:space="0" w:color="auto"/>
      </w:divBdr>
    </w:div>
    <w:div w:id="1899129108">
      <w:bodyDiv w:val="1"/>
      <w:marLeft w:val="0"/>
      <w:marRight w:val="0"/>
      <w:marTop w:val="0"/>
      <w:marBottom w:val="0"/>
      <w:divBdr>
        <w:top w:val="none" w:sz="0" w:space="0" w:color="auto"/>
        <w:left w:val="none" w:sz="0" w:space="0" w:color="auto"/>
        <w:bottom w:val="none" w:sz="0" w:space="0" w:color="auto"/>
        <w:right w:val="none" w:sz="0" w:space="0" w:color="auto"/>
      </w:divBdr>
    </w:div>
    <w:div w:id="1910722349">
      <w:bodyDiv w:val="1"/>
      <w:marLeft w:val="0"/>
      <w:marRight w:val="0"/>
      <w:marTop w:val="0"/>
      <w:marBottom w:val="0"/>
      <w:divBdr>
        <w:top w:val="none" w:sz="0" w:space="0" w:color="auto"/>
        <w:left w:val="none" w:sz="0" w:space="0" w:color="auto"/>
        <w:bottom w:val="none" w:sz="0" w:space="0" w:color="auto"/>
        <w:right w:val="none" w:sz="0" w:space="0" w:color="auto"/>
      </w:divBdr>
    </w:div>
    <w:div w:id="1914582136">
      <w:bodyDiv w:val="1"/>
      <w:marLeft w:val="0"/>
      <w:marRight w:val="0"/>
      <w:marTop w:val="0"/>
      <w:marBottom w:val="0"/>
      <w:divBdr>
        <w:top w:val="none" w:sz="0" w:space="0" w:color="auto"/>
        <w:left w:val="none" w:sz="0" w:space="0" w:color="auto"/>
        <w:bottom w:val="none" w:sz="0" w:space="0" w:color="auto"/>
        <w:right w:val="none" w:sz="0" w:space="0" w:color="auto"/>
      </w:divBdr>
    </w:div>
    <w:div w:id="1918324614">
      <w:bodyDiv w:val="1"/>
      <w:marLeft w:val="0"/>
      <w:marRight w:val="0"/>
      <w:marTop w:val="0"/>
      <w:marBottom w:val="0"/>
      <w:divBdr>
        <w:top w:val="none" w:sz="0" w:space="0" w:color="auto"/>
        <w:left w:val="none" w:sz="0" w:space="0" w:color="auto"/>
        <w:bottom w:val="none" w:sz="0" w:space="0" w:color="auto"/>
        <w:right w:val="none" w:sz="0" w:space="0" w:color="auto"/>
      </w:divBdr>
    </w:div>
    <w:div w:id="1920558507">
      <w:bodyDiv w:val="1"/>
      <w:marLeft w:val="0"/>
      <w:marRight w:val="0"/>
      <w:marTop w:val="0"/>
      <w:marBottom w:val="0"/>
      <w:divBdr>
        <w:top w:val="none" w:sz="0" w:space="0" w:color="auto"/>
        <w:left w:val="none" w:sz="0" w:space="0" w:color="auto"/>
        <w:bottom w:val="none" w:sz="0" w:space="0" w:color="auto"/>
        <w:right w:val="none" w:sz="0" w:space="0" w:color="auto"/>
      </w:divBdr>
    </w:div>
    <w:div w:id="1922173333">
      <w:bodyDiv w:val="1"/>
      <w:marLeft w:val="0"/>
      <w:marRight w:val="0"/>
      <w:marTop w:val="0"/>
      <w:marBottom w:val="0"/>
      <w:divBdr>
        <w:top w:val="none" w:sz="0" w:space="0" w:color="auto"/>
        <w:left w:val="none" w:sz="0" w:space="0" w:color="auto"/>
        <w:bottom w:val="none" w:sz="0" w:space="0" w:color="auto"/>
        <w:right w:val="none" w:sz="0" w:space="0" w:color="auto"/>
      </w:divBdr>
    </w:div>
    <w:div w:id="1922912144">
      <w:bodyDiv w:val="1"/>
      <w:marLeft w:val="0"/>
      <w:marRight w:val="0"/>
      <w:marTop w:val="0"/>
      <w:marBottom w:val="0"/>
      <w:divBdr>
        <w:top w:val="none" w:sz="0" w:space="0" w:color="auto"/>
        <w:left w:val="none" w:sz="0" w:space="0" w:color="auto"/>
        <w:bottom w:val="none" w:sz="0" w:space="0" w:color="auto"/>
        <w:right w:val="none" w:sz="0" w:space="0" w:color="auto"/>
      </w:divBdr>
    </w:div>
    <w:div w:id="1930648951">
      <w:bodyDiv w:val="1"/>
      <w:marLeft w:val="0"/>
      <w:marRight w:val="0"/>
      <w:marTop w:val="0"/>
      <w:marBottom w:val="0"/>
      <w:divBdr>
        <w:top w:val="none" w:sz="0" w:space="0" w:color="auto"/>
        <w:left w:val="none" w:sz="0" w:space="0" w:color="auto"/>
        <w:bottom w:val="none" w:sz="0" w:space="0" w:color="auto"/>
        <w:right w:val="none" w:sz="0" w:space="0" w:color="auto"/>
      </w:divBdr>
    </w:div>
    <w:div w:id="1933662557">
      <w:bodyDiv w:val="1"/>
      <w:marLeft w:val="0"/>
      <w:marRight w:val="0"/>
      <w:marTop w:val="0"/>
      <w:marBottom w:val="0"/>
      <w:divBdr>
        <w:top w:val="none" w:sz="0" w:space="0" w:color="auto"/>
        <w:left w:val="none" w:sz="0" w:space="0" w:color="auto"/>
        <w:bottom w:val="none" w:sz="0" w:space="0" w:color="auto"/>
        <w:right w:val="none" w:sz="0" w:space="0" w:color="auto"/>
      </w:divBdr>
    </w:div>
    <w:div w:id="1941329381">
      <w:bodyDiv w:val="1"/>
      <w:marLeft w:val="0"/>
      <w:marRight w:val="0"/>
      <w:marTop w:val="0"/>
      <w:marBottom w:val="0"/>
      <w:divBdr>
        <w:top w:val="none" w:sz="0" w:space="0" w:color="auto"/>
        <w:left w:val="none" w:sz="0" w:space="0" w:color="auto"/>
        <w:bottom w:val="none" w:sz="0" w:space="0" w:color="auto"/>
        <w:right w:val="none" w:sz="0" w:space="0" w:color="auto"/>
      </w:divBdr>
    </w:div>
    <w:div w:id="1942102040">
      <w:bodyDiv w:val="1"/>
      <w:marLeft w:val="0"/>
      <w:marRight w:val="0"/>
      <w:marTop w:val="0"/>
      <w:marBottom w:val="0"/>
      <w:divBdr>
        <w:top w:val="none" w:sz="0" w:space="0" w:color="auto"/>
        <w:left w:val="none" w:sz="0" w:space="0" w:color="auto"/>
        <w:bottom w:val="none" w:sz="0" w:space="0" w:color="auto"/>
        <w:right w:val="none" w:sz="0" w:space="0" w:color="auto"/>
      </w:divBdr>
    </w:div>
    <w:div w:id="1944455290">
      <w:bodyDiv w:val="1"/>
      <w:marLeft w:val="0"/>
      <w:marRight w:val="0"/>
      <w:marTop w:val="0"/>
      <w:marBottom w:val="0"/>
      <w:divBdr>
        <w:top w:val="none" w:sz="0" w:space="0" w:color="auto"/>
        <w:left w:val="none" w:sz="0" w:space="0" w:color="auto"/>
        <w:bottom w:val="none" w:sz="0" w:space="0" w:color="auto"/>
        <w:right w:val="none" w:sz="0" w:space="0" w:color="auto"/>
      </w:divBdr>
    </w:div>
    <w:div w:id="1950966682">
      <w:bodyDiv w:val="1"/>
      <w:marLeft w:val="0"/>
      <w:marRight w:val="0"/>
      <w:marTop w:val="0"/>
      <w:marBottom w:val="0"/>
      <w:divBdr>
        <w:top w:val="none" w:sz="0" w:space="0" w:color="auto"/>
        <w:left w:val="none" w:sz="0" w:space="0" w:color="auto"/>
        <w:bottom w:val="none" w:sz="0" w:space="0" w:color="auto"/>
        <w:right w:val="none" w:sz="0" w:space="0" w:color="auto"/>
      </w:divBdr>
    </w:div>
    <w:div w:id="1952590634">
      <w:bodyDiv w:val="1"/>
      <w:marLeft w:val="0"/>
      <w:marRight w:val="0"/>
      <w:marTop w:val="0"/>
      <w:marBottom w:val="0"/>
      <w:divBdr>
        <w:top w:val="none" w:sz="0" w:space="0" w:color="auto"/>
        <w:left w:val="none" w:sz="0" w:space="0" w:color="auto"/>
        <w:bottom w:val="none" w:sz="0" w:space="0" w:color="auto"/>
        <w:right w:val="none" w:sz="0" w:space="0" w:color="auto"/>
      </w:divBdr>
    </w:div>
    <w:div w:id="1956011591">
      <w:bodyDiv w:val="1"/>
      <w:marLeft w:val="0"/>
      <w:marRight w:val="0"/>
      <w:marTop w:val="0"/>
      <w:marBottom w:val="0"/>
      <w:divBdr>
        <w:top w:val="none" w:sz="0" w:space="0" w:color="auto"/>
        <w:left w:val="none" w:sz="0" w:space="0" w:color="auto"/>
        <w:bottom w:val="none" w:sz="0" w:space="0" w:color="auto"/>
        <w:right w:val="none" w:sz="0" w:space="0" w:color="auto"/>
      </w:divBdr>
    </w:div>
    <w:div w:id="1956477250">
      <w:bodyDiv w:val="1"/>
      <w:marLeft w:val="0"/>
      <w:marRight w:val="0"/>
      <w:marTop w:val="0"/>
      <w:marBottom w:val="0"/>
      <w:divBdr>
        <w:top w:val="none" w:sz="0" w:space="0" w:color="auto"/>
        <w:left w:val="none" w:sz="0" w:space="0" w:color="auto"/>
        <w:bottom w:val="none" w:sz="0" w:space="0" w:color="auto"/>
        <w:right w:val="none" w:sz="0" w:space="0" w:color="auto"/>
      </w:divBdr>
    </w:div>
    <w:div w:id="1961372917">
      <w:bodyDiv w:val="1"/>
      <w:marLeft w:val="0"/>
      <w:marRight w:val="0"/>
      <w:marTop w:val="0"/>
      <w:marBottom w:val="0"/>
      <w:divBdr>
        <w:top w:val="none" w:sz="0" w:space="0" w:color="auto"/>
        <w:left w:val="none" w:sz="0" w:space="0" w:color="auto"/>
        <w:bottom w:val="none" w:sz="0" w:space="0" w:color="auto"/>
        <w:right w:val="none" w:sz="0" w:space="0" w:color="auto"/>
      </w:divBdr>
    </w:div>
    <w:div w:id="1961765161">
      <w:bodyDiv w:val="1"/>
      <w:marLeft w:val="0"/>
      <w:marRight w:val="0"/>
      <w:marTop w:val="0"/>
      <w:marBottom w:val="0"/>
      <w:divBdr>
        <w:top w:val="none" w:sz="0" w:space="0" w:color="auto"/>
        <w:left w:val="none" w:sz="0" w:space="0" w:color="auto"/>
        <w:bottom w:val="none" w:sz="0" w:space="0" w:color="auto"/>
        <w:right w:val="none" w:sz="0" w:space="0" w:color="auto"/>
      </w:divBdr>
    </w:div>
    <w:div w:id="1967202601">
      <w:bodyDiv w:val="1"/>
      <w:marLeft w:val="0"/>
      <w:marRight w:val="0"/>
      <w:marTop w:val="0"/>
      <w:marBottom w:val="0"/>
      <w:divBdr>
        <w:top w:val="none" w:sz="0" w:space="0" w:color="auto"/>
        <w:left w:val="none" w:sz="0" w:space="0" w:color="auto"/>
        <w:bottom w:val="none" w:sz="0" w:space="0" w:color="auto"/>
        <w:right w:val="none" w:sz="0" w:space="0" w:color="auto"/>
      </w:divBdr>
    </w:div>
    <w:div w:id="1970669164">
      <w:bodyDiv w:val="1"/>
      <w:marLeft w:val="0"/>
      <w:marRight w:val="0"/>
      <w:marTop w:val="0"/>
      <w:marBottom w:val="0"/>
      <w:divBdr>
        <w:top w:val="none" w:sz="0" w:space="0" w:color="auto"/>
        <w:left w:val="none" w:sz="0" w:space="0" w:color="auto"/>
        <w:bottom w:val="none" w:sz="0" w:space="0" w:color="auto"/>
        <w:right w:val="none" w:sz="0" w:space="0" w:color="auto"/>
      </w:divBdr>
    </w:div>
    <w:div w:id="1974024152">
      <w:bodyDiv w:val="1"/>
      <w:marLeft w:val="0"/>
      <w:marRight w:val="0"/>
      <w:marTop w:val="0"/>
      <w:marBottom w:val="0"/>
      <w:divBdr>
        <w:top w:val="none" w:sz="0" w:space="0" w:color="auto"/>
        <w:left w:val="none" w:sz="0" w:space="0" w:color="auto"/>
        <w:bottom w:val="none" w:sz="0" w:space="0" w:color="auto"/>
        <w:right w:val="none" w:sz="0" w:space="0" w:color="auto"/>
      </w:divBdr>
    </w:div>
    <w:div w:id="1974946179">
      <w:bodyDiv w:val="1"/>
      <w:marLeft w:val="0"/>
      <w:marRight w:val="0"/>
      <w:marTop w:val="0"/>
      <w:marBottom w:val="0"/>
      <w:divBdr>
        <w:top w:val="none" w:sz="0" w:space="0" w:color="auto"/>
        <w:left w:val="none" w:sz="0" w:space="0" w:color="auto"/>
        <w:bottom w:val="none" w:sz="0" w:space="0" w:color="auto"/>
        <w:right w:val="none" w:sz="0" w:space="0" w:color="auto"/>
      </w:divBdr>
    </w:div>
    <w:div w:id="1982953896">
      <w:bodyDiv w:val="1"/>
      <w:marLeft w:val="0"/>
      <w:marRight w:val="0"/>
      <w:marTop w:val="0"/>
      <w:marBottom w:val="0"/>
      <w:divBdr>
        <w:top w:val="none" w:sz="0" w:space="0" w:color="auto"/>
        <w:left w:val="none" w:sz="0" w:space="0" w:color="auto"/>
        <w:bottom w:val="none" w:sz="0" w:space="0" w:color="auto"/>
        <w:right w:val="none" w:sz="0" w:space="0" w:color="auto"/>
      </w:divBdr>
    </w:div>
    <w:div w:id="1983075273">
      <w:bodyDiv w:val="1"/>
      <w:marLeft w:val="0"/>
      <w:marRight w:val="0"/>
      <w:marTop w:val="0"/>
      <w:marBottom w:val="0"/>
      <w:divBdr>
        <w:top w:val="none" w:sz="0" w:space="0" w:color="auto"/>
        <w:left w:val="none" w:sz="0" w:space="0" w:color="auto"/>
        <w:bottom w:val="none" w:sz="0" w:space="0" w:color="auto"/>
        <w:right w:val="none" w:sz="0" w:space="0" w:color="auto"/>
      </w:divBdr>
    </w:div>
    <w:div w:id="1984233725">
      <w:bodyDiv w:val="1"/>
      <w:marLeft w:val="0"/>
      <w:marRight w:val="0"/>
      <w:marTop w:val="0"/>
      <w:marBottom w:val="0"/>
      <w:divBdr>
        <w:top w:val="none" w:sz="0" w:space="0" w:color="auto"/>
        <w:left w:val="none" w:sz="0" w:space="0" w:color="auto"/>
        <w:bottom w:val="none" w:sz="0" w:space="0" w:color="auto"/>
        <w:right w:val="none" w:sz="0" w:space="0" w:color="auto"/>
      </w:divBdr>
    </w:div>
    <w:div w:id="2008095234">
      <w:bodyDiv w:val="1"/>
      <w:marLeft w:val="0"/>
      <w:marRight w:val="0"/>
      <w:marTop w:val="0"/>
      <w:marBottom w:val="0"/>
      <w:divBdr>
        <w:top w:val="none" w:sz="0" w:space="0" w:color="auto"/>
        <w:left w:val="none" w:sz="0" w:space="0" w:color="auto"/>
        <w:bottom w:val="none" w:sz="0" w:space="0" w:color="auto"/>
        <w:right w:val="none" w:sz="0" w:space="0" w:color="auto"/>
      </w:divBdr>
    </w:div>
    <w:div w:id="2012097975">
      <w:bodyDiv w:val="1"/>
      <w:marLeft w:val="0"/>
      <w:marRight w:val="0"/>
      <w:marTop w:val="0"/>
      <w:marBottom w:val="0"/>
      <w:divBdr>
        <w:top w:val="none" w:sz="0" w:space="0" w:color="auto"/>
        <w:left w:val="none" w:sz="0" w:space="0" w:color="auto"/>
        <w:bottom w:val="none" w:sz="0" w:space="0" w:color="auto"/>
        <w:right w:val="none" w:sz="0" w:space="0" w:color="auto"/>
      </w:divBdr>
    </w:div>
    <w:div w:id="2018775093">
      <w:bodyDiv w:val="1"/>
      <w:marLeft w:val="0"/>
      <w:marRight w:val="0"/>
      <w:marTop w:val="0"/>
      <w:marBottom w:val="0"/>
      <w:divBdr>
        <w:top w:val="none" w:sz="0" w:space="0" w:color="auto"/>
        <w:left w:val="none" w:sz="0" w:space="0" w:color="auto"/>
        <w:bottom w:val="none" w:sz="0" w:space="0" w:color="auto"/>
        <w:right w:val="none" w:sz="0" w:space="0" w:color="auto"/>
      </w:divBdr>
    </w:div>
    <w:div w:id="2021858039">
      <w:bodyDiv w:val="1"/>
      <w:marLeft w:val="0"/>
      <w:marRight w:val="0"/>
      <w:marTop w:val="0"/>
      <w:marBottom w:val="0"/>
      <w:divBdr>
        <w:top w:val="none" w:sz="0" w:space="0" w:color="auto"/>
        <w:left w:val="none" w:sz="0" w:space="0" w:color="auto"/>
        <w:bottom w:val="none" w:sz="0" w:space="0" w:color="auto"/>
        <w:right w:val="none" w:sz="0" w:space="0" w:color="auto"/>
      </w:divBdr>
    </w:div>
    <w:div w:id="2026243879">
      <w:bodyDiv w:val="1"/>
      <w:marLeft w:val="0"/>
      <w:marRight w:val="0"/>
      <w:marTop w:val="0"/>
      <w:marBottom w:val="0"/>
      <w:divBdr>
        <w:top w:val="none" w:sz="0" w:space="0" w:color="auto"/>
        <w:left w:val="none" w:sz="0" w:space="0" w:color="auto"/>
        <w:bottom w:val="none" w:sz="0" w:space="0" w:color="auto"/>
        <w:right w:val="none" w:sz="0" w:space="0" w:color="auto"/>
      </w:divBdr>
    </w:div>
    <w:div w:id="2027367531">
      <w:bodyDiv w:val="1"/>
      <w:marLeft w:val="0"/>
      <w:marRight w:val="0"/>
      <w:marTop w:val="0"/>
      <w:marBottom w:val="0"/>
      <w:divBdr>
        <w:top w:val="none" w:sz="0" w:space="0" w:color="auto"/>
        <w:left w:val="none" w:sz="0" w:space="0" w:color="auto"/>
        <w:bottom w:val="none" w:sz="0" w:space="0" w:color="auto"/>
        <w:right w:val="none" w:sz="0" w:space="0" w:color="auto"/>
      </w:divBdr>
    </w:div>
    <w:div w:id="2032412213">
      <w:bodyDiv w:val="1"/>
      <w:marLeft w:val="0"/>
      <w:marRight w:val="0"/>
      <w:marTop w:val="0"/>
      <w:marBottom w:val="0"/>
      <w:divBdr>
        <w:top w:val="none" w:sz="0" w:space="0" w:color="auto"/>
        <w:left w:val="none" w:sz="0" w:space="0" w:color="auto"/>
        <w:bottom w:val="none" w:sz="0" w:space="0" w:color="auto"/>
        <w:right w:val="none" w:sz="0" w:space="0" w:color="auto"/>
      </w:divBdr>
    </w:div>
    <w:div w:id="2035380870">
      <w:bodyDiv w:val="1"/>
      <w:marLeft w:val="0"/>
      <w:marRight w:val="0"/>
      <w:marTop w:val="0"/>
      <w:marBottom w:val="0"/>
      <w:divBdr>
        <w:top w:val="none" w:sz="0" w:space="0" w:color="auto"/>
        <w:left w:val="none" w:sz="0" w:space="0" w:color="auto"/>
        <w:bottom w:val="none" w:sz="0" w:space="0" w:color="auto"/>
        <w:right w:val="none" w:sz="0" w:space="0" w:color="auto"/>
      </w:divBdr>
    </w:div>
    <w:div w:id="2037080600">
      <w:bodyDiv w:val="1"/>
      <w:marLeft w:val="0"/>
      <w:marRight w:val="0"/>
      <w:marTop w:val="0"/>
      <w:marBottom w:val="0"/>
      <w:divBdr>
        <w:top w:val="none" w:sz="0" w:space="0" w:color="auto"/>
        <w:left w:val="none" w:sz="0" w:space="0" w:color="auto"/>
        <w:bottom w:val="none" w:sz="0" w:space="0" w:color="auto"/>
        <w:right w:val="none" w:sz="0" w:space="0" w:color="auto"/>
      </w:divBdr>
    </w:div>
    <w:div w:id="2038850451">
      <w:bodyDiv w:val="1"/>
      <w:marLeft w:val="0"/>
      <w:marRight w:val="0"/>
      <w:marTop w:val="0"/>
      <w:marBottom w:val="0"/>
      <w:divBdr>
        <w:top w:val="none" w:sz="0" w:space="0" w:color="auto"/>
        <w:left w:val="none" w:sz="0" w:space="0" w:color="auto"/>
        <w:bottom w:val="none" w:sz="0" w:space="0" w:color="auto"/>
        <w:right w:val="none" w:sz="0" w:space="0" w:color="auto"/>
      </w:divBdr>
    </w:div>
    <w:div w:id="2043241844">
      <w:bodyDiv w:val="1"/>
      <w:marLeft w:val="0"/>
      <w:marRight w:val="0"/>
      <w:marTop w:val="0"/>
      <w:marBottom w:val="0"/>
      <w:divBdr>
        <w:top w:val="none" w:sz="0" w:space="0" w:color="auto"/>
        <w:left w:val="none" w:sz="0" w:space="0" w:color="auto"/>
        <w:bottom w:val="none" w:sz="0" w:space="0" w:color="auto"/>
        <w:right w:val="none" w:sz="0" w:space="0" w:color="auto"/>
      </w:divBdr>
    </w:div>
    <w:div w:id="2045279811">
      <w:bodyDiv w:val="1"/>
      <w:marLeft w:val="0"/>
      <w:marRight w:val="0"/>
      <w:marTop w:val="0"/>
      <w:marBottom w:val="0"/>
      <w:divBdr>
        <w:top w:val="none" w:sz="0" w:space="0" w:color="auto"/>
        <w:left w:val="none" w:sz="0" w:space="0" w:color="auto"/>
        <w:bottom w:val="none" w:sz="0" w:space="0" w:color="auto"/>
        <w:right w:val="none" w:sz="0" w:space="0" w:color="auto"/>
      </w:divBdr>
    </w:div>
    <w:div w:id="2049257844">
      <w:bodyDiv w:val="1"/>
      <w:marLeft w:val="0"/>
      <w:marRight w:val="0"/>
      <w:marTop w:val="0"/>
      <w:marBottom w:val="0"/>
      <w:divBdr>
        <w:top w:val="none" w:sz="0" w:space="0" w:color="auto"/>
        <w:left w:val="none" w:sz="0" w:space="0" w:color="auto"/>
        <w:bottom w:val="none" w:sz="0" w:space="0" w:color="auto"/>
        <w:right w:val="none" w:sz="0" w:space="0" w:color="auto"/>
      </w:divBdr>
    </w:div>
    <w:div w:id="2052457793">
      <w:bodyDiv w:val="1"/>
      <w:marLeft w:val="0"/>
      <w:marRight w:val="0"/>
      <w:marTop w:val="0"/>
      <w:marBottom w:val="0"/>
      <w:divBdr>
        <w:top w:val="none" w:sz="0" w:space="0" w:color="auto"/>
        <w:left w:val="none" w:sz="0" w:space="0" w:color="auto"/>
        <w:bottom w:val="none" w:sz="0" w:space="0" w:color="auto"/>
        <w:right w:val="none" w:sz="0" w:space="0" w:color="auto"/>
      </w:divBdr>
    </w:div>
    <w:div w:id="2061896857">
      <w:bodyDiv w:val="1"/>
      <w:marLeft w:val="0"/>
      <w:marRight w:val="0"/>
      <w:marTop w:val="0"/>
      <w:marBottom w:val="0"/>
      <w:divBdr>
        <w:top w:val="none" w:sz="0" w:space="0" w:color="auto"/>
        <w:left w:val="none" w:sz="0" w:space="0" w:color="auto"/>
        <w:bottom w:val="none" w:sz="0" w:space="0" w:color="auto"/>
        <w:right w:val="none" w:sz="0" w:space="0" w:color="auto"/>
      </w:divBdr>
    </w:div>
    <w:div w:id="2066176240">
      <w:bodyDiv w:val="1"/>
      <w:marLeft w:val="0"/>
      <w:marRight w:val="0"/>
      <w:marTop w:val="0"/>
      <w:marBottom w:val="0"/>
      <w:divBdr>
        <w:top w:val="none" w:sz="0" w:space="0" w:color="auto"/>
        <w:left w:val="none" w:sz="0" w:space="0" w:color="auto"/>
        <w:bottom w:val="none" w:sz="0" w:space="0" w:color="auto"/>
        <w:right w:val="none" w:sz="0" w:space="0" w:color="auto"/>
      </w:divBdr>
    </w:div>
    <w:div w:id="2068140866">
      <w:bodyDiv w:val="1"/>
      <w:marLeft w:val="0"/>
      <w:marRight w:val="0"/>
      <w:marTop w:val="0"/>
      <w:marBottom w:val="0"/>
      <w:divBdr>
        <w:top w:val="none" w:sz="0" w:space="0" w:color="auto"/>
        <w:left w:val="none" w:sz="0" w:space="0" w:color="auto"/>
        <w:bottom w:val="none" w:sz="0" w:space="0" w:color="auto"/>
        <w:right w:val="none" w:sz="0" w:space="0" w:color="auto"/>
      </w:divBdr>
    </w:div>
    <w:div w:id="2070419223">
      <w:bodyDiv w:val="1"/>
      <w:marLeft w:val="0"/>
      <w:marRight w:val="0"/>
      <w:marTop w:val="0"/>
      <w:marBottom w:val="0"/>
      <w:divBdr>
        <w:top w:val="none" w:sz="0" w:space="0" w:color="auto"/>
        <w:left w:val="none" w:sz="0" w:space="0" w:color="auto"/>
        <w:bottom w:val="none" w:sz="0" w:space="0" w:color="auto"/>
        <w:right w:val="none" w:sz="0" w:space="0" w:color="auto"/>
      </w:divBdr>
    </w:div>
    <w:div w:id="2077624713">
      <w:bodyDiv w:val="1"/>
      <w:marLeft w:val="0"/>
      <w:marRight w:val="0"/>
      <w:marTop w:val="0"/>
      <w:marBottom w:val="0"/>
      <w:divBdr>
        <w:top w:val="none" w:sz="0" w:space="0" w:color="auto"/>
        <w:left w:val="none" w:sz="0" w:space="0" w:color="auto"/>
        <w:bottom w:val="none" w:sz="0" w:space="0" w:color="auto"/>
        <w:right w:val="none" w:sz="0" w:space="0" w:color="auto"/>
      </w:divBdr>
    </w:div>
    <w:div w:id="2079016089">
      <w:bodyDiv w:val="1"/>
      <w:marLeft w:val="0"/>
      <w:marRight w:val="0"/>
      <w:marTop w:val="0"/>
      <w:marBottom w:val="0"/>
      <w:divBdr>
        <w:top w:val="none" w:sz="0" w:space="0" w:color="auto"/>
        <w:left w:val="none" w:sz="0" w:space="0" w:color="auto"/>
        <w:bottom w:val="none" w:sz="0" w:space="0" w:color="auto"/>
        <w:right w:val="none" w:sz="0" w:space="0" w:color="auto"/>
      </w:divBdr>
    </w:div>
    <w:div w:id="2084446815">
      <w:bodyDiv w:val="1"/>
      <w:marLeft w:val="0"/>
      <w:marRight w:val="0"/>
      <w:marTop w:val="0"/>
      <w:marBottom w:val="0"/>
      <w:divBdr>
        <w:top w:val="none" w:sz="0" w:space="0" w:color="auto"/>
        <w:left w:val="none" w:sz="0" w:space="0" w:color="auto"/>
        <w:bottom w:val="none" w:sz="0" w:space="0" w:color="auto"/>
        <w:right w:val="none" w:sz="0" w:space="0" w:color="auto"/>
      </w:divBdr>
    </w:div>
    <w:div w:id="2086877630">
      <w:bodyDiv w:val="1"/>
      <w:marLeft w:val="0"/>
      <w:marRight w:val="0"/>
      <w:marTop w:val="0"/>
      <w:marBottom w:val="0"/>
      <w:divBdr>
        <w:top w:val="none" w:sz="0" w:space="0" w:color="auto"/>
        <w:left w:val="none" w:sz="0" w:space="0" w:color="auto"/>
        <w:bottom w:val="none" w:sz="0" w:space="0" w:color="auto"/>
        <w:right w:val="none" w:sz="0" w:space="0" w:color="auto"/>
      </w:divBdr>
    </w:div>
    <w:div w:id="2087992541">
      <w:bodyDiv w:val="1"/>
      <w:marLeft w:val="0"/>
      <w:marRight w:val="0"/>
      <w:marTop w:val="0"/>
      <w:marBottom w:val="0"/>
      <w:divBdr>
        <w:top w:val="none" w:sz="0" w:space="0" w:color="auto"/>
        <w:left w:val="none" w:sz="0" w:space="0" w:color="auto"/>
        <w:bottom w:val="none" w:sz="0" w:space="0" w:color="auto"/>
        <w:right w:val="none" w:sz="0" w:space="0" w:color="auto"/>
      </w:divBdr>
    </w:div>
    <w:div w:id="2099672851">
      <w:bodyDiv w:val="1"/>
      <w:marLeft w:val="0"/>
      <w:marRight w:val="0"/>
      <w:marTop w:val="0"/>
      <w:marBottom w:val="0"/>
      <w:divBdr>
        <w:top w:val="none" w:sz="0" w:space="0" w:color="auto"/>
        <w:left w:val="none" w:sz="0" w:space="0" w:color="auto"/>
        <w:bottom w:val="none" w:sz="0" w:space="0" w:color="auto"/>
        <w:right w:val="none" w:sz="0" w:space="0" w:color="auto"/>
      </w:divBdr>
    </w:div>
    <w:div w:id="2101677596">
      <w:bodyDiv w:val="1"/>
      <w:marLeft w:val="0"/>
      <w:marRight w:val="0"/>
      <w:marTop w:val="0"/>
      <w:marBottom w:val="0"/>
      <w:divBdr>
        <w:top w:val="none" w:sz="0" w:space="0" w:color="auto"/>
        <w:left w:val="none" w:sz="0" w:space="0" w:color="auto"/>
        <w:bottom w:val="none" w:sz="0" w:space="0" w:color="auto"/>
        <w:right w:val="none" w:sz="0" w:space="0" w:color="auto"/>
      </w:divBdr>
    </w:div>
    <w:div w:id="2111268376">
      <w:bodyDiv w:val="1"/>
      <w:marLeft w:val="0"/>
      <w:marRight w:val="0"/>
      <w:marTop w:val="0"/>
      <w:marBottom w:val="0"/>
      <w:divBdr>
        <w:top w:val="none" w:sz="0" w:space="0" w:color="auto"/>
        <w:left w:val="none" w:sz="0" w:space="0" w:color="auto"/>
        <w:bottom w:val="none" w:sz="0" w:space="0" w:color="auto"/>
        <w:right w:val="none" w:sz="0" w:space="0" w:color="auto"/>
      </w:divBdr>
    </w:div>
    <w:div w:id="2137137045">
      <w:bodyDiv w:val="1"/>
      <w:marLeft w:val="0"/>
      <w:marRight w:val="0"/>
      <w:marTop w:val="0"/>
      <w:marBottom w:val="0"/>
      <w:divBdr>
        <w:top w:val="none" w:sz="0" w:space="0" w:color="auto"/>
        <w:left w:val="none" w:sz="0" w:space="0" w:color="auto"/>
        <w:bottom w:val="none" w:sz="0" w:space="0" w:color="auto"/>
        <w:right w:val="none" w:sz="0" w:space="0" w:color="auto"/>
      </w:divBdr>
    </w:div>
    <w:div w:id="213852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7.xml"/><Relationship Id="rId68" Type="http://schemas.openxmlformats.org/officeDocument/2006/relationships/chart" Target="charts/chart52.xml"/><Relationship Id="rId84" Type="http://schemas.openxmlformats.org/officeDocument/2006/relationships/chart" Target="charts/chart67.xml"/><Relationship Id="rId89" Type="http://schemas.openxmlformats.org/officeDocument/2006/relationships/chart" Target="charts/chart72.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13.xml"/><Relationship Id="rId107" Type="http://schemas.openxmlformats.org/officeDocument/2006/relationships/hyperlink" Target="http://narodne-novine.nn.hr/clanci/sluzbeni/2014_10_127_2399.html" TargetMode="Externa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chart" Target="charts/chart58.xml"/><Relationship Id="rId79" Type="http://schemas.openxmlformats.org/officeDocument/2006/relationships/chart" Target="charts/chart63.xml"/><Relationship Id="rId87" Type="http://schemas.openxmlformats.org/officeDocument/2006/relationships/chart" Target="charts/chart70.xml"/><Relationship Id="rId102" Type="http://schemas.openxmlformats.org/officeDocument/2006/relationships/chart" Target="charts/chart85.xml"/><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chart" Target="charts/chart45.xml"/><Relationship Id="rId82" Type="http://schemas.openxmlformats.org/officeDocument/2006/relationships/chart" Target="charts/chart65.xml"/><Relationship Id="rId90" Type="http://schemas.openxmlformats.org/officeDocument/2006/relationships/chart" Target="charts/chart73.xml"/><Relationship Id="rId95" Type="http://schemas.openxmlformats.org/officeDocument/2006/relationships/chart" Target="charts/chart78.xml"/><Relationship Id="rId19" Type="http://schemas.openxmlformats.org/officeDocument/2006/relationships/chart" Target="charts/chart3.xml"/><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chart" Target="charts/chart61.xml"/><Relationship Id="rId100" Type="http://schemas.openxmlformats.org/officeDocument/2006/relationships/chart" Target="charts/chart83.xml"/><Relationship Id="rId105" Type="http://schemas.openxmlformats.org/officeDocument/2006/relationships/hyperlink" Target="http://www.mingo.hr/userdocsimages/energetika/Nacionalni%20program%20energetske%20u%C4%8Dinkovitosti%202008.%20-%202010..pdf" TargetMode="External"/><Relationship Id="rId8" Type="http://schemas.openxmlformats.org/officeDocument/2006/relationships/webSettings" Target="webSettings.xml"/><Relationship Id="rId51" Type="http://schemas.openxmlformats.org/officeDocument/2006/relationships/chart" Target="charts/chart35.xml"/><Relationship Id="rId72" Type="http://schemas.openxmlformats.org/officeDocument/2006/relationships/chart" Target="charts/chart56.xml"/><Relationship Id="rId80" Type="http://schemas.openxmlformats.org/officeDocument/2006/relationships/footer" Target="footer4.xml"/><Relationship Id="rId85" Type="http://schemas.openxmlformats.org/officeDocument/2006/relationships/chart" Target="charts/chart68.xml"/><Relationship Id="rId93" Type="http://schemas.openxmlformats.org/officeDocument/2006/relationships/chart" Target="charts/chart76.xml"/><Relationship Id="rId98" Type="http://schemas.openxmlformats.org/officeDocument/2006/relationships/chart" Target="charts/chart81.xml"/><Relationship Id="rId3" Type="http://schemas.openxmlformats.org/officeDocument/2006/relationships/customXml" Target="../customXml/item3.xml"/><Relationship Id="rId12" Type="http://schemas.openxmlformats.org/officeDocument/2006/relationships/image" Target="file:///C:\Users\Velimir.Velimir-PC\AppData\Local\Microsoft\Windows\Temporary%20Internet%20Files\Content.Outlook\5B8FNKEN\logo.gif"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103" Type="http://schemas.openxmlformats.org/officeDocument/2006/relationships/chart" Target="charts/chart86.xml"/><Relationship Id="rId108" Type="http://schemas.openxmlformats.org/officeDocument/2006/relationships/hyperlink" Target="http://www.zet.hr/UserDocsImages/Dokumenti%20i%20obrasci%20za%20preuzimanje/Odredbe%20i%20pravilnici/Odluka%20o%20prijevozu%20putnika%20u%20javnom%20prometu.pdf" TargetMode="Externa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chart" Target="charts/chart74.xml"/><Relationship Id="rId96" Type="http://schemas.openxmlformats.org/officeDocument/2006/relationships/chart" Target="charts/chart7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6" Type="http://schemas.openxmlformats.org/officeDocument/2006/relationships/hyperlink" Target="http://cei.hr/upload/2014/07/3_napenu_usvojen_53d8c6525e957.pdf" TargetMode="Externa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4.xml"/><Relationship Id="rId86" Type="http://schemas.openxmlformats.org/officeDocument/2006/relationships/chart" Target="charts/chart69.xml"/><Relationship Id="rId94" Type="http://schemas.openxmlformats.org/officeDocument/2006/relationships/chart" Target="charts/chart77.xml"/><Relationship Id="rId99" Type="http://schemas.openxmlformats.org/officeDocument/2006/relationships/chart" Target="charts/chart82.xml"/><Relationship Id="rId101" Type="http://schemas.openxmlformats.org/officeDocument/2006/relationships/chart" Target="charts/chart8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chart" Target="charts/chart2.xml"/><Relationship Id="rId39" Type="http://schemas.openxmlformats.org/officeDocument/2006/relationships/chart" Target="charts/chart23.xml"/><Relationship Id="rId109" Type="http://schemas.openxmlformats.org/officeDocument/2006/relationships/fontTable" Target="fontTable.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60.xml"/><Relationship Id="rId97" Type="http://schemas.openxmlformats.org/officeDocument/2006/relationships/chart" Target="charts/chart80.xml"/><Relationship Id="rId104" Type="http://schemas.openxmlformats.org/officeDocument/2006/relationships/chart" Target="charts/chart87.xml"/><Relationship Id="rId7" Type="http://schemas.openxmlformats.org/officeDocument/2006/relationships/settings" Target="settings.xml"/><Relationship Id="rId71" Type="http://schemas.openxmlformats.org/officeDocument/2006/relationships/chart" Target="charts/chart55.xml"/><Relationship Id="rId92" Type="http://schemas.openxmlformats.org/officeDocument/2006/relationships/chart" Target="charts/chart75.xml"/></Relationships>
</file>

<file path=word/_rels/footnotes.xml.rels><?xml version="1.0" encoding="UTF-8" standalone="yes"?>
<Relationships xmlns="http://schemas.openxmlformats.org/package/2006/relationships"><Relationship Id="rId3" Type="http://schemas.openxmlformats.org/officeDocument/2006/relationships/hyperlink" Target="http://www.eko.zagreb.hr/UserDocsImages/akcijski_plan_2013.pdf" TargetMode="External"/><Relationship Id="rId2" Type="http://schemas.openxmlformats.org/officeDocument/2006/relationships/hyperlink" Target="http://www.eumayors.eu" TargetMode="External"/><Relationship Id="rId1" Type="http://schemas.openxmlformats.org/officeDocument/2006/relationships/hyperlink" Target="http://www.covenantofmayors.eu/IMG/pdf/Reporting_Guidelines_SEAP_and_Monitoring.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18.bin"/></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19.bin"/></Relationships>
</file>

<file path=word/charts/_rels/chart25.xml.rels><?xml version="1.0" encoding="UTF-8" standalone="yes"?>
<Relationships xmlns="http://schemas.openxmlformats.org/package/2006/relationships"><Relationship Id="rId1" Type="http://schemas.openxmlformats.org/officeDocument/2006/relationships/oleObject" Target="../embeddings/oleObject20.bin"/></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21.bin"/></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2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1.xml"/></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24.bin"/></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25.bin"/></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26.bin"/></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27.bin"/></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28.bin"/></Relationships>
</file>

<file path=word/charts/_rels/chart36.xml.rels><?xml version="1.0" encoding="UTF-8" standalone="yes"?>
<Relationships xmlns="http://schemas.openxmlformats.org/package/2006/relationships"><Relationship Id="rId1" Type="http://schemas.openxmlformats.org/officeDocument/2006/relationships/oleObject" Target="../embeddings/oleObject29.bin"/></Relationships>
</file>

<file path=word/charts/_rels/chart37.xml.rels><?xml version="1.0" encoding="UTF-8" standalone="yes"?>
<Relationships xmlns="http://schemas.openxmlformats.org/package/2006/relationships"><Relationship Id="rId1" Type="http://schemas.openxmlformats.org/officeDocument/2006/relationships/oleObject" Target="../embeddings/oleObject30.bin"/></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themeOverride" Target="../theme/themeOverride2.xml"/></Relationships>
</file>

<file path=word/charts/_rels/chart39.xml.rels><?xml version="1.0" encoding="UTF-8" standalone="yes"?>
<Relationships xmlns="http://schemas.openxmlformats.org/package/2006/relationships"><Relationship Id="rId1" Type="http://schemas.openxmlformats.org/officeDocument/2006/relationships/oleObject" Target="../embeddings/oleObject32.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40.xml.rels><?xml version="1.0" encoding="UTF-8" standalone="yes"?>
<Relationships xmlns="http://schemas.openxmlformats.org/package/2006/relationships"><Relationship Id="rId2" Type="http://schemas.openxmlformats.org/officeDocument/2006/relationships/oleObject" Target="../embeddings/oleObject33.bin"/><Relationship Id="rId1" Type="http://schemas.openxmlformats.org/officeDocument/2006/relationships/themeOverride" Target="../theme/themeOverride3.xml"/></Relationships>
</file>

<file path=word/charts/_rels/chart41.xml.rels><?xml version="1.0" encoding="UTF-8" standalone="yes"?>
<Relationships xmlns="http://schemas.openxmlformats.org/package/2006/relationships"><Relationship Id="rId2" Type="http://schemas.openxmlformats.org/officeDocument/2006/relationships/oleObject" Target="../embeddings/oleObject34.bin"/><Relationship Id="rId1" Type="http://schemas.openxmlformats.org/officeDocument/2006/relationships/themeOverride" Target="../theme/themeOverride4.xml"/></Relationships>
</file>

<file path=word/charts/_rels/chart42.xml.rels><?xml version="1.0" encoding="UTF-8" standalone="yes"?>
<Relationships xmlns="http://schemas.openxmlformats.org/package/2006/relationships"><Relationship Id="rId2" Type="http://schemas.openxmlformats.org/officeDocument/2006/relationships/oleObject" Target="../embeddings/oleObject35.bin"/><Relationship Id="rId1" Type="http://schemas.openxmlformats.org/officeDocument/2006/relationships/themeOverride" Target="../theme/themeOverride5.xml"/></Relationships>
</file>

<file path=word/charts/_rels/chart43.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themeOverride" Target="../theme/themeOverride6.xml"/></Relationships>
</file>

<file path=word/charts/_rels/chart44.xml.rels><?xml version="1.0" encoding="UTF-8" standalone="yes"?>
<Relationships xmlns="http://schemas.openxmlformats.org/package/2006/relationships"><Relationship Id="rId2" Type="http://schemas.openxmlformats.org/officeDocument/2006/relationships/oleObject" Target="../embeddings/oleObject37.bin"/><Relationship Id="rId1" Type="http://schemas.openxmlformats.org/officeDocument/2006/relationships/themeOverride" Target="../theme/themeOverride7.xml"/></Relationships>
</file>

<file path=word/charts/_rels/chart45.xml.rels><?xml version="1.0" encoding="UTF-8" standalone="yes"?>
<Relationships xmlns="http://schemas.openxmlformats.org/package/2006/relationships"><Relationship Id="rId2" Type="http://schemas.openxmlformats.org/officeDocument/2006/relationships/oleObject" Target="../embeddings/oleObject38.bin"/><Relationship Id="rId1" Type="http://schemas.openxmlformats.org/officeDocument/2006/relationships/themeOverride" Target="../theme/themeOverride8.xml"/></Relationships>
</file>

<file path=word/charts/_rels/chart46.xml.rels><?xml version="1.0" encoding="UTF-8" standalone="yes"?>
<Relationships xmlns="http://schemas.openxmlformats.org/package/2006/relationships"><Relationship Id="rId1" Type="http://schemas.openxmlformats.org/officeDocument/2006/relationships/oleObject" Target="../embeddings/oleObject39.bin"/></Relationships>
</file>

<file path=word/charts/_rels/chart47.xml.rels><?xml version="1.0" encoding="UTF-8" standalone="yes"?>
<Relationships xmlns="http://schemas.openxmlformats.org/package/2006/relationships"><Relationship Id="rId1" Type="http://schemas.openxmlformats.org/officeDocument/2006/relationships/oleObject" Target="../embeddings/oleObject40.bin"/></Relationships>
</file>

<file path=word/charts/_rels/chart48.xml.rels><?xml version="1.0" encoding="UTF-8" standalone="yes"?>
<Relationships xmlns="http://schemas.openxmlformats.org/package/2006/relationships"><Relationship Id="rId1" Type="http://schemas.openxmlformats.org/officeDocument/2006/relationships/oleObject" Target="../embeddings/oleObject41.bin"/></Relationships>
</file>

<file path=word/charts/_rels/chart49.xml.rels><?xml version="1.0" encoding="UTF-8" standalone="yes"?>
<Relationships xmlns="http://schemas.openxmlformats.org/package/2006/relationships"><Relationship Id="rId2" Type="http://schemas.openxmlformats.org/officeDocument/2006/relationships/oleObject" Target="../embeddings/oleObject42.bin"/><Relationship Id="rId1" Type="http://schemas.openxmlformats.org/officeDocument/2006/relationships/themeOverride" Target="../theme/themeOverride9.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50.xml.rels><?xml version="1.0" encoding="UTF-8" standalone="yes"?>
<Relationships xmlns="http://schemas.openxmlformats.org/package/2006/relationships"><Relationship Id="rId2" Type="http://schemas.openxmlformats.org/officeDocument/2006/relationships/oleObject" Target="../embeddings/oleObject43.bin"/><Relationship Id="rId1" Type="http://schemas.openxmlformats.org/officeDocument/2006/relationships/themeOverride" Target="../theme/themeOverride10.xml"/></Relationships>
</file>

<file path=word/charts/_rels/chart51.xml.rels><?xml version="1.0" encoding="UTF-8" standalone="yes"?>
<Relationships xmlns="http://schemas.openxmlformats.org/package/2006/relationships"><Relationship Id="rId2" Type="http://schemas.openxmlformats.org/officeDocument/2006/relationships/oleObject" Target="../embeddings/oleObject44.bin"/><Relationship Id="rId1" Type="http://schemas.openxmlformats.org/officeDocument/2006/relationships/themeOverride" Target="../theme/themeOverride11.xml"/></Relationships>
</file>

<file path=word/charts/_rels/chart52.xml.rels><?xml version="1.0" encoding="UTF-8" standalone="yes"?>
<Relationships xmlns="http://schemas.openxmlformats.org/package/2006/relationships"><Relationship Id="rId1" Type="http://schemas.openxmlformats.org/officeDocument/2006/relationships/oleObject" Target="../embeddings/oleObject45.bin"/></Relationships>
</file>

<file path=word/charts/_rels/chart53.xml.rels><?xml version="1.0" encoding="UTF-8" standalone="yes"?>
<Relationships xmlns="http://schemas.openxmlformats.org/package/2006/relationships"><Relationship Id="rId1" Type="http://schemas.openxmlformats.org/officeDocument/2006/relationships/oleObject" Target="../embeddings/oleObject46.bin"/></Relationships>
</file>

<file path=word/charts/_rels/chart54.xml.rels><?xml version="1.0" encoding="UTF-8" standalone="yes"?>
<Relationships xmlns="http://schemas.openxmlformats.org/package/2006/relationships"><Relationship Id="rId2" Type="http://schemas.openxmlformats.org/officeDocument/2006/relationships/oleObject" Target="../embeddings/oleObject47.bin"/><Relationship Id="rId1" Type="http://schemas.openxmlformats.org/officeDocument/2006/relationships/themeOverride" Target="../theme/themeOverride12.xml"/></Relationships>
</file>

<file path=word/charts/_rels/chart55.xml.rels><?xml version="1.0" encoding="UTF-8" standalone="yes"?>
<Relationships xmlns="http://schemas.openxmlformats.org/package/2006/relationships"><Relationship Id="rId1" Type="http://schemas.openxmlformats.org/officeDocument/2006/relationships/oleObject" Target="../embeddings/oleObject48.bin"/></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57.xml.rels><?xml version="1.0" encoding="UTF-8" standalone="yes"?>
<Relationships xmlns="http://schemas.openxmlformats.org/package/2006/relationships"><Relationship Id="rId1" Type="http://schemas.openxmlformats.org/officeDocument/2006/relationships/oleObject" Target="../embeddings/oleObject49.bin"/></Relationships>
</file>

<file path=word/charts/_rels/chart58.xml.rels><?xml version="1.0" encoding="UTF-8" standalone="yes"?>
<Relationships xmlns="http://schemas.openxmlformats.org/package/2006/relationships"><Relationship Id="rId1" Type="http://schemas.openxmlformats.org/officeDocument/2006/relationships/oleObject" Target="../embeddings/oleObject50.bin"/></Relationships>
</file>

<file path=word/charts/_rels/chart59.xml.rels><?xml version="1.0" encoding="UTF-8" standalone="yes"?>
<Relationships xmlns="http://schemas.openxmlformats.org/package/2006/relationships"><Relationship Id="rId1" Type="http://schemas.openxmlformats.org/officeDocument/2006/relationships/oleObject" Target="../embeddings/oleObject5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60.xml.rels><?xml version="1.0" encoding="UTF-8" standalone="yes"?>
<Relationships xmlns="http://schemas.openxmlformats.org/package/2006/relationships"><Relationship Id="rId1" Type="http://schemas.openxmlformats.org/officeDocument/2006/relationships/oleObject" Target="../embeddings/oleObject52.bin"/></Relationships>
</file>

<file path=word/charts/_rels/chart6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62.xml.rels><?xml version="1.0" encoding="UTF-8" standalone="yes"?>
<Relationships xmlns="http://schemas.openxmlformats.org/package/2006/relationships"><Relationship Id="rId1" Type="http://schemas.openxmlformats.org/officeDocument/2006/relationships/oleObject" Target="../embeddings/oleObject53.bin"/></Relationships>
</file>

<file path=word/charts/_rels/chart63.xml.rels><?xml version="1.0" encoding="UTF-8" standalone="yes"?>
<Relationships xmlns="http://schemas.openxmlformats.org/package/2006/relationships"><Relationship Id="rId1" Type="http://schemas.openxmlformats.org/officeDocument/2006/relationships/oleObject" Target="../embeddings/oleObject54.bin"/></Relationships>
</file>

<file path=word/charts/_rels/chart64.xml.rels><?xml version="1.0" encoding="UTF-8" standalone="yes"?>
<Relationships xmlns="http://schemas.openxmlformats.org/package/2006/relationships"><Relationship Id="rId2" Type="http://schemas.openxmlformats.org/officeDocument/2006/relationships/oleObject" Target="../embeddings/oleObject55.bin"/><Relationship Id="rId1" Type="http://schemas.openxmlformats.org/officeDocument/2006/relationships/themeOverride" Target="../theme/themeOverride14.xml"/></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67.xml.rels><?xml version="1.0" encoding="UTF-8" standalone="yes"?>
<Relationships xmlns="http://schemas.openxmlformats.org/package/2006/relationships"><Relationship Id="rId1" Type="http://schemas.openxmlformats.org/officeDocument/2006/relationships/oleObject" Target="../embeddings/oleObject56.bin"/></Relationships>
</file>

<file path=word/charts/_rels/chart68.xml.rels><?xml version="1.0" encoding="UTF-8" standalone="yes"?>
<Relationships xmlns="http://schemas.openxmlformats.org/package/2006/relationships"><Relationship Id="rId1" Type="http://schemas.openxmlformats.org/officeDocument/2006/relationships/oleObject" Target="../embeddings/oleObject57.bin"/></Relationships>
</file>

<file path=word/charts/_rels/chart69.xml.rels><?xml version="1.0" encoding="UTF-8" standalone="yes"?>
<Relationships xmlns="http://schemas.openxmlformats.org/package/2006/relationships"><Relationship Id="rId1" Type="http://schemas.openxmlformats.org/officeDocument/2006/relationships/oleObject" Target="../embeddings/oleObject58.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70.xml.rels><?xml version="1.0" encoding="UTF-8" standalone="yes"?>
<Relationships xmlns="http://schemas.openxmlformats.org/package/2006/relationships"><Relationship Id="rId1" Type="http://schemas.openxmlformats.org/officeDocument/2006/relationships/oleObject" Target="../embeddings/oleObject59.bin"/></Relationships>
</file>

<file path=word/charts/_rels/chart71.xml.rels><?xml version="1.0" encoding="UTF-8" standalone="yes"?>
<Relationships xmlns="http://schemas.openxmlformats.org/package/2006/relationships"><Relationship Id="rId3" Type="http://schemas.openxmlformats.org/officeDocument/2006/relationships/oleObject" Target="../embeddings/oleObject60.bin"/><Relationship Id="rId2" Type="http://schemas.microsoft.com/office/2011/relationships/chartColorStyle" Target="colors1.xml"/><Relationship Id="rId1" Type="http://schemas.microsoft.com/office/2011/relationships/chartStyle" Target="style1.xml"/></Relationships>
</file>

<file path=word/charts/_rels/chart72.xml.rels><?xml version="1.0" encoding="UTF-8" standalone="yes"?>
<Relationships xmlns="http://schemas.openxmlformats.org/package/2006/relationships"><Relationship Id="rId1" Type="http://schemas.openxmlformats.org/officeDocument/2006/relationships/oleObject" Target="../embeddings/oleObject61.bin"/></Relationships>
</file>

<file path=word/charts/_rels/chart73.xml.rels><?xml version="1.0" encoding="UTF-8" standalone="yes"?>
<Relationships xmlns="http://schemas.openxmlformats.org/package/2006/relationships"><Relationship Id="rId1" Type="http://schemas.openxmlformats.org/officeDocument/2006/relationships/oleObject" Target="../embeddings/oleObject62.bin"/></Relationships>
</file>

<file path=word/charts/_rels/chart74.xml.rels><?xml version="1.0" encoding="UTF-8" standalone="yes"?>
<Relationships xmlns="http://schemas.openxmlformats.org/package/2006/relationships"><Relationship Id="rId2" Type="http://schemas.openxmlformats.org/officeDocument/2006/relationships/oleObject" Target="../embeddings/oleObject63.bin"/><Relationship Id="rId1" Type="http://schemas.openxmlformats.org/officeDocument/2006/relationships/themeOverride" Target="../theme/themeOverride15.xml"/></Relationships>
</file>

<file path=word/charts/_rels/chart75.xml.rels><?xml version="1.0" encoding="UTF-8" standalone="yes"?>
<Relationships xmlns="http://schemas.openxmlformats.org/package/2006/relationships"><Relationship Id="rId1" Type="http://schemas.openxmlformats.org/officeDocument/2006/relationships/oleObject" Target="../embeddings/oleObject64.bin"/></Relationships>
</file>

<file path=word/charts/_rels/chart76.xml.rels><?xml version="1.0" encoding="UTF-8" standalone="yes"?>
<Relationships xmlns="http://schemas.openxmlformats.org/package/2006/relationships"><Relationship Id="rId1" Type="http://schemas.openxmlformats.org/officeDocument/2006/relationships/oleObject" Target="../embeddings/oleObject65.bin"/></Relationships>
</file>

<file path=word/charts/_rels/chart77.xml.rels><?xml version="1.0" encoding="UTF-8" standalone="yes"?>
<Relationships xmlns="http://schemas.openxmlformats.org/package/2006/relationships"><Relationship Id="rId1" Type="http://schemas.openxmlformats.org/officeDocument/2006/relationships/oleObject" Target="../embeddings/oleObject66.bin"/></Relationships>
</file>

<file path=word/charts/_rels/chart78.xml.rels><?xml version="1.0" encoding="UTF-8" standalone="yes"?>
<Relationships xmlns="http://schemas.openxmlformats.org/package/2006/relationships"><Relationship Id="rId1" Type="http://schemas.openxmlformats.org/officeDocument/2006/relationships/oleObject" Target="../embeddings/oleObject67.bin"/></Relationships>
</file>

<file path=word/charts/_rels/chart79.xml.rels><?xml version="1.0" encoding="UTF-8" standalone="yes"?>
<Relationships xmlns="http://schemas.openxmlformats.org/package/2006/relationships"><Relationship Id="rId3" Type="http://schemas.openxmlformats.org/officeDocument/2006/relationships/oleObject" Target="../embeddings/oleObject68.bin"/><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80.xml.rels><?xml version="1.0" encoding="UTF-8" standalone="yes"?>
<Relationships xmlns="http://schemas.openxmlformats.org/package/2006/relationships"><Relationship Id="rId1" Type="http://schemas.openxmlformats.org/officeDocument/2006/relationships/oleObject" Target="../embeddings/oleObject69.bin"/></Relationships>
</file>

<file path=word/charts/_rels/chart81.xml.rels><?xml version="1.0" encoding="UTF-8" standalone="yes"?>
<Relationships xmlns="http://schemas.openxmlformats.org/package/2006/relationships"><Relationship Id="rId1" Type="http://schemas.openxmlformats.org/officeDocument/2006/relationships/oleObject" Target="../embeddings/oleObject70.bin"/></Relationships>
</file>

<file path=word/charts/_rels/chart82.xml.rels><?xml version="1.0" encoding="UTF-8" standalone="yes"?>
<Relationships xmlns="http://schemas.openxmlformats.org/package/2006/relationships"><Relationship Id="rId1" Type="http://schemas.openxmlformats.org/officeDocument/2006/relationships/oleObject" Target="../embeddings/oleObject71.bin"/></Relationships>
</file>

<file path=word/charts/_rels/chart83.xml.rels><?xml version="1.0" encoding="UTF-8" standalone="yes"?>
<Relationships xmlns="http://schemas.openxmlformats.org/package/2006/relationships"><Relationship Id="rId1" Type="http://schemas.openxmlformats.org/officeDocument/2006/relationships/oleObject" Target="../embeddings/oleObject72.bin"/></Relationships>
</file>

<file path=word/charts/_rels/chart84.xml.rels><?xml version="1.0" encoding="UTF-8" standalone="yes"?>
<Relationships xmlns="http://schemas.openxmlformats.org/package/2006/relationships"><Relationship Id="rId1" Type="http://schemas.openxmlformats.org/officeDocument/2006/relationships/oleObject" Target="../embeddings/oleObject73.bin"/></Relationships>
</file>

<file path=word/charts/_rels/chart85.xml.rels><?xml version="1.0" encoding="UTF-8" standalone="yes"?>
<Relationships xmlns="http://schemas.openxmlformats.org/package/2006/relationships"><Relationship Id="rId1" Type="http://schemas.openxmlformats.org/officeDocument/2006/relationships/oleObject" Target="../embeddings/oleObject74.bin"/></Relationships>
</file>

<file path=word/charts/_rels/chart86.xml.rels><?xml version="1.0" encoding="UTF-8" standalone="yes"?>
<Relationships xmlns="http://schemas.openxmlformats.org/package/2006/relationships"><Relationship Id="rId1" Type="http://schemas.openxmlformats.org/officeDocument/2006/relationships/oleObject" Target="../embeddings/oleObject75.bin"/></Relationships>
</file>

<file path=word/charts/_rels/chart87.xml.rels><?xml version="1.0" encoding="UTF-8" standalone="yes"?>
<Relationships xmlns="http://schemas.openxmlformats.org/package/2006/relationships"><Relationship Id="rId1" Type="http://schemas.openxmlformats.org/officeDocument/2006/relationships/oleObject" Target="../embeddings/oleObject76.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'[Električna energija_ŠKOLSKE.xlsx]Usporedba SEAP'!$A$15</c:f>
              <c:strCache>
                <c:ptCount val="1"/>
                <c:pt idx="0">
                  <c:v>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'[Električna energija_ŠKOLSKE.xlsx]Usporedba SEAP'!$B$13:$E$13</c:f>
              <c:strCache>
                <c:ptCount val="4"/>
                <c:pt idx="0">
                  <c:v>Dječji vrtići</c:v>
                </c:pt>
                <c:pt idx="1">
                  <c:v>Osnovne škole</c:v>
                </c:pt>
                <c:pt idx="2">
                  <c:v>Srednje škole i učenički domovi</c:v>
                </c:pt>
                <c:pt idx="3">
                  <c:v>Prosjek</c:v>
                </c:pt>
              </c:strCache>
            </c:strRef>
          </c:cat>
          <c:val>
            <c:numRef>
              <c:f>'[Električna energija_ŠKOLSKE.xlsx]Usporedba SEAP'!$B$15:$E$15</c:f>
              <c:numCache>
                <c:formatCode>#,##0.00</c:formatCode>
                <c:ptCount val="4"/>
                <c:pt idx="0">
                  <c:v>38.837355437420598</c:v>
                </c:pt>
                <c:pt idx="1">
                  <c:v>25.144456707228446</c:v>
                </c:pt>
                <c:pt idx="2">
                  <c:v>28.7342450232304</c:v>
                </c:pt>
                <c:pt idx="3">
                  <c:v>29.422687700043745</c:v>
                </c:pt>
              </c:numCache>
            </c:numRef>
          </c:val>
          <c:extLst>
            <c:ext xmlns:c16="http://schemas.microsoft.com/office/drawing/2014/chart" uri="{C3380CC4-5D6E-409C-BE32-E72D297353CC}">
              <c16:uniqueId val="{00000000-70F5-4EFC-A8A0-A1B1D25E2706}"/>
            </c:ext>
          </c:extLst>
        </c:ser>
        <c:dLbls>
          <c:showLegendKey val="0"/>
          <c:showVal val="0"/>
          <c:showCatName val="0"/>
          <c:showSerName val="0"/>
          <c:showPercent val="0"/>
          <c:showBubbleSize val="0"/>
        </c:dLbls>
        <c:gapWidth val="150"/>
        <c:shape val="box"/>
        <c:axId val="160666624"/>
        <c:axId val="168435712"/>
        <c:axId val="0"/>
      </c:bar3DChart>
      <c:catAx>
        <c:axId val="160666624"/>
        <c:scaling>
          <c:orientation val="minMax"/>
        </c:scaling>
        <c:delete val="0"/>
        <c:axPos val="b"/>
        <c:numFmt formatCode="General" sourceLinked="0"/>
        <c:majorTickMark val="out"/>
        <c:minorTickMark val="none"/>
        <c:tickLblPos val="nextTo"/>
        <c:crossAx val="168435712"/>
        <c:crosses val="autoZero"/>
        <c:auto val="1"/>
        <c:lblAlgn val="ctr"/>
        <c:lblOffset val="100"/>
        <c:noMultiLvlLbl val="0"/>
      </c:catAx>
      <c:valAx>
        <c:axId val="168435712"/>
        <c:scaling>
          <c:orientation val="minMax"/>
        </c:scaling>
        <c:delete val="0"/>
        <c:axPos val="l"/>
        <c:majorGridlines/>
        <c:title>
          <c:tx>
            <c:rich>
              <a:bodyPr rot="-5400000" vert="horz"/>
              <a:lstStyle/>
              <a:p>
                <a:pPr>
                  <a:defRPr/>
                </a:pPr>
                <a:r>
                  <a:rPr lang="hr-HR"/>
                  <a:t>kWh/m</a:t>
                </a:r>
                <a:r>
                  <a:rPr lang="hr-HR" baseline="30000"/>
                  <a:t>2</a:t>
                </a:r>
              </a:p>
            </c:rich>
          </c:tx>
          <c:overlay val="0"/>
        </c:title>
        <c:numFmt formatCode="#,##0.00" sourceLinked="1"/>
        <c:majorTickMark val="out"/>
        <c:minorTickMark val="none"/>
        <c:tickLblPos val="nextTo"/>
        <c:crossAx val="16066662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12090540410874405"/>
          <c:w val="0.73149392534558044"/>
          <c:h val="0.87834772953803553"/>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'[Grijanje_KULTURNE USTANOVE.xlsx]2015.'!$G$9:$K$9</c:f>
              <c:strCache>
                <c:ptCount val="5"/>
                <c:pt idx="0">
                  <c:v>Toplana vrelovod</c:v>
                </c:pt>
                <c:pt idx="1">
                  <c:v>Toplana para</c:v>
                </c:pt>
                <c:pt idx="2">
                  <c:v>Prirodni plin</c:v>
                </c:pt>
                <c:pt idx="3">
                  <c:v>Lož ulje</c:v>
                </c:pt>
                <c:pt idx="4">
                  <c:v>Električna energija</c:v>
                </c:pt>
              </c:strCache>
            </c:strRef>
          </c:cat>
          <c:val>
            <c:numRef>
              <c:f>'[Grijanje_KULTURNE USTANOVE.xlsx]2015.'!$G$10:$K$10</c:f>
              <c:numCache>
                <c:formatCode>General</c:formatCode>
                <c:ptCount val="5"/>
                <c:pt idx="0" formatCode="0.00%">
                  <c:v>0.28508003866312726</c:v>
                </c:pt>
                <c:pt idx="2" formatCode="0.00%">
                  <c:v>0.68293951933929453</c:v>
                </c:pt>
                <c:pt idx="3" formatCode="0.00%">
                  <c:v>2.5188879129637742E-2</c:v>
                </c:pt>
                <c:pt idx="4" formatCode="0.00%">
                  <c:v>6.7915628679404783E-3</c:v>
                </c:pt>
              </c:numCache>
            </c:numRef>
          </c:val>
          <c:extLst>
            <c:ext xmlns:c16="http://schemas.microsoft.com/office/drawing/2014/chart" uri="{C3380CC4-5D6E-409C-BE32-E72D297353CC}">
              <c16:uniqueId val="{00000000-0C1C-41D6-9FF0-2FF89017426E}"/>
            </c:ext>
          </c:extLst>
        </c:ser>
        <c:dLbls>
          <c:showLegendKey val="0"/>
          <c:showVal val="0"/>
          <c:showCatName val="0"/>
          <c:showSerName val="0"/>
          <c:showPercent val="1"/>
          <c:showBubbleSize val="0"/>
          <c:showLeaderLines val="1"/>
        </c:dLbls>
      </c:pie3DChart>
    </c:plotArea>
    <c:legend>
      <c:legendPos val="r"/>
      <c:legendEntry>
        <c:idx val="1"/>
        <c:delete val="1"/>
      </c:legendEntry>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'[Grijanje_KULTURNE USTANOVE.xlsx]2015.'!$A$14:$D$14</c:f>
              <c:strCache>
                <c:ptCount val="4"/>
                <c:pt idx="0">
                  <c:v>Toplana vrelovod</c:v>
                </c:pt>
                <c:pt idx="1">
                  <c:v>Prirodni plin</c:v>
                </c:pt>
                <c:pt idx="2">
                  <c:v>Lož ulje</c:v>
                </c:pt>
                <c:pt idx="3">
                  <c:v>Električna energije</c:v>
                </c:pt>
              </c:strCache>
            </c:strRef>
          </c:cat>
          <c:val>
            <c:numRef>
              <c:f>'[Grijanje_KULTURNE USTANOVE.xlsx]2015.'!$A$15:$D$15</c:f>
              <c:numCache>
                <c:formatCode>#,##0.00</c:formatCode>
                <c:ptCount val="4"/>
                <c:pt idx="0">
                  <c:v>201.62224225399783</c:v>
                </c:pt>
                <c:pt idx="1">
                  <c:v>124.95445278861675</c:v>
                </c:pt>
                <c:pt idx="2">
                  <c:v>132.70673353453773</c:v>
                </c:pt>
                <c:pt idx="3">
                  <c:v>90.505294189902969</c:v>
                </c:pt>
              </c:numCache>
            </c:numRef>
          </c:val>
          <c:extLst>
            <c:ext xmlns:c16="http://schemas.microsoft.com/office/drawing/2014/chart" uri="{C3380CC4-5D6E-409C-BE32-E72D297353CC}">
              <c16:uniqueId val="{00000000-D24F-4036-BD1F-9CCB1FEDAB03}"/>
            </c:ext>
          </c:extLst>
        </c:ser>
        <c:dLbls>
          <c:showLegendKey val="0"/>
          <c:showVal val="0"/>
          <c:showCatName val="0"/>
          <c:showSerName val="0"/>
          <c:showPercent val="0"/>
          <c:showBubbleSize val="0"/>
        </c:dLbls>
        <c:gapWidth val="150"/>
        <c:shape val="box"/>
        <c:axId val="160632320"/>
        <c:axId val="170636928"/>
        <c:axId val="0"/>
      </c:bar3DChart>
      <c:catAx>
        <c:axId val="160632320"/>
        <c:scaling>
          <c:orientation val="minMax"/>
        </c:scaling>
        <c:delete val="0"/>
        <c:axPos val="b"/>
        <c:numFmt formatCode="General" sourceLinked="0"/>
        <c:majorTickMark val="out"/>
        <c:minorTickMark val="none"/>
        <c:tickLblPos val="nextTo"/>
        <c:crossAx val="170636928"/>
        <c:crosses val="autoZero"/>
        <c:auto val="1"/>
        <c:lblAlgn val="ctr"/>
        <c:lblOffset val="100"/>
        <c:noMultiLvlLbl val="0"/>
      </c:catAx>
      <c:valAx>
        <c:axId val="170636928"/>
        <c:scaling>
          <c:orientation val="minMax"/>
        </c:scaling>
        <c:delete val="0"/>
        <c:axPos val="l"/>
        <c:majorGridlines/>
        <c:title>
          <c:tx>
            <c:rich>
              <a:bodyPr rot="-5400000" vert="horz"/>
              <a:lstStyle/>
              <a:p>
                <a:pPr>
                  <a:defRPr/>
                </a:pPr>
                <a:r>
                  <a:rPr lang="hr-HR"/>
                  <a:t>kWh/m</a:t>
                </a:r>
                <a:r>
                  <a:rPr lang="hr-HR" baseline="30000"/>
                  <a:t>2</a:t>
                </a:r>
              </a:p>
            </c:rich>
          </c:tx>
          <c:overlay val="0"/>
        </c:title>
        <c:numFmt formatCode="#,##0.00" sourceLinked="1"/>
        <c:majorTickMark val="out"/>
        <c:minorTickMark val="none"/>
        <c:tickLblPos val="nextTo"/>
        <c:crossAx val="160632320"/>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'[Grijanje _GRADSKA UPRAVA.xlsx]2015.'!$A$13:$A$19</c:f>
              <c:strCache>
                <c:ptCount val="7"/>
                <c:pt idx="0">
                  <c:v>Toplana vrelovod</c:v>
                </c:pt>
                <c:pt idx="1">
                  <c:v>Toplana para</c:v>
                </c:pt>
                <c:pt idx="2">
                  <c:v>Prirodni plin</c:v>
                </c:pt>
                <c:pt idx="3">
                  <c:v>Lož ulje</c:v>
                </c:pt>
                <c:pt idx="4">
                  <c:v>Električna energija</c:v>
                </c:pt>
                <c:pt idx="5">
                  <c:v>UNP</c:v>
                </c:pt>
                <c:pt idx="6">
                  <c:v>Biomasa drvo</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'[Grijanje _GRADSKA UPRAVA.xlsx]2015.'!$A$13:$A$19</c:f>
              <c:strCache>
                <c:ptCount val="7"/>
                <c:pt idx="0">
                  <c:v>Toplana vrelovod</c:v>
                </c:pt>
                <c:pt idx="1">
                  <c:v>Toplana para</c:v>
                </c:pt>
                <c:pt idx="2">
                  <c:v>Prirodni plin</c:v>
                </c:pt>
                <c:pt idx="3">
                  <c:v>Lož ulje</c:v>
                </c:pt>
                <c:pt idx="4">
                  <c:v>Električna energija</c:v>
                </c:pt>
                <c:pt idx="5">
                  <c:v>UNP</c:v>
                </c:pt>
                <c:pt idx="6">
                  <c:v>Biomasa drvo</c:v>
                </c:pt>
              </c:strCache>
            </c:strRef>
          </c:cat>
          <c:val>
            <c:numRef>
              <c:f>'[Grijanje _GRADSKA UPRAVA.xlsx]2015.'!$B$13:$B$19</c:f>
              <c:numCache>
                <c:formatCode>0.00%</c:formatCode>
                <c:ptCount val="7"/>
                <c:pt idx="0">
                  <c:v>0.33992920920706504</c:v>
                </c:pt>
                <c:pt idx="1">
                  <c:v>4.0008340071484745E-2</c:v>
                </c:pt>
                <c:pt idx="2">
                  <c:v>0.55325164953669748</c:v>
                </c:pt>
                <c:pt idx="3">
                  <c:v>4.8840593016473463E-2</c:v>
                </c:pt>
                <c:pt idx="4">
                  <c:v>1.2894948291636017E-2</c:v>
                </c:pt>
                <c:pt idx="6">
                  <c:v>5.0752598766433087E-3</c:v>
                </c:pt>
              </c:numCache>
            </c:numRef>
          </c:val>
          <c:extLst>
            <c:ext xmlns:c16="http://schemas.microsoft.com/office/drawing/2014/chart" uri="{C3380CC4-5D6E-409C-BE32-E72D297353CC}">
              <c16:uniqueId val="{00000000-61F4-4398-80C7-971452FA89DB}"/>
            </c:ext>
          </c:extLst>
        </c:ser>
        <c:dLbls>
          <c:showLegendKey val="0"/>
          <c:showVal val="0"/>
          <c:showCatName val="0"/>
          <c:showSerName val="0"/>
          <c:showPercent val="1"/>
          <c:showBubbleSize val="0"/>
          <c:showLeaderLines val="1"/>
        </c:dLbls>
      </c:pie3DChart>
    </c:plotArea>
    <c:legend>
      <c:legendPos val="r"/>
      <c:legendEntry>
        <c:idx val="5"/>
        <c:delete val="1"/>
      </c:legendEntry>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594269466316711E-2"/>
          <c:y val="0"/>
          <c:w val="0.65764282589676293"/>
          <c:h val="0.88869880990903538"/>
        </c:manualLayout>
      </c:layout>
      <c:pie3DChart>
        <c:varyColors val="1"/>
        <c:ser>
          <c:idx val="0"/>
          <c:order val="0"/>
          <c:explosion val="25"/>
          <c:dPt>
            <c:idx val="1"/>
            <c:bubble3D val="0"/>
            <c:spPr>
              <a:solidFill>
                <a:srgbClr val="FFFF00"/>
              </a:solidFill>
            </c:spPr>
            <c:extLst>
              <c:ext xmlns:c16="http://schemas.microsoft.com/office/drawing/2014/chart" uri="{C3380CC4-5D6E-409C-BE32-E72D297353CC}">
                <c16:uniqueId val="{00000000-9F50-421F-96CB-139B767BBF6E}"/>
              </c:ext>
            </c:extLst>
          </c:dPt>
          <c:dPt>
            <c:idx val="2"/>
            <c:bubble3D val="0"/>
            <c:spPr>
              <a:solidFill>
                <a:srgbClr val="00B0F0"/>
              </a:solidFill>
            </c:spPr>
            <c:extLst>
              <c:ext xmlns:c16="http://schemas.microsoft.com/office/drawing/2014/chart" uri="{C3380CC4-5D6E-409C-BE32-E72D297353CC}">
                <c16:uniqueId val="{00000001-9F50-421F-96CB-139B767BBF6E}"/>
              </c:ext>
            </c:extLst>
          </c:dPt>
          <c:dPt>
            <c:idx val="3"/>
            <c:bubble3D val="0"/>
            <c:spPr>
              <a:solidFill>
                <a:schemeClr val="accent3"/>
              </a:solidFill>
            </c:spPr>
            <c:extLst>
              <c:ext xmlns:c16="http://schemas.microsoft.com/office/drawing/2014/chart" uri="{C3380CC4-5D6E-409C-BE32-E72D297353CC}">
                <c16:uniqueId val="{00000002-9F50-421F-96CB-139B767BBF6E}"/>
              </c:ext>
            </c:extLst>
          </c:dPt>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'[sportski_grijanje.xlsx]que_Glavni_grijanje_podaci-NOVI'!$E$16:$E$19</c:f>
              <c:strCache>
                <c:ptCount val="4"/>
                <c:pt idx="0">
                  <c:v>Toplana vrelovod</c:v>
                </c:pt>
                <c:pt idx="1">
                  <c:v>Geotermalna voda</c:v>
                </c:pt>
                <c:pt idx="2">
                  <c:v>Električna energija</c:v>
                </c:pt>
                <c:pt idx="3">
                  <c:v>Prirodni plin</c:v>
                </c:pt>
              </c:strCache>
            </c:strRef>
          </c:cat>
          <c:val>
            <c:numRef>
              <c:f>'[sportski_grijanje.xlsx]que_Glavni_grijanje_podaci-NOVI'!$F$16:$F$19</c:f>
              <c:numCache>
                <c:formatCode>#,##0.00</c:formatCode>
                <c:ptCount val="4"/>
                <c:pt idx="0">
                  <c:v>8175000</c:v>
                </c:pt>
                <c:pt idx="1">
                  <c:v>9169962</c:v>
                </c:pt>
                <c:pt idx="2">
                  <c:v>617224</c:v>
                </c:pt>
                <c:pt idx="3">
                  <c:v>1557004.7352</c:v>
                </c:pt>
              </c:numCache>
            </c:numRef>
          </c:val>
          <c:extLst>
            <c:ext xmlns:c16="http://schemas.microsoft.com/office/drawing/2014/chart" uri="{C3380CC4-5D6E-409C-BE32-E72D297353CC}">
              <c16:uniqueId val="{00000000-8254-464F-BD51-1B261AC49F20}"/>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6002405949256349E-2"/>
          <c:y val="0.20546150481189851"/>
          <c:w val="0.6390367454068242"/>
          <c:h val="0.76132254301545643"/>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'[Grijanje 2015.xlsx]que_Glavni_grijanje_podaci-NOVI'!$E$936:$J$936</c:f>
              <c:strCache>
                <c:ptCount val="5"/>
                <c:pt idx="2">
                  <c:v>Prirodni plin</c:v>
                </c:pt>
                <c:pt idx="3">
                  <c:v>Lož ulje</c:v>
                </c:pt>
                <c:pt idx="4">
                  <c:v>Električna energija</c:v>
                </c:pt>
              </c:strCache>
            </c:strRef>
          </c:cat>
          <c:val>
            <c:numRef>
              <c:f>'[Grijanje 2015.xlsx]que_Glavni_grijanje_podaci-NOVI'!$E$937:$J$937</c:f>
              <c:numCache>
                <c:formatCode>General</c:formatCode>
                <c:ptCount val="6"/>
                <c:pt idx="2" formatCode="0.00%">
                  <c:v>0.11574996022816948</c:v>
                </c:pt>
                <c:pt idx="3" formatCode="0.00%">
                  <c:v>0.87903926501890628</c:v>
                </c:pt>
                <c:pt idx="4" formatCode="0.00%">
                  <c:v>5.2107747529242278E-3</c:v>
                </c:pt>
              </c:numCache>
            </c:numRef>
          </c:val>
          <c:extLst>
            <c:ext xmlns:c16="http://schemas.microsoft.com/office/drawing/2014/chart" uri="{C3380CC4-5D6E-409C-BE32-E72D297353CC}">
              <c16:uniqueId val="{00000000-81A5-46F5-BC32-A87AB74BE431}"/>
            </c:ext>
          </c:extLst>
        </c:ser>
        <c:dLbls>
          <c:showLegendKey val="0"/>
          <c:showVal val="0"/>
          <c:showCatName val="0"/>
          <c:showSerName val="0"/>
          <c:showPercent val="1"/>
          <c:showBubbleSize val="0"/>
          <c:showLeaderLines val="1"/>
        </c:dLbls>
      </c:pie3DChart>
    </c:plotArea>
    <c:legend>
      <c:legendPos val="r"/>
      <c:legendEntry>
        <c:idx val="0"/>
        <c:delete val="1"/>
      </c:legendEntry>
      <c:legendEntry>
        <c:idx val="1"/>
        <c:delete val="1"/>
      </c:legendEntry>
      <c:legendEntry>
        <c:idx val="5"/>
        <c:delete val="1"/>
      </c:legendEntry>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5.8528392059817885E-2"/>
          <c:y val="3.0092592592592591E-2"/>
          <c:w val="0.62845441139645519"/>
          <c:h val="0.96382428940568476"/>
        </c:manualLayout>
      </c:layout>
      <c:pie3DChart>
        <c:varyColors val="1"/>
        <c:ser>
          <c:idx val="0"/>
          <c:order val="0"/>
          <c:explosion val="25"/>
          <c:dLbls>
            <c:dLbl>
              <c:idx val="5"/>
              <c:layout>
                <c:manualLayout>
                  <c:x val="1.5296484321038817E-3"/>
                  <c:y val="5.13421719720932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F6E-4556-AA6E-4D2256A037FC}"/>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'2015'!$G$2:$G$8</c:f>
              <c:strCache>
                <c:ptCount val="7"/>
                <c:pt idx="0">
                  <c:v>Obrazovne ustanove</c:v>
                </c:pt>
                <c:pt idx="1">
                  <c:v>Zdravstvene ustanove i ustanove socijalne zaštite</c:v>
                </c:pt>
                <c:pt idx="2">
                  <c:v>Kultura</c:v>
                </c:pt>
                <c:pt idx="3">
                  <c:v>Uprava</c:v>
                </c:pt>
                <c:pt idx="4">
                  <c:v>Sport</c:v>
                </c:pt>
                <c:pt idx="5">
                  <c:v>Ostalo</c:v>
                </c:pt>
                <c:pt idx="6">
                  <c:v>Poslovni prostori i stanovi u vlasništvu Grada Zagreba</c:v>
                </c:pt>
              </c:strCache>
            </c:strRef>
          </c:cat>
          <c:val>
            <c:numRef>
              <c:f>'2015'!$H$2:$H$8</c:f>
              <c:numCache>
                <c:formatCode>#,##0.00</c:formatCode>
                <c:ptCount val="7"/>
                <c:pt idx="0">
                  <c:v>25517826.859999999</c:v>
                </c:pt>
                <c:pt idx="1">
                  <c:v>20508496.899999999</c:v>
                </c:pt>
                <c:pt idx="2">
                  <c:v>9146408.1699999999</c:v>
                </c:pt>
                <c:pt idx="3">
                  <c:v>4858716.1500000004</c:v>
                </c:pt>
                <c:pt idx="4">
                  <c:v>7650842</c:v>
                </c:pt>
                <c:pt idx="5">
                  <c:v>1166075.6200000001</c:v>
                </c:pt>
                <c:pt idx="6">
                  <c:v>24048741.149999999</c:v>
                </c:pt>
              </c:numCache>
            </c:numRef>
          </c:val>
          <c:extLst>
            <c:ext xmlns:c16="http://schemas.microsoft.com/office/drawing/2014/chart" uri="{C3380CC4-5D6E-409C-BE32-E72D297353CC}">
              <c16:uniqueId val="{00000001-3F6E-4556-AA6E-4D2256A037FC}"/>
            </c:ext>
          </c:extLst>
        </c:ser>
        <c:dLbls>
          <c:showLegendKey val="0"/>
          <c:showVal val="0"/>
          <c:showCatName val="0"/>
          <c:showSerName val="0"/>
          <c:showPercent val="1"/>
          <c:showBubbleSize val="0"/>
          <c:showLeaderLines val="1"/>
        </c:dLbls>
      </c:pie3DChart>
    </c:plotArea>
    <c:legend>
      <c:legendPos val="r"/>
      <c:layout>
        <c:manualLayout>
          <c:xMode val="edge"/>
          <c:yMode val="edge"/>
          <c:x val="0.67610440465961419"/>
          <c:y val="0.16294017511376968"/>
          <c:w val="0.32389564378657615"/>
          <c:h val="0.70777160606862122"/>
        </c:manualLayout>
      </c:layout>
      <c:overlay val="0"/>
      <c:txPr>
        <a:bodyPr/>
        <a:lstStyle/>
        <a:p>
          <a:pPr rtl="0">
            <a:defRPr sz="900"/>
          </a:pPr>
          <a:endParaRPr lang="sr-Latn-R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3.0146952518181069E-2"/>
          <c:y val="7.8253062890106945E-2"/>
          <c:w val="0.61989200518142251"/>
          <c:h val="0.8462101777913803"/>
        </c:manualLayout>
      </c:layout>
      <c:pie3DChart>
        <c:varyColors val="1"/>
        <c:ser>
          <c:idx val="0"/>
          <c:order val="0"/>
          <c:explosion val="25"/>
          <c:dLbls>
            <c:dLbl>
              <c:idx val="5"/>
              <c:layout>
                <c:manualLayout>
                  <c:x val="0.19788344892642606"/>
                  <c:y val="-0.4613757468350644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A3-404F-9ECA-54174A0E19AE}"/>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Podjela!$A$16:$A$22</c:f>
              <c:strCache>
                <c:ptCount val="7"/>
                <c:pt idx="0">
                  <c:v>Obrazovne ustanove</c:v>
                </c:pt>
                <c:pt idx="1">
                  <c:v>Zdravstvene ustanove i ustanove socijalne zaštite</c:v>
                </c:pt>
                <c:pt idx="2">
                  <c:v>Kultura</c:v>
                </c:pt>
                <c:pt idx="3">
                  <c:v>Uprava</c:v>
                </c:pt>
                <c:pt idx="4">
                  <c:v>Sport</c:v>
                </c:pt>
                <c:pt idx="5">
                  <c:v>Ostalo</c:v>
                </c:pt>
                <c:pt idx="6">
                  <c:v>Poslovni prostori i stanovi u vlasništvu Grada</c:v>
                </c:pt>
              </c:strCache>
            </c:strRef>
          </c:cat>
          <c:val>
            <c:numRef>
              <c:f>Podjela!$B$16:$B$22</c:f>
              <c:numCache>
                <c:formatCode>#,##0.00</c:formatCode>
                <c:ptCount val="7"/>
                <c:pt idx="0">
                  <c:v>135256.21</c:v>
                </c:pt>
                <c:pt idx="1">
                  <c:v>69551.089999999982</c:v>
                </c:pt>
                <c:pt idx="2">
                  <c:v>15498.3</c:v>
                </c:pt>
                <c:pt idx="3">
                  <c:v>17444.509999999998</c:v>
                </c:pt>
                <c:pt idx="4">
                  <c:v>19519.18</c:v>
                </c:pt>
                <c:pt idx="5">
                  <c:v>1515.8</c:v>
                </c:pt>
                <c:pt idx="6">
                  <c:v>85506.635196000003</c:v>
                </c:pt>
              </c:numCache>
            </c:numRef>
          </c:val>
          <c:extLst>
            <c:ext xmlns:c16="http://schemas.microsoft.com/office/drawing/2014/chart" uri="{C3380CC4-5D6E-409C-BE32-E72D297353CC}">
              <c16:uniqueId val="{00000000-AEA3-404F-9ECA-54174A0E19AE}"/>
            </c:ext>
          </c:extLst>
        </c:ser>
        <c:dLbls>
          <c:showLegendKey val="0"/>
          <c:showVal val="0"/>
          <c:showCatName val="0"/>
          <c:showSerName val="0"/>
          <c:showPercent val="1"/>
          <c:showBubbleSize val="0"/>
          <c:showLeaderLines val="1"/>
        </c:dLbls>
      </c:pie3DChart>
    </c:plotArea>
    <c:legend>
      <c:legendPos val="r"/>
      <c:layout>
        <c:manualLayout>
          <c:xMode val="edge"/>
          <c:yMode val="edge"/>
          <c:x val="0.68206519471572513"/>
          <c:y val="0"/>
          <c:w val="0.31605552078633425"/>
          <c:h val="1"/>
        </c:manualLayout>
      </c:layout>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2193377574528071E-2"/>
          <c:y val="0.11506862717429138"/>
          <c:w val="0.61903379981432449"/>
          <c:h val="0.86066322354866931"/>
        </c:manualLayout>
      </c:layout>
      <c:pie3DChart>
        <c:varyColors val="1"/>
        <c:ser>
          <c:idx val="0"/>
          <c:order val="0"/>
          <c:tx>
            <c:strRef>
              <c:f>'[Grijanje 2015.xlsx]Podjela'!$L$44:$L$52</c:f>
              <c:strCache>
                <c:ptCount val="1"/>
                <c:pt idx="0">
                  <c:v>Toplana vrelovod Toplana para Prirodni plin Lož ulje Električna energija  UNP Biomasa Geotermalna voda Bez grijanja</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'[Grijanje 2015.xlsx]Podjela'!$L$44:$L$52</c:f>
              <c:strCache>
                <c:ptCount val="9"/>
                <c:pt idx="0">
                  <c:v>Toplana vrelovod</c:v>
                </c:pt>
                <c:pt idx="1">
                  <c:v>Toplana para</c:v>
                </c:pt>
                <c:pt idx="2">
                  <c:v>Prirodni plin</c:v>
                </c:pt>
                <c:pt idx="3">
                  <c:v>Lož ulje</c:v>
                </c:pt>
                <c:pt idx="4">
                  <c:v>Električna energija </c:v>
                </c:pt>
                <c:pt idx="5">
                  <c:v>UNP</c:v>
                </c:pt>
                <c:pt idx="6">
                  <c:v>Biomasa</c:v>
                </c:pt>
                <c:pt idx="7">
                  <c:v>Geotermalna voda</c:v>
                </c:pt>
                <c:pt idx="8">
                  <c:v>Bez grijanja</c:v>
                </c:pt>
              </c:strCache>
            </c:strRef>
          </c:cat>
          <c:val>
            <c:numRef>
              <c:f>'[Grijanje 2015.xlsx]Podjela'!$M$44:$M$52</c:f>
              <c:numCache>
                <c:formatCode>0.00%</c:formatCode>
                <c:ptCount val="9"/>
                <c:pt idx="0">
                  <c:v>0.23408845738942827</c:v>
                </c:pt>
                <c:pt idx="1">
                  <c:v>1.6181229773462782E-2</c:v>
                </c:pt>
                <c:pt idx="2">
                  <c:v>0.56850053937432576</c:v>
                </c:pt>
                <c:pt idx="3">
                  <c:v>0.12837108953613807</c:v>
                </c:pt>
                <c:pt idx="4">
                  <c:v>3.9913700107874865E-2</c:v>
                </c:pt>
                <c:pt idx="5">
                  <c:v>3.2362459546925568E-3</c:v>
                </c:pt>
                <c:pt idx="6">
                  <c:v>6.4724919093851136E-3</c:v>
                </c:pt>
                <c:pt idx="7">
                  <c:v>1.0787486515641855E-3</c:v>
                </c:pt>
                <c:pt idx="8">
                  <c:v>2.1574973031283709E-3</c:v>
                </c:pt>
              </c:numCache>
            </c:numRef>
          </c:val>
          <c:extLst>
            <c:ext xmlns:c16="http://schemas.microsoft.com/office/drawing/2014/chart" uri="{C3380CC4-5D6E-409C-BE32-E72D297353CC}">
              <c16:uniqueId val="{00000000-A9F6-469A-8A0B-EA27EF87DA23}"/>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4499125109361324E-2"/>
          <c:y val="0.1104300687904208"/>
          <c:w val="0.63076552930883645"/>
          <c:h val="0.86192853344312348"/>
        </c:manualLayout>
      </c:layout>
      <c:pie3DChart>
        <c:varyColors val="1"/>
        <c:ser>
          <c:idx val="0"/>
          <c:order val="0"/>
          <c:tx>
            <c:strRef>
              <c:f>'[Grijanje 2015.xlsx]Podjela'!$L$56:$L$64</c:f>
              <c:strCache>
                <c:ptCount val="1"/>
                <c:pt idx="0">
                  <c:v>Toplana vrelovod Toplana para Prirodni plin Lož ulje Električna energija  UNP Biomasa Geotermalna voda Bez grijanja</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'[Grijanje 2015.xlsx]Podjela'!$L$56:$L$64</c:f>
              <c:strCache>
                <c:ptCount val="9"/>
                <c:pt idx="0">
                  <c:v>Toplana vrelovod</c:v>
                </c:pt>
                <c:pt idx="1">
                  <c:v>Toplana para</c:v>
                </c:pt>
                <c:pt idx="2">
                  <c:v>Prirodni plin</c:v>
                </c:pt>
                <c:pt idx="3">
                  <c:v>Lož ulje</c:v>
                </c:pt>
                <c:pt idx="4">
                  <c:v>Električna energija </c:v>
                </c:pt>
                <c:pt idx="5">
                  <c:v>UNP</c:v>
                </c:pt>
                <c:pt idx="6">
                  <c:v>Biomasa</c:v>
                </c:pt>
                <c:pt idx="7">
                  <c:v>Geotermalna voda</c:v>
                </c:pt>
                <c:pt idx="8">
                  <c:v>Bez grijanja</c:v>
                </c:pt>
              </c:strCache>
            </c:strRef>
          </c:cat>
          <c:val>
            <c:numRef>
              <c:f>'[Grijanje 2015.xlsx]Podjela'!$M$56:$M$64</c:f>
              <c:numCache>
                <c:formatCode>0.00%</c:formatCode>
                <c:ptCount val="9"/>
                <c:pt idx="0">
                  <c:v>0.33107038242835207</c:v>
                </c:pt>
                <c:pt idx="1">
                  <c:v>5.1896958705697945E-2</c:v>
                </c:pt>
                <c:pt idx="2">
                  <c:v>0.44242524386910081</c:v>
                </c:pt>
                <c:pt idx="3">
                  <c:v>0.14117490242132041</c:v>
                </c:pt>
                <c:pt idx="4">
                  <c:v>6.8437779918297092E-3</c:v>
                </c:pt>
                <c:pt idx="5">
                  <c:v>1.6900734960942313E-3</c:v>
                </c:pt>
                <c:pt idx="6">
                  <c:v>2.7778862696689372E-3</c:v>
                </c:pt>
                <c:pt idx="7">
                  <c:v>2.1492147549097115E-2</c:v>
                </c:pt>
                <c:pt idx="8">
                  <c:v>6.2862726883862918E-4</c:v>
                </c:pt>
              </c:numCache>
            </c:numRef>
          </c:val>
          <c:extLst>
            <c:ext xmlns:c16="http://schemas.microsoft.com/office/drawing/2014/chart" uri="{C3380CC4-5D6E-409C-BE32-E72D297353CC}">
              <c16:uniqueId val="{00000000-60E3-4D8D-B30D-C1B84F0571AA}"/>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481694417827401"/>
          <c:y val="4.1120443277923593E-2"/>
          <c:w val="0.88518305582172596"/>
          <c:h val="0.6520676582093905"/>
        </c:manualLayout>
      </c:layout>
      <c:bar3DChart>
        <c:barDir val="col"/>
        <c:grouping val="clustered"/>
        <c:varyColors val="0"/>
        <c:ser>
          <c:idx val="0"/>
          <c:order val="0"/>
          <c:tx>
            <c:strRef>
              <c:f>Podjela!$A$30:$A$35</c:f>
              <c:strCache>
                <c:ptCount val="6"/>
                <c:pt idx="0">
                  <c:v>Obrazovne ustanove</c:v>
                </c:pt>
                <c:pt idx="1">
                  <c:v>Zdravstvene ustanove i ustanove socijalne zaštite</c:v>
                </c:pt>
                <c:pt idx="2">
                  <c:v>Kultura</c:v>
                </c:pt>
                <c:pt idx="3">
                  <c:v>Uprava</c:v>
                </c:pt>
                <c:pt idx="4">
                  <c:v>Sport</c:v>
                </c:pt>
                <c:pt idx="5">
                  <c:v>Ostalo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Podjela!$A$30:$A$35</c:f>
              <c:strCache>
                <c:ptCount val="6"/>
                <c:pt idx="0">
                  <c:v>Obrazovne ustanove</c:v>
                </c:pt>
                <c:pt idx="1">
                  <c:v>Zdravstvene ustanove i ustanove socijalne zaštite</c:v>
                </c:pt>
                <c:pt idx="2">
                  <c:v>Kultura</c:v>
                </c:pt>
                <c:pt idx="3">
                  <c:v>Uprava</c:v>
                </c:pt>
                <c:pt idx="4">
                  <c:v>Sport</c:v>
                </c:pt>
                <c:pt idx="5">
                  <c:v>Ostalo</c:v>
                </c:pt>
              </c:strCache>
            </c:strRef>
          </c:cat>
          <c:val>
            <c:numRef>
              <c:f>Podjela!$B$30:$B$35</c:f>
              <c:numCache>
                <c:formatCode>#,##0.00</c:formatCode>
                <c:ptCount val="6"/>
                <c:pt idx="0">
                  <c:v>155.95376702547799</c:v>
                </c:pt>
                <c:pt idx="1">
                  <c:v>233.5512954556566</c:v>
                </c:pt>
                <c:pt idx="2">
                  <c:v>138.82725576487428</c:v>
                </c:pt>
                <c:pt idx="3">
                  <c:v>138.16489217410327</c:v>
                </c:pt>
                <c:pt idx="4">
                  <c:v>231.63742378458525</c:v>
                </c:pt>
                <c:pt idx="5">
                  <c:v>343.02033500943662</c:v>
                </c:pt>
              </c:numCache>
            </c:numRef>
          </c:val>
          <c:extLst>
            <c:ext xmlns:c16="http://schemas.microsoft.com/office/drawing/2014/chart" uri="{C3380CC4-5D6E-409C-BE32-E72D297353CC}">
              <c16:uniqueId val="{00000000-E651-424A-A8F9-46867FD5C6D0}"/>
            </c:ext>
          </c:extLst>
        </c:ser>
        <c:dLbls>
          <c:showLegendKey val="0"/>
          <c:showVal val="0"/>
          <c:showCatName val="0"/>
          <c:showSerName val="0"/>
          <c:showPercent val="0"/>
          <c:showBubbleSize val="0"/>
        </c:dLbls>
        <c:gapWidth val="150"/>
        <c:shape val="box"/>
        <c:axId val="162421248"/>
        <c:axId val="166639232"/>
        <c:axId val="0"/>
      </c:bar3DChart>
      <c:catAx>
        <c:axId val="162421248"/>
        <c:scaling>
          <c:orientation val="minMax"/>
        </c:scaling>
        <c:delete val="0"/>
        <c:axPos val="b"/>
        <c:numFmt formatCode="General" sourceLinked="0"/>
        <c:majorTickMark val="out"/>
        <c:minorTickMark val="none"/>
        <c:tickLblPos val="nextTo"/>
        <c:txPr>
          <a:bodyPr/>
          <a:lstStyle/>
          <a:p>
            <a:pPr>
              <a:defRPr sz="900"/>
            </a:pPr>
            <a:endParaRPr lang="sr-Latn-RS"/>
          </a:p>
        </c:txPr>
        <c:crossAx val="166639232"/>
        <c:crosses val="autoZero"/>
        <c:auto val="1"/>
        <c:lblAlgn val="ctr"/>
        <c:lblOffset val="100"/>
        <c:noMultiLvlLbl val="0"/>
      </c:catAx>
      <c:valAx>
        <c:axId val="166639232"/>
        <c:scaling>
          <c:orientation val="minMax"/>
        </c:scaling>
        <c:delete val="0"/>
        <c:axPos val="l"/>
        <c:majorGridlines/>
        <c:title>
          <c:tx>
            <c:rich>
              <a:bodyPr rot="-5400000" vert="horz"/>
              <a:lstStyle/>
              <a:p>
                <a:pPr>
                  <a:defRPr/>
                </a:pPr>
                <a:r>
                  <a:rPr lang="hr-HR"/>
                  <a:t>kWh/m</a:t>
                </a:r>
                <a:r>
                  <a:rPr lang="hr-HR" baseline="30000"/>
                  <a:t>2</a:t>
                </a:r>
              </a:p>
            </c:rich>
          </c:tx>
          <c:layout>
            <c:manualLayout>
              <c:xMode val="edge"/>
              <c:yMode val="edge"/>
              <c:x val="4.6253477574562297E-4"/>
              <c:y val="0.31678244386118404"/>
            </c:manualLayout>
          </c:layout>
          <c:overlay val="0"/>
        </c:title>
        <c:numFmt formatCode="#,##0.00" sourceLinked="1"/>
        <c:majorTickMark val="out"/>
        <c:minorTickMark val="none"/>
        <c:tickLblPos val="nextTo"/>
        <c:crossAx val="16242124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dLbl>
              <c:idx val="5"/>
              <c:layout>
                <c:manualLayout>
                  <c:x val="5.9289707430638966E-2"/>
                  <c:y val="-4.780203477909742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D3A-4079-860D-6B22B59D9D62}"/>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'[Grijanje_ŠKOLSKE.xlsx]2015'!$A$12:$A$18</c:f>
              <c:strCache>
                <c:ptCount val="7"/>
                <c:pt idx="0">
                  <c:v>Toplana vrelovod</c:v>
                </c:pt>
                <c:pt idx="1">
                  <c:v>Toplana para</c:v>
                </c:pt>
                <c:pt idx="2">
                  <c:v>Prirodni plin</c:v>
                </c:pt>
                <c:pt idx="3">
                  <c:v>Lož ulje</c:v>
                </c:pt>
                <c:pt idx="4">
                  <c:v>Električna energija</c:v>
                </c:pt>
                <c:pt idx="5">
                  <c:v>UNP</c:v>
                </c:pt>
                <c:pt idx="6">
                  <c:v>Biomasa drvo</c:v>
                </c:pt>
              </c:strCache>
            </c:strRef>
          </c:cat>
          <c:val>
            <c:numRef>
              <c:f>'[Grijanje_ŠKOLSKE.xlsx]2015'!$F$12:$F$18</c:f>
              <c:numCache>
                <c:formatCode>0.00%</c:formatCode>
                <c:ptCount val="7"/>
                <c:pt idx="0">
                  <c:v>0.35248534519457764</c:v>
                </c:pt>
                <c:pt idx="1">
                  <c:v>4.1115103738696063E-2</c:v>
                </c:pt>
                <c:pt idx="2">
                  <c:v>0.36626087605033036</c:v>
                </c:pt>
                <c:pt idx="3">
                  <c:v>0.23785782580287537</c:v>
                </c:pt>
                <c:pt idx="4">
                  <c:v>1.4600712019939672E-3</c:v>
                </c:pt>
                <c:pt idx="5">
                  <c:v>6.0594921779372267E-4</c:v>
                </c:pt>
                <c:pt idx="6">
                  <c:v>2.1482879373299662E-4</c:v>
                </c:pt>
              </c:numCache>
            </c:numRef>
          </c:val>
          <c:extLst>
            <c:ext xmlns:c16="http://schemas.microsoft.com/office/drawing/2014/chart" uri="{C3380CC4-5D6E-409C-BE32-E72D297353CC}">
              <c16:uniqueId val="{00000001-6D3A-4079-860D-6B22B59D9D62}"/>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442385798198242"/>
          <c:y val="3.3567708798304972E-2"/>
          <c:w val="0.86261512023283249"/>
          <c:h val="0.88750025294457235"/>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Podjela!$J$29:$Q$29</c:f>
              <c:strCache>
                <c:ptCount val="8"/>
                <c:pt idx="0">
                  <c:v>Toplana vrelovod</c:v>
                </c:pt>
                <c:pt idx="1">
                  <c:v>Toplana para</c:v>
                </c:pt>
                <c:pt idx="2">
                  <c:v>Prirodni plina</c:v>
                </c:pt>
                <c:pt idx="3">
                  <c:v>Električna energija</c:v>
                </c:pt>
                <c:pt idx="4">
                  <c:v>Lož ulje</c:v>
                </c:pt>
                <c:pt idx="5">
                  <c:v>UNP</c:v>
                </c:pt>
                <c:pt idx="6">
                  <c:v>Biomasa</c:v>
                </c:pt>
                <c:pt idx="7">
                  <c:v>Geotermalna voda</c:v>
                </c:pt>
              </c:strCache>
            </c:strRef>
          </c:cat>
          <c:val>
            <c:numRef>
              <c:f>Podjela!$J$30:$Q$30</c:f>
              <c:numCache>
                <c:formatCode>#,##0.00</c:formatCode>
                <c:ptCount val="8"/>
                <c:pt idx="0">
                  <c:v>175.40990863092341</c:v>
                </c:pt>
                <c:pt idx="1">
                  <c:v>166.13835159237939</c:v>
                </c:pt>
                <c:pt idx="2">
                  <c:v>168.78909220516832</c:v>
                </c:pt>
                <c:pt idx="3">
                  <c:v>117.30196373453404</c:v>
                </c:pt>
                <c:pt idx="4">
                  <c:v>171.54738717129305</c:v>
                </c:pt>
                <c:pt idx="5">
                  <c:v>264.37711719859425</c:v>
                </c:pt>
                <c:pt idx="6">
                  <c:v>180.25325375814191</c:v>
                </c:pt>
                <c:pt idx="7">
                  <c:v>286.03351815899663</c:v>
                </c:pt>
              </c:numCache>
            </c:numRef>
          </c:val>
          <c:extLst>
            <c:ext xmlns:c16="http://schemas.microsoft.com/office/drawing/2014/chart" uri="{C3380CC4-5D6E-409C-BE32-E72D297353CC}">
              <c16:uniqueId val="{00000000-B5F8-4C98-A5FA-70ACFB95E461}"/>
            </c:ext>
          </c:extLst>
        </c:ser>
        <c:dLbls>
          <c:showLegendKey val="0"/>
          <c:showVal val="0"/>
          <c:showCatName val="0"/>
          <c:showSerName val="0"/>
          <c:showPercent val="0"/>
          <c:showBubbleSize val="0"/>
        </c:dLbls>
        <c:gapWidth val="150"/>
        <c:shape val="box"/>
        <c:axId val="168081408"/>
        <c:axId val="166640960"/>
        <c:axId val="0"/>
      </c:bar3DChart>
      <c:catAx>
        <c:axId val="168081408"/>
        <c:scaling>
          <c:orientation val="minMax"/>
        </c:scaling>
        <c:delete val="0"/>
        <c:axPos val="b"/>
        <c:numFmt formatCode="General" sourceLinked="0"/>
        <c:majorTickMark val="out"/>
        <c:minorTickMark val="none"/>
        <c:tickLblPos val="nextTo"/>
        <c:txPr>
          <a:bodyPr/>
          <a:lstStyle/>
          <a:p>
            <a:pPr>
              <a:defRPr sz="800"/>
            </a:pPr>
            <a:endParaRPr lang="sr-Latn-RS"/>
          </a:p>
        </c:txPr>
        <c:crossAx val="166640960"/>
        <c:crosses val="autoZero"/>
        <c:auto val="1"/>
        <c:lblAlgn val="ctr"/>
        <c:lblOffset val="100"/>
        <c:noMultiLvlLbl val="0"/>
      </c:catAx>
      <c:valAx>
        <c:axId val="166640960"/>
        <c:scaling>
          <c:orientation val="minMax"/>
        </c:scaling>
        <c:delete val="0"/>
        <c:axPos val="l"/>
        <c:majorGridlines/>
        <c:title>
          <c:tx>
            <c:rich>
              <a:bodyPr/>
              <a:lstStyle/>
              <a:p>
                <a:pPr>
                  <a:defRPr/>
                </a:pPr>
                <a:r>
                  <a:rPr lang="hr-HR"/>
                  <a:t>kWh/m</a:t>
                </a:r>
                <a:r>
                  <a:rPr lang="hr-HR" baseline="30000"/>
                  <a:t>2</a:t>
                </a:r>
              </a:p>
            </c:rich>
          </c:tx>
          <c:overlay val="0"/>
        </c:title>
        <c:numFmt formatCode="#,##0.00" sourceLinked="1"/>
        <c:majorTickMark val="out"/>
        <c:minorTickMark val="none"/>
        <c:tickLblPos val="nextTo"/>
        <c:crossAx val="168081408"/>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8079519149482375E-2"/>
          <c:y val="7.1201219721703263E-2"/>
          <c:w val="0.90192048085051768"/>
          <c:h val="0.60320863324364082"/>
        </c:manualLayout>
      </c:layout>
      <c:bar3DChart>
        <c:barDir val="col"/>
        <c:grouping val="clustered"/>
        <c:varyColors val="0"/>
        <c:ser>
          <c:idx val="0"/>
          <c:order val="0"/>
          <c:tx>
            <c:strRef>
              <c:f>'[Zagrebački Holding.xlsx]2015.'!$B$2:$B$21</c:f>
              <c:strCache>
                <c:ptCount val="1"/>
                <c:pt idx="0">
                  <c:v>AGM Autobusni kolodvor Zagreb Čistoća Gradska groblja Gradsko stambeno komunalno gospodarstvo Robni terminali Zagreb Tržnice Zagreb Vladimir Nazor Vodoopskrba i odvodnja Zagrebparking Zagrebačke ceste Zagrebački električni tramvaj - ZET Zagrebački velesaj</c:v>
                </c:pt>
              </c:strCache>
            </c:strRef>
          </c:tx>
          <c:invertIfNegative val="0"/>
          <c:dLbls>
            <c:dLbl>
              <c:idx val="11"/>
              <c:layout>
                <c:manualLayout>
                  <c:x val="2.0387359836901123E-3"/>
                  <c:y val="0.137931001193229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0A-44C6-981F-36E94D43CD57}"/>
                </c:ext>
              </c:extLst>
            </c:dLbl>
            <c:spPr>
              <a:noFill/>
              <a:ln>
                <a:noFill/>
              </a:ln>
              <a:effectLst/>
            </c:spPr>
            <c:txPr>
              <a:bodyPr rot="-5400000" vert="horz" anchor="ctr" anchorCtr="1"/>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'[Zagrebački Holding.xlsx]2015.'!$B$2:$B$21</c:f>
              <c:strCache>
                <c:ptCount val="20"/>
                <c:pt idx="0">
                  <c:v>AGM</c:v>
                </c:pt>
                <c:pt idx="1">
                  <c:v>Autobusni kolodvor Zagreb</c:v>
                </c:pt>
                <c:pt idx="2">
                  <c:v>Čistoća</c:v>
                </c:pt>
                <c:pt idx="3">
                  <c:v>Gradska groblja</c:v>
                </c:pt>
                <c:pt idx="4">
                  <c:v>Gradsko stambeno komunalno gospodarstvo</c:v>
                </c:pt>
                <c:pt idx="5">
                  <c:v>Robni terminali Zagreb</c:v>
                </c:pt>
                <c:pt idx="6">
                  <c:v>Tržnice Zagreb</c:v>
                </c:pt>
                <c:pt idx="7">
                  <c:v>Vladimir Nazor</c:v>
                </c:pt>
                <c:pt idx="8">
                  <c:v>Vodoopskrba i odvodnja</c:v>
                </c:pt>
                <c:pt idx="9">
                  <c:v>Zagrebparking</c:v>
                </c:pt>
                <c:pt idx="10">
                  <c:v>Zagrebačke ceste</c:v>
                </c:pt>
                <c:pt idx="11">
                  <c:v>Zagrebački električni tramvaj - ZET</c:v>
                </c:pt>
                <c:pt idx="12">
                  <c:v>Zagrebački velesajam</c:v>
                </c:pt>
                <c:pt idx="13">
                  <c:v>ZGOS</c:v>
                </c:pt>
                <c:pt idx="14">
                  <c:v>Zrinjevac</c:v>
                </c:pt>
                <c:pt idx="15">
                  <c:v>Gradska plinara Zagreb d.o.o.</c:v>
                </c:pt>
                <c:pt idx="16">
                  <c:v>Zagreb plakat d.o.o</c:v>
                </c:pt>
                <c:pt idx="17">
                  <c:v>Gradska ljekarna Zagreb d.o.o.</c:v>
                </c:pt>
                <c:pt idx="18">
                  <c:v>Arena Zagreb</c:v>
                </c:pt>
                <c:pt idx="19">
                  <c:v>Upravljanje nekretninama</c:v>
                </c:pt>
              </c:strCache>
            </c:strRef>
          </c:cat>
          <c:val>
            <c:numRef>
              <c:f>'[Zagrebački Holding.xlsx]2015.'!$E$2:$E$21</c:f>
              <c:numCache>
                <c:formatCode>#,##0.00</c:formatCode>
                <c:ptCount val="20"/>
                <c:pt idx="0">
                  <c:v>82.545805207328826</c:v>
                </c:pt>
                <c:pt idx="1">
                  <c:v>129.51847121706638</c:v>
                </c:pt>
                <c:pt idx="2">
                  <c:v>61.134017719026858</c:v>
                </c:pt>
                <c:pt idx="3">
                  <c:v>120.77508230539577</c:v>
                </c:pt>
                <c:pt idx="4">
                  <c:v>79.752226707803601</c:v>
                </c:pt>
                <c:pt idx="5">
                  <c:v>78.304839760698101</c:v>
                </c:pt>
                <c:pt idx="6">
                  <c:v>177.06125972270715</c:v>
                </c:pt>
                <c:pt idx="7">
                  <c:v>58.358802747897172</c:v>
                </c:pt>
                <c:pt idx="8">
                  <c:v>40.000000000000007</c:v>
                </c:pt>
                <c:pt idx="9">
                  <c:v>40.391012743125422</c:v>
                </c:pt>
                <c:pt idx="10">
                  <c:v>33.934169278996862</c:v>
                </c:pt>
                <c:pt idx="11">
                  <c:v>58</c:v>
                </c:pt>
                <c:pt idx="12">
                  <c:v>19.151125198098256</c:v>
                </c:pt>
                <c:pt idx="13">
                  <c:v>27.710693904557111</c:v>
                </c:pt>
                <c:pt idx="14">
                  <c:v>47.909754479097543</c:v>
                </c:pt>
                <c:pt idx="15">
                  <c:v>68.897541301481425</c:v>
                </c:pt>
                <c:pt idx="16">
                  <c:v>82.056943637420119</c:v>
                </c:pt>
                <c:pt idx="17">
                  <c:v>99.21114064486305</c:v>
                </c:pt>
                <c:pt idx="18">
                  <c:v>52.494087181700472</c:v>
                </c:pt>
                <c:pt idx="19">
                  <c:v>64.810572946437574</c:v>
                </c:pt>
              </c:numCache>
            </c:numRef>
          </c:val>
          <c:extLst>
            <c:ext xmlns:c16="http://schemas.microsoft.com/office/drawing/2014/chart" uri="{C3380CC4-5D6E-409C-BE32-E72D297353CC}">
              <c16:uniqueId val="{00000001-8A0A-44C6-981F-36E94D43CD57}"/>
            </c:ext>
          </c:extLst>
        </c:ser>
        <c:dLbls>
          <c:showLegendKey val="0"/>
          <c:showVal val="0"/>
          <c:showCatName val="0"/>
          <c:showSerName val="0"/>
          <c:showPercent val="0"/>
          <c:showBubbleSize val="0"/>
        </c:dLbls>
        <c:gapWidth val="150"/>
        <c:shape val="box"/>
        <c:axId val="167993344"/>
        <c:axId val="168240256"/>
        <c:axId val="0"/>
      </c:bar3DChart>
      <c:catAx>
        <c:axId val="167993344"/>
        <c:scaling>
          <c:orientation val="minMax"/>
        </c:scaling>
        <c:delete val="0"/>
        <c:axPos val="b"/>
        <c:numFmt formatCode="General" sourceLinked="0"/>
        <c:majorTickMark val="out"/>
        <c:minorTickMark val="none"/>
        <c:tickLblPos val="nextTo"/>
        <c:txPr>
          <a:bodyPr rot="5400000" vert="horz"/>
          <a:lstStyle/>
          <a:p>
            <a:pPr>
              <a:defRPr sz="800">
                <a:latin typeface="Calibri (Body)"/>
              </a:defRPr>
            </a:pPr>
            <a:endParaRPr lang="sr-Latn-RS"/>
          </a:p>
        </c:txPr>
        <c:crossAx val="168240256"/>
        <c:crosses val="autoZero"/>
        <c:auto val="1"/>
        <c:lblAlgn val="ctr"/>
        <c:lblOffset val="100"/>
        <c:noMultiLvlLbl val="0"/>
      </c:catAx>
      <c:valAx>
        <c:axId val="168240256"/>
        <c:scaling>
          <c:orientation val="minMax"/>
        </c:scaling>
        <c:delete val="0"/>
        <c:axPos val="l"/>
        <c:majorGridlines/>
        <c:title>
          <c:tx>
            <c:rich>
              <a:bodyPr rot="-5400000" vert="horz"/>
              <a:lstStyle/>
              <a:p>
                <a:pPr>
                  <a:defRPr/>
                </a:pPr>
                <a:r>
                  <a:rPr lang="hr-HR"/>
                  <a:t>kWh/m</a:t>
                </a:r>
                <a:r>
                  <a:rPr lang="hr-HR" baseline="30000"/>
                  <a:t>2</a:t>
                </a:r>
              </a:p>
            </c:rich>
          </c:tx>
          <c:layout>
            <c:manualLayout>
              <c:xMode val="edge"/>
              <c:yMode val="edge"/>
              <c:x val="2.7621774478019182E-3"/>
              <c:y val="0.2553550611016413"/>
            </c:manualLayout>
          </c:layout>
          <c:overlay val="0"/>
        </c:title>
        <c:numFmt formatCode="#,##0.00" sourceLinked="1"/>
        <c:majorTickMark val="out"/>
        <c:minorTickMark val="none"/>
        <c:tickLblPos val="nextTo"/>
        <c:crossAx val="167993344"/>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783653226545261"/>
          <c:y val="3.1839746730826984E-2"/>
          <c:w val="0.87216341300532696"/>
          <c:h val="0.61500454992157683"/>
        </c:manualLayout>
      </c:layout>
      <c:bar3DChart>
        <c:barDir val="col"/>
        <c:grouping val="clustered"/>
        <c:varyColors val="0"/>
        <c:ser>
          <c:idx val="0"/>
          <c:order val="0"/>
          <c:tx>
            <c:strRef>
              <c:f>'[Zagrebački Holding.xlsx]2015.'!$B$2:$B$21</c:f>
              <c:strCache>
                <c:ptCount val="1"/>
                <c:pt idx="0">
                  <c:v>AGM Autobusni kolodvor Zagreb Čistoća Gradska groblja Gradsko stambeno komunalno gospodarstvo Robni terminali Zagreb Tržnice Zagreb Vladimir Nazor Vodoopskrba i odvodnja Zagrebparking Zagrebačke ceste Zagrebački električni tramvaj - ZET Zagrebački velesaj</c:v>
                </c:pt>
              </c:strCache>
            </c:strRef>
          </c:tx>
          <c:invertIfNegative val="0"/>
          <c:dLbls>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'[Zagrebački Holding.xlsx]2015.'!$B$2:$B$21</c:f>
              <c:strCache>
                <c:ptCount val="20"/>
                <c:pt idx="0">
                  <c:v>AGM</c:v>
                </c:pt>
                <c:pt idx="1">
                  <c:v>Autobusni kolodvor Zagreb</c:v>
                </c:pt>
                <c:pt idx="2">
                  <c:v>Čistoća</c:v>
                </c:pt>
                <c:pt idx="3">
                  <c:v>Gradska groblja</c:v>
                </c:pt>
                <c:pt idx="4">
                  <c:v>Gradsko stambeno komunalno gospodarstvo</c:v>
                </c:pt>
                <c:pt idx="5">
                  <c:v>Robni terminali Zagreb</c:v>
                </c:pt>
                <c:pt idx="6">
                  <c:v>Tržnice Zagreb</c:v>
                </c:pt>
                <c:pt idx="7">
                  <c:v>Vladimir Nazor</c:v>
                </c:pt>
                <c:pt idx="8">
                  <c:v>Vodoopskrba i odvodnja</c:v>
                </c:pt>
                <c:pt idx="9">
                  <c:v>Zagrebparking</c:v>
                </c:pt>
                <c:pt idx="10">
                  <c:v>Zagrebačke ceste</c:v>
                </c:pt>
                <c:pt idx="11">
                  <c:v>Zagrebački električni tramvaj - ZET</c:v>
                </c:pt>
                <c:pt idx="12">
                  <c:v>Zagrebački velesajam</c:v>
                </c:pt>
                <c:pt idx="13">
                  <c:v>ZGOS</c:v>
                </c:pt>
                <c:pt idx="14">
                  <c:v>Zrinjevac</c:v>
                </c:pt>
                <c:pt idx="15">
                  <c:v>Gradska plinara Zagreb d.o.o.</c:v>
                </c:pt>
                <c:pt idx="16">
                  <c:v>Zagreb plakat d.o.o</c:v>
                </c:pt>
                <c:pt idx="17">
                  <c:v>Gradska ljekarna Zagreb d.o.o.</c:v>
                </c:pt>
                <c:pt idx="18">
                  <c:v>Arena Zagreb</c:v>
                </c:pt>
                <c:pt idx="19">
                  <c:v>Upravljanje nekretninama</c:v>
                </c:pt>
              </c:strCache>
            </c:strRef>
          </c:cat>
          <c:val>
            <c:numRef>
              <c:f>'[Zagrebački Holding.xlsx]2015.'!$G$2:$G$21</c:f>
              <c:numCache>
                <c:formatCode>#,##0.00</c:formatCode>
                <c:ptCount val="20"/>
                <c:pt idx="0">
                  <c:v>126.41046704048954</c:v>
                </c:pt>
                <c:pt idx="1">
                  <c:v>88.14523417595062</c:v>
                </c:pt>
                <c:pt idx="2">
                  <c:v>197.62827243504503</c:v>
                </c:pt>
                <c:pt idx="3">
                  <c:v>371.06751100213125</c:v>
                </c:pt>
                <c:pt idx="4">
                  <c:v>156.84438876837561</c:v>
                </c:pt>
                <c:pt idx="5">
                  <c:v>77.551779736390216</c:v>
                </c:pt>
                <c:pt idx="6">
                  <c:v>93.438883007475525</c:v>
                </c:pt>
                <c:pt idx="7">
                  <c:v>89.39523160761955</c:v>
                </c:pt>
                <c:pt idx="8">
                  <c:v>173.62098351422037</c:v>
                </c:pt>
                <c:pt idx="9">
                  <c:v>121.01738106908115</c:v>
                </c:pt>
                <c:pt idx="10">
                  <c:v>168.71789328681223</c:v>
                </c:pt>
                <c:pt idx="11">
                  <c:v>140</c:v>
                </c:pt>
                <c:pt idx="12">
                  <c:v>62</c:v>
                </c:pt>
                <c:pt idx="13">
                  <c:v>193.21189314366057</c:v>
                </c:pt>
                <c:pt idx="14">
                  <c:v>199.38882510119444</c:v>
                </c:pt>
                <c:pt idx="15">
                  <c:v>218.29031382650027</c:v>
                </c:pt>
                <c:pt idx="16">
                  <c:v>160.70889018012784</c:v>
                </c:pt>
                <c:pt idx="17">
                  <c:v>111.48433166910041</c:v>
                </c:pt>
                <c:pt idx="18">
                  <c:v>56.350791942982077</c:v>
                </c:pt>
                <c:pt idx="19">
                  <c:v>96.983541239366517</c:v>
                </c:pt>
              </c:numCache>
            </c:numRef>
          </c:val>
          <c:extLst>
            <c:ext xmlns:c16="http://schemas.microsoft.com/office/drawing/2014/chart" uri="{C3380CC4-5D6E-409C-BE32-E72D297353CC}">
              <c16:uniqueId val="{00000000-FCEB-4596-9B4A-693AC7BACA83}"/>
            </c:ext>
          </c:extLst>
        </c:ser>
        <c:dLbls>
          <c:showLegendKey val="0"/>
          <c:showVal val="0"/>
          <c:showCatName val="0"/>
          <c:showSerName val="0"/>
          <c:showPercent val="0"/>
          <c:showBubbleSize val="0"/>
        </c:dLbls>
        <c:gapWidth val="150"/>
        <c:shape val="box"/>
        <c:axId val="167982080"/>
        <c:axId val="168241984"/>
        <c:axId val="0"/>
      </c:bar3DChart>
      <c:catAx>
        <c:axId val="167982080"/>
        <c:scaling>
          <c:orientation val="minMax"/>
        </c:scaling>
        <c:delete val="0"/>
        <c:axPos val="b"/>
        <c:numFmt formatCode="General" sourceLinked="0"/>
        <c:majorTickMark val="out"/>
        <c:minorTickMark val="none"/>
        <c:tickLblPos val="nextTo"/>
        <c:txPr>
          <a:bodyPr rot="5400000" vert="horz"/>
          <a:lstStyle/>
          <a:p>
            <a:pPr>
              <a:defRPr sz="800"/>
            </a:pPr>
            <a:endParaRPr lang="sr-Latn-RS"/>
          </a:p>
        </c:txPr>
        <c:crossAx val="168241984"/>
        <c:crosses val="autoZero"/>
        <c:auto val="1"/>
        <c:lblAlgn val="ctr"/>
        <c:lblOffset val="100"/>
        <c:noMultiLvlLbl val="0"/>
      </c:catAx>
      <c:valAx>
        <c:axId val="168241984"/>
        <c:scaling>
          <c:orientation val="minMax"/>
        </c:scaling>
        <c:delete val="0"/>
        <c:axPos val="l"/>
        <c:majorGridlines/>
        <c:title>
          <c:tx>
            <c:rich>
              <a:bodyPr rot="-5400000" vert="horz"/>
              <a:lstStyle/>
              <a:p>
                <a:pPr>
                  <a:defRPr/>
                </a:pPr>
                <a:r>
                  <a:rPr lang="hr-HR"/>
                  <a:t>kWh/m</a:t>
                </a:r>
                <a:r>
                  <a:rPr lang="hr-HR" baseline="30000"/>
                  <a:t>2</a:t>
                </a:r>
              </a:p>
            </c:rich>
          </c:tx>
          <c:layout>
            <c:manualLayout>
              <c:xMode val="edge"/>
              <c:yMode val="edge"/>
              <c:x val="3.4410067328027667E-3"/>
              <c:y val="0.25549114935339134"/>
            </c:manualLayout>
          </c:layout>
          <c:overlay val="0"/>
        </c:title>
        <c:numFmt formatCode="#,##0.00" sourceLinked="1"/>
        <c:majorTickMark val="out"/>
        <c:minorTickMark val="none"/>
        <c:tickLblPos val="nextTo"/>
        <c:crossAx val="167982080"/>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'Energetska bilanca Grada_2014.'!$I$2:$I$14</c:f>
              <c:strCache>
                <c:ptCount val="13"/>
                <c:pt idx="0">
                  <c:v>Para i vrela voda</c:v>
                </c:pt>
                <c:pt idx="2">
                  <c:v>Prirodni plin</c:v>
                </c:pt>
                <c:pt idx="3">
                  <c:v>Lož ulje</c:v>
                </c:pt>
                <c:pt idx="4">
                  <c:v>Električna energija</c:v>
                </c:pt>
                <c:pt idx="5">
                  <c:v>UNP</c:v>
                </c:pt>
                <c:pt idx="6">
                  <c:v>Ogrjevno drvo</c:v>
                </c:pt>
                <c:pt idx="10">
                  <c:v>Ostalo</c:v>
                </c:pt>
                <c:pt idx="11">
                  <c:v>Ostala biomasa i otpad</c:v>
                </c:pt>
                <c:pt idx="12">
                  <c:v>Energija Sunca</c:v>
                </c:pt>
              </c:strCache>
            </c:strRef>
          </c:tx>
          <c:explosion val="25"/>
          <c:dLbls>
            <c:dLbl>
              <c:idx val="0"/>
              <c:layout>
                <c:manualLayout>
                  <c:x val="4.7550804675938099E-2"/>
                  <c:y val="-0.1158425915938589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97A-41D0-9D3C-467804B8A9F9}"/>
                </c:ext>
              </c:extLst>
            </c:dLbl>
            <c:dLbl>
              <c:idx val="1"/>
              <c:layout>
                <c:manualLayout>
                  <c:x val="0.16932639507018143"/>
                  <c:y val="-5.97416156313794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7A-41D0-9D3C-467804B8A9F9}"/>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'Energetska bilanca Grada_2014.'!$I$2:$I$14</c:f>
              <c:strCache>
                <c:ptCount val="13"/>
                <c:pt idx="0">
                  <c:v>Para i vrela voda</c:v>
                </c:pt>
                <c:pt idx="2">
                  <c:v>Prirodni plin</c:v>
                </c:pt>
                <c:pt idx="3">
                  <c:v>Lož ulje</c:v>
                </c:pt>
                <c:pt idx="4">
                  <c:v>Električna energija</c:v>
                </c:pt>
                <c:pt idx="5">
                  <c:v>UNP</c:v>
                </c:pt>
                <c:pt idx="6">
                  <c:v>Ogrjevno drvo</c:v>
                </c:pt>
                <c:pt idx="10">
                  <c:v>Ostalo</c:v>
                </c:pt>
                <c:pt idx="11">
                  <c:v>Ostala biomasa i otpad</c:v>
                </c:pt>
                <c:pt idx="12">
                  <c:v>Energija Sunca</c:v>
                </c:pt>
              </c:strCache>
            </c:strRef>
          </c:cat>
          <c:val>
            <c:numRef>
              <c:f>'Energetska bilanca Grada_2014.'!$J$2:$J$14</c:f>
              <c:numCache>
                <c:formatCode>General</c:formatCode>
                <c:ptCount val="13"/>
                <c:pt idx="0" formatCode="0.00%">
                  <c:v>0.18586645322692913</c:v>
                </c:pt>
                <c:pt idx="2" formatCode="0.00%">
                  <c:v>0.43624388855571344</c:v>
                </c:pt>
                <c:pt idx="3" formatCode="0.00%">
                  <c:v>8.6260858136042017E-3</c:v>
                </c:pt>
                <c:pt idx="4" formatCode="0.00%">
                  <c:v>0.21739372040306265</c:v>
                </c:pt>
                <c:pt idx="5" formatCode="0.00%">
                  <c:v>6.4949352008313995E-3</c:v>
                </c:pt>
                <c:pt idx="6" formatCode="0.00%">
                  <c:v>0.13192837126688781</c:v>
                </c:pt>
                <c:pt idx="10" formatCode="0.00%">
                  <c:v>1.0655753063864015E-3</c:v>
                </c:pt>
                <c:pt idx="11" formatCode="0.00%">
                  <c:v>7.3068021009353237E-3</c:v>
                </c:pt>
                <c:pt idx="12" formatCode="0.00%">
                  <c:v>5.0741681256495303E-3</c:v>
                </c:pt>
              </c:numCache>
            </c:numRef>
          </c:val>
          <c:extLst>
            <c:ext xmlns:c16="http://schemas.microsoft.com/office/drawing/2014/chart" uri="{C3380CC4-5D6E-409C-BE32-E72D297353CC}">
              <c16:uniqueId val="{00000002-197A-41D0-9D3C-467804B8A9F9}"/>
            </c:ext>
          </c:extLst>
        </c:ser>
        <c:dLbls>
          <c:showLegendKey val="0"/>
          <c:showVal val="0"/>
          <c:showCatName val="0"/>
          <c:showSerName val="0"/>
          <c:showPercent val="1"/>
          <c:showBubbleSize val="0"/>
          <c:showLeaderLines val="1"/>
        </c:dLbls>
      </c:pie3DChart>
    </c:plotArea>
    <c:legend>
      <c:legendPos val="r"/>
      <c:legendEntry>
        <c:idx val="1"/>
        <c:delete val="1"/>
      </c:legendEntry>
      <c:legendEntry>
        <c:idx val="7"/>
        <c:delete val="1"/>
      </c:legendEntry>
      <c:legendEntry>
        <c:idx val="8"/>
        <c:delete val="1"/>
      </c:legendEntry>
      <c:legendEntry>
        <c:idx val="9"/>
        <c:delete val="1"/>
      </c:legendEntry>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'[Stambene zgrade - kućanstva.xlsx]Trendovi'!$C$52</c:f>
              <c:strCache>
                <c:ptCount val="1"/>
                <c:pt idx="0">
                  <c:v>Potrošnja električne energije</c:v>
                </c:pt>
              </c:strCache>
            </c:strRef>
          </c:tx>
          <c:marker>
            <c:symbol val="none"/>
          </c:marker>
          <c:cat>
            <c:strRef>
              <c:f>'[Stambene zgrade - kućanstva.xlsx]Trendovi'!$E$52:$K$52</c:f>
              <c:strCache>
                <c:ptCount val="7"/>
                <c:pt idx="0">
                  <c:v>2009.</c:v>
                </c:pt>
                <c:pt idx="1">
                  <c:v>2010.</c:v>
                </c:pt>
                <c:pt idx="2">
                  <c:v>2011.</c:v>
                </c:pt>
                <c:pt idx="3">
                  <c:v>2012.</c:v>
                </c:pt>
                <c:pt idx="4">
                  <c:v>2013.</c:v>
                </c:pt>
                <c:pt idx="5">
                  <c:v>2014.</c:v>
                </c:pt>
                <c:pt idx="6">
                  <c:v>2015.</c:v>
                </c:pt>
              </c:strCache>
            </c:strRef>
          </c:cat>
          <c:val>
            <c:numRef>
              <c:f>'[Stambene zgrade - kućanstva.xlsx]Trendovi'!$E$53:$K$53</c:f>
              <c:numCache>
                <c:formatCode>#,##0_ ;[Red]\-#,##0\ </c:formatCode>
                <c:ptCount val="7"/>
                <c:pt idx="0">
                  <c:v>1139086.2679999999</c:v>
                </c:pt>
                <c:pt idx="1">
                  <c:v>1160469.9010000001</c:v>
                </c:pt>
                <c:pt idx="2">
                  <c:v>1144880.409</c:v>
                </c:pt>
                <c:pt idx="3">
                  <c:v>1133885.3670000001</c:v>
                </c:pt>
                <c:pt idx="4">
                  <c:v>1085273.9609999999</c:v>
                </c:pt>
                <c:pt idx="5">
                  <c:v>1064716.0689999999</c:v>
                </c:pt>
                <c:pt idx="6">
                  <c:v>1071080.594</c:v>
                </c:pt>
              </c:numCache>
            </c:numRef>
          </c:val>
          <c:smooth val="0"/>
          <c:extLst>
            <c:ext xmlns:c16="http://schemas.microsoft.com/office/drawing/2014/chart" uri="{C3380CC4-5D6E-409C-BE32-E72D297353CC}">
              <c16:uniqueId val="{00000000-BB3E-41E2-99EC-01B8817F7284}"/>
            </c:ext>
          </c:extLst>
        </c:ser>
        <c:dLbls>
          <c:showLegendKey val="0"/>
          <c:showVal val="0"/>
          <c:showCatName val="0"/>
          <c:showSerName val="0"/>
          <c:showPercent val="0"/>
          <c:showBubbleSize val="0"/>
        </c:dLbls>
        <c:smooth val="0"/>
        <c:axId val="171480576"/>
        <c:axId val="168244864"/>
      </c:lineChart>
      <c:catAx>
        <c:axId val="171480576"/>
        <c:scaling>
          <c:orientation val="minMax"/>
        </c:scaling>
        <c:delete val="0"/>
        <c:axPos val="b"/>
        <c:numFmt formatCode="General" sourceLinked="0"/>
        <c:majorTickMark val="none"/>
        <c:minorTickMark val="none"/>
        <c:tickLblPos val="nextTo"/>
        <c:crossAx val="168244864"/>
        <c:crosses val="autoZero"/>
        <c:auto val="1"/>
        <c:lblAlgn val="ctr"/>
        <c:lblOffset val="100"/>
        <c:noMultiLvlLbl val="0"/>
      </c:catAx>
      <c:valAx>
        <c:axId val="168244864"/>
        <c:scaling>
          <c:orientation val="minMax"/>
        </c:scaling>
        <c:delete val="0"/>
        <c:axPos val="l"/>
        <c:majorGridlines/>
        <c:title>
          <c:tx>
            <c:rich>
              <a:bodyPr rot="-5400000" vert="horz"/>
              <a:lstStyle/>
              <a:p>
                <a:pPr>
                  <a:defRPr/>
                </a:pPr>
                <a:r>
                  <a:rPr lang="hr-HR"/>
                  <a:t>MWh</a:t>
                </a:r>
              </a:p>
            </c:rich>
          </c:tx>
          <c:overlay val="0"/>
        </c:title>
        <c:numFmt formatCode="#,##0_ ;[Red]\-#,##0\ " sourceLinked="1"/>
        <c:majorTickMark val="none"/>
        <c:minorTickMark val="none"/>
        <c:tickLblPos val="nextTo"/>
        <c:crossAx val="171480576"/>
        <c:crosses val="autoZero"/>
        <c:crossBetween val="between"/>
      </c:valAx>
      <c:dTable>
        <c:showHorzBorder val="1"/>
        <c:showVertBorder val="1"/>
        <c:showOutline val="1"/>
        <c:showKeys val="1"/>
        <c:txPr>
          <a:bodyPr/>
          <a:lstStyle/>
          <a:p>
            <a:pPr rtl="0">
              <a:defRPr sz="800"/>
            </a:pPr>
            <a:endParaRPr lang="sr-Latn-RS"/>
          </a:p>
        </c:txPr>
      </c:dTable>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'[Stambene zgrade - kućanstva.xlsx]Trendovi'!$C$1</c:f>
              <c:strCache>
                <c:ptCount val="1"/>
                <c:pt idx="0">
                  <c:v>Potrošnja prirodnog plina</c:v>
                </c:pt>
              </c:strCache>
            </c:strRef>
          </c:tx>
          <c:cat>
            <c:strRef>
              <c:f>'[Stambene zgrade - kućanstva.xlsx]Trendovi'!$C$2:$J$2</c:f>
              <c:strCache>
                <c:ptCount val="7"/>
                <c:pt idx="0">
                  <c:v>2009.</c:v>
                </c:pt>
                <c:pt idx="1">
                  <c:v>2010.</c:v>
                </c:pt>
                <c:pt idx="2">
                  <c:v>2011.</c:v>
                </c:pt>
                <c:pt idx="3">
                  <c:v>2012.</c:v>
                </c:pt>
                <c:pt idx="4">
                  <c:v>2013.</c:v>
                </c:pt>
                <c:pt idx="5">
                  <c:v>2014.</c:v>
                </c:pt>
                <c:pt idx="6">
                  <c:v>2015.</c:v>
                </c:pt>
              </c:strCache>
              <c:extLst/>
            </c:strRef>
          </c:cat>
          <c:val>
            <c:numRef>
              <c:f>'[Stambene zgrade - kućanstva.xlsx]Trendovi'!$C$4:$J$4</c:f>
              <c:numCache>
                <c:formatCode>#,##0.00</c:formatCode>
                <c:ptCount val="7"/>
                <c:pt idx="0">
                  <c:v>2548158.6061264658</c:v>
                </c:pt>
                <c:pt idx="1">
                  <c:v>2540456.79885246</c:v>
                </c:pt>
                <c:pt idx="2">
                  <c:v>2366468.129225994</c:v>
                </c:pt>
                <c:pt idx="3">
                  <c:v>2243998.5768510681</c:v>
                </c:pt>
                <c:pt idx="4">
                  <c:v>2324265.0933617242</c:v>
                </c:pt>
                <c:pt idx="5">
                  <c:v>1965154.9483894324</c:v>
                </c:pt>
                <c:pt idx="6">
                  <c:v>2149336.9836847447</c:v>
                </c:pt>
              </c:numCache>
              <c:extLst/>
            </c:numRef>
          </c:val>
          <c:smooth val="0"/>
          <c:extLst>
            <c:ext xmlns:c16="http://schemas.microsoft.com/office/drawing/2014/chart" uri="{C3380CC4-5D6E-409C-BE32-E72D297353CC}">
              <c16:uniqueId val="{00000000-A30C-4E73-93DB-8885A9CFFF0F}"/>
            </c:ext>
          </c:extLst>
        </c:ser>
        <c:dLbls>
          <c:showLegendKey val="0"/>
          <c:showVal val="0"/>
          <c:showCatName val="0"/>
          <c:showSerName val="0"/>
          <c:showPercent val="0"/>
          <c:showBubbleSize val="0"/>
        </c:dLbls>
        <c:marker val="1"/>
        <c:smooth val="0"/>
        <c:axId val="167982592"/>
        <c:axId val="168246592"/>
      </c:lineChart>
      <c:catAx>
        <c:axId val="167982592"/>
        <c:scaling>
          <c:orientation val="minMax"/>
        </c:scaling>
        <c:delete val="0"/>
        <c:axPos val="b"/>
        <c:numFmt formatCode="General" sourceLinked="0"/>
        <c:majorTickMark val="none"/>
        <c:minorTickMark val="none"/>
        <c:tickLblPos val="nextTo"/>
        <c:crossAx val="168246592"/>
        <c:crosses val="autoZero"/>
        <c:auto val="1"/>
        <c:lblAlgn val="ctr"/>
        <c:lblOffset val="100"/>
        <c:noMultiLvlLbl val="0"/>
      </c:catAx>
      <c:valAx>
        <c:axId val="168246592"/>
        <c:scaling>
          <c:orientation val="minMax"/>
        </c:scaling>
        <c:delete val="0"/>
        <c:axPos val="l"/>
        <c:majorGridlines/>
        <c:title>
          <c:tx>
            <c:rich>
              <a:bodyPr/>
              <a:lstStyle/>
              <a:p>
                <a:pPr>
                  <a:defRPr/>
                </a:pPr>
                <a:r>
                  <a:rPr lang="hr-HR"/>
                  <a:t>MWh</a:t>
                </a:r>
              </a:p>
            </c:rich>
          </c:tx>
          <c:overlay val="0"/>
        </c:title>
        <c:numFmt formatCode="#,##0.00" sourceLinked="1"/>
        <c:majorTickMark val="none"/>
        <c:minorTickMark val="none"/>
        <c:tickLblPos val="nextTo"/>
        <c:crossAx val="167982592"/>
        <c:crosses val="autoZero"/>
        <c:crossBetween val="between"/>
      </c:valAx>
      <c:dTable>
        <c:showHorzBorder val="1"/>
        <c:showVertBorder val="1"/>
        <c:showOutline val="1"/>
        <c:showKeys val="1"/>
        <c:txPr>
          <a:bodyPr/>
          <a:lstStyle/>
          <a:p>
            <a:pPr rtl="0">
              <a:defRPr sz="800"/>
            </a:pPr>
            <a:endParaRPr lang="sr-Latn-RS"/>
          </a:p>
        </c:txPr>
      </c:dTable>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Trendovi!$C$27</c:f>
              <c:strCache>
                <c:ptCount val="1"/>
                <c:pt idx="0">
                  <c:v>Površina grijana na toplanu (m2)</c:v>
                </c:pt>
              </c:strCache>
            </c:strRef>
          </c:tx>
          <c:marker>
            <c:symbol val="none"/>
          </c:marker>
          <c:cat>
            <c:strRef>
              <c:f>Trendovi!$C$28:$J$28</c:f>
              <c:strCache>
                <c:ptCount val="8"/>
                <c:pt idx="0">
                  <c:v>2008.</c:v>
                </c:pt>
                <c:pt idx="1">
                  <c:v>2009.</c:v>
                </c:pt>
                <c:pt idx="2">
                  <c:v>2010.</c:v>
                </c:pt>
                <c:pt idx="3">
                  <c:v>2011.</c:v>
                </c:pt>
                <c:pt idx="4">
                  <c:v>2012.</c:v>
                </c:pt>
                <c:pt idx="5">
                  <c:v>2013.</c:v>
                </c:pt>
                <c:pt idx="6">
                  <c:v>2014.</c:v>
                </c:pt>
                <c:pt idx="7">
                  <c:v>2015.</c:v>
                </c:pt>
              </c:strCache>
            </c:strRef>
          </c:cat>
          <c:val>
            <c:numRef>
              <c:f>Trendovi!$C$29:$J$29</c:f>
              <c:numCache>
                <c:formatCode>#,##0</c:formatCode>
                <c:ptCount val="8"/>
                <c:pt idx="0">
                  <c:v>5038332</c:v>
                </c:pt>
                <c:pt idx="1">
                  <c:v>5060119</c:v>
                </c:pt>
                <c:pt idx="2">
                  <c:v>5079093</c:v>
                </c:pt>
                <c:pt idx="3">
                  <c:v>5094071</c:v>
                </c:pt>
                <c:pt idx="4">
                  <c:v>5116191</c:v>
                </c:pt>
                <c:pt idx="5">
                  <c:v>5172005</c:v>
                </c:pt>
                <c:pt idx="6">
                  <c:v>5188743</c:v>
                </c:pt>
                <c:pt idx="7">
                  <c:v>5206577</c:v>
                </c:pt>
              </c:numCache>
            </c:numRef>
          </c:val>
          <c:smooth val="0"/>
          <c:extLst>
            <c:ext xmlns:c16="http://schemas.microsoft.com/office/drawing/2014/chart" uri="{C3380CC4-5D6E-409C-BE32-E72D297353CC}">
              <c16:uniqueId val="{00000000-A8A1-41B8-A58E-1A5B42F387AB}"/>
            </c:ext>
          </c:extLst>
        </c:ser>
        <c:dLbls>
          <c:showLegendKey val="0"/>
          <c:showVal val="0"/>
          <c:showCatName val="0"/>
          <c:showSerName val="0"/>
          <c:showPercent val="0"/>
          <c:showBubbleSize val="0"/>
        </c:dLbls>
        <c:smooth val="0"/>
        <c:axId val="167994880"/>
        <c:axId val="173565056"/>
      </c:lineChart>
      <c:catAx>
        <c:axId val="167994880"/>
        <c:scaling>
          <c:orientation val="minMax"/>
        </c:scaling>
        <c:delete val="0"/>
        <c:axPos val="b"/>
        <c:numFmt formatCode="General" sourceLinked="0"/>
        <c:majorTickMark val="none"/>
        <c:minorTickMark val="none"/>
        <c:tickLblPos val="nextTo"/>
        <c:crossAx val="173565056"/>
        <c:crosses val="autoZero"/>
        <c:auto val="1"/>
        <c:lblAlgn val="ctr"/>
        <c:lblOffset val="100"/>
        <c:noMultiLvlLbl val="0"/>
      </c:catAx>
      <c:valAx>
        <c:axId val="173565056"/>
        <c:scaling>
          <c:orientation val="minMax"/>
        </c:scaling>
        <c:delete val="0"/>
        <c:axPos val="l"/>
        <c:majorGridlines/>
        <c:numFmt formatCode="#,##0" sourceLinked="1"/>
        <c:majorTickMark val="none"/>
        <c:minorTickMark val="none"/>
        <c:tickLblPos val="nextTo"/>
        <c:crossAx val="167994880"/>
        <c:crosses val="autoZero"/>
        <c:crossBetween val="between"/>
      </c:valAx>
      <c:dTable>
        <c:showHorzBorder val="1"/>
        <c:showVertBorder val="1"/>
        <c:showOutline val="1"/>
        <c:showKeys val="1"/>
        <c:txPr>
          <a:bodyPr/>
          <a:lstStyle/>
          <a:p>
            <a:pPr rtl="0">
              <a:defRPr sz="800"/>
            </a:pPr>
            <a:endParaRPr lang="sr-Latn-RS"/>
          </a:p>
        </c:txPr>
      </c:dTable>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4575459317585299E-2"/>
          <c:y val="0"/>
          <c:w val="0.67469526431895399"/>
          <c:h val="0.98303827065864557"/>
        </c:manualLayout>
      </c:layout>
      <c:pie3DChart>
        <c:varyColors val="1"/>
        <c:ser>
          <c:idx val="0"/>
          <c:order val="0"/>
          <c:tx>
            <c:strRef>
              <c:f>'[Komercijalni i uslužni.xlsx]Energetska bilanca Grada_2014.'!$G$2:$G$16</c:f>
              <c:strCache>
                <c:ptCount val="15"/>
                <c:pt idx="0">
                  <c:v>Para i vrela voda</c:v>
                </c:pt>
                <c:pt idx="2">
                  <c:v>Prirodni plin</c:v>
                </c:pt>
                <c:pt idx="3">
                  <c:v>Lož ulje</c:v>
                </c:pt>
                <c:pt idx="4">
                  <c:v>Električna energija</c:v>
                </c:pt>
                <c:pt idx="5">
                  <c:v>UNP</c:v>
                </c:pt>
                <c:pt idx="6">
                  <c:v>Ogrjevno drvo</c:v>
                </c:pt>
                <c:pt idx="14">
                  <c:v>Getermalna energija</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'[Komercijalni i uslužni.xlsx]Energetska bilanca Grada_2014.'!$G$2:$G$16</c:f>
              <c:strCache>
                <c:ptCount val="15"/>
                <c:pt idx="0">
                  <c:v>Para i vrela voda</c:v>
                </c:pt>
                <c:pt idx="2">
                  <c:v>Prirodni plin</c:v>
                </c:pt>
                <c:pt idx="3">
                  <c:v>Lož ulje</c:v>
                </c:pt>
                <c:pt idx="4">
                  <c:v>Električna energija</c:v>
                </c:pt>
                <c:pt idx="5">
                  <c:v>UNP</c:v>
                </c:pt>
                <c:pt idx="6">
                  <c:v>Ogrjevno drvo</c:v>
                </c:pt>
                <c:pt idx="14">
                  <c:v>Getermalna energija</c:v>
                </c:pt>
              </c:strCache>
            </c:strRef>
          </c:cat>
          <c:val>
            <c:numRef>
              <c:f>'[Komercijalni i uslužni.xlsx]Energetska bilanca Grada_2014.'!$H$2:$H$16</c:f>
              <c:numCache>
                <c:formatCode>General</c:formatCode>
                <c:ptCount val="15"/>
                <c:pt idx="0" formatCode="0.00%">
                  <c:v>0.25241879121189215</c:v>
                </c:pt>
                <c:pt idx="2" formatCode="0.00%">
                  <c:v>0.3145667824285423</c:v>
                </c:pt>
                <c:pt idx="3" formatCode="#,##0.00">
                  <c:v>6.5060377453531215E-2</c:v>
                </c:pt>
                <c:pt idx="4" formatCode="0.00%">
                  <c:v>0.342620999363066</c:v>
                </c:pt>
                <c:pt idx="5" formatCode="0.00%">
                  <c:v>1.7607679960360278E-2</c:v>
                </c:pt>
                <c:pt idx="6" formatCode="0.00%">
                  <c:v>4.3799103901396184E-3</c:v>
                </c:pt>
                <c:pt idx="14" formatCode="0.00%">
                  <c:v>3.3454591924684525E-3</c:v>
                </c:pt>
              </c:numCache>
            </c:numRef>
          </c:val>
          <c:extLst>
            <c:ext xmlns:c16="http://schemas.microsoft.com/office/drawing/2014/chart" uri="{C3380CC4-5D6E-409C-BE32-E72D297353CC}">
              <c16:uniqueId val="{00000000-7CF9-4F2D-9666-F4D01B86B93B}"/>
            </c:ext>
          </c:extLst>
        </c:ser>
        <c:dLbls>
          <c:showLegendKey val="0"/>
          <c:showVal val="0"/>
          <c:showCatName val="0"/>
          <c:showSerName val="0"/>
          <c:showPercent val="1"/>
          <c:showBubbleSize val="0"/>
          <c:showLeaderLines val="1"/>
        </c:dLbls>
      </c:pie3DChart>
    </c:plotArea>
    <c:legend>
      <c:legendPos val="r"/>
      <c:legendEntry>
        <c:idx val="1"/>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2398891028515241"/>
          <c:y val="3.9581175347733942E-2"/>
          <c:w val="0.6217851511136413"/>
          <c:h val="0.74057293640433985"/>
        </c:manualLayout>
      </c:layout>
      <c:bar3DChart>
        <c:barDir val="col"/>
        <c:grouping val="clustered"/>
        <c:varyColors val="0"/>
        <c:ser>
          <c:idx val="0"/>
          <c:order val="0"/>
          <c:tx>
            <c:strRef>
              <c:f>Zgradarstvo_UKUPNO!$A$57</c:f>
              <c:strCache>
                <c:ptCount val="1"/>
                <c:pt idx="0">
                  <c:v>Površina zgrada (m2)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Zgradarstvo_UKUPNO!$B$56:$D$56</c:f>
              <c:strCache>
                <c:ptCount val="3"/>
                <c:pt idx="0">
                  <c:v>Stambene i javne zgrade</c:v>
                </c:pt>
                <c:pt idx="1">
                  <c:v>Stambene zgrade - kućanstva</c:v>
                </c:pt>
                <c:pt idx="2">
                  <c:v>Zgrade komercijalnih i uslužnih djelatnosti</c:v>
                </c:pt>
              </c:strCache>
            </c:strRef>
          </c:cat>
          <c:val>
            <c:numRef>
              <c:f>Zgradarstvo_UKUPNO!$B$57:$D$57</c:f>
              <c:numCache>
                <c:formatCode>#,##0.00</c:formatCode>
                <c:ptCount val="3"/>
                <c:pt idx="0">
                  <c:v>2469845.35</c:v>
                </c:pt>
                <c:pt idx="1">
                  <c:v>25979962</c:v>
                </c:pt>
                <c:pt idx="2">
                  <c:v>10377926</c:v>
                </c:pt>
              </c:numCache>
            </c:numRef>
          </c:val>
          <c:extLst>
            <c:ext xmlns:c16="http://schemas.microsoft.com/office/drawing/2014/chart" uri="{C3380CC4-5D6E-409C-BE32-E72D297353CC}">
              <c16:uniqueId val="{00000000-C371-4655-8327-F6CCD4C52A95}"/>
            </c:ext>
          </c:extLst>
        </c:ser>
        <c:dLbls>
          <c:showLegendKey val="0"/>
          <c:showVal val="0"/>
          <c:showCatName val="0"/>
          <c:showSerName val="0"/>
          <c:showPercent val="0"/>
          <c:showBubbleSize val="0"/>
        </c:dLbls>
        <c:gapWidth val="150"/>
        <c:shape val="box"/>
        <c:axId val="167995392"/>
        <c:axId val="173567936"/>
        <c:axId val="0"/>
      </c:bar3DChart>
      <c:catAx>
        <c:axId val="167995392"/>
        <c:scaling>
          <c:orientation val="minMax"/>
        </c:scaling>
        <c:delete val="0"/>
        <c:axPos val="b"/>
        <c:numFmt formatCode="General" sourceLinked="0"/>
        <c:majorTickMark val="out"/>
        <c:minorTickMark val="none"/>
        <c:tickLblPos val="nextTo"/>
        <c:txPr>
          <a:bodyPr rot="0" vert="horz"/>
          <a:lstStyle/>
          <a:p>
            <a:pPr>
              <a:defRPr sz="900"/>
            </a:pPr>
            <a:endParaRPr lang="sr-Latn-RS"/>
          </a:p>
        </c:txPr>
        <c:crossAx val="173567936"/>
        <c:crosses val="autoZero"/>
        <c:auto val="1"/>
        <c:lblAlgn val="ctr"/>
        <c:lblOffset val="100"/>
        <c:noMultiLvlLbl val="0"/>
      </c:catAx>
      <c:valAx>
        <c:axId val="173567936"/>
        <c:scaling>
          <c:orientation val="minMax"/>
        </c:scaling>
        <c:delete val="0"/>
        <c:axPos val="l"/>
        <c:majorGridlines/>
        <c:title>
          <c:tx>
            <c:rich>
              <a:bodyPr rot="-5400000" vert="horz"/>
              <a:lstStyle/>
              <a:p>
                <a:pPr>
                  <a:defRPr/>
                </a:pPr>
                <a:r>
                  <a:rPr lang="hr-HR"/>
                  <a:t>m</a:t>
                </a:r>
                <a:r>
                  <a:rPr lang="hr-HR" baseline="30000"/>
                  <a:t>2</a:t>
                </a:r>
              </a:p>
            </c:rich>
          </c:tx>
          <c:layout>
            <c:manualLayout>
              <c:xMode val="edge"/>
              <c:yMode val="edge"/>
              <c:x val="8.7472567333318103E-3"/>
              <c:y val="0.41079175263519868"/>
            </c:manualLayout>
          </c:layout>
          <c:overlay val="0"/>
        </c:title>
        <c:numFmt formatCode="#,##0.00" sourceLinked="1"/>
        <c:majorTickMark val="out"/>
        <c:minorTickMark val="none"/>
        <c:tickLblPos val="nextTo"/>
        <c:crossAx val="167995392"/>
        <c:crosses val="autoZero"/>
        <c:crossBetween val="between"/>
      </c:valAx>
    </c:plotArea>
    <c:legend>
      <c:legendPos val="r"/>
      <c:layout>
        <c:manualLayout>
          <c:xMode val="edge"/>
          <c:yMode val="edge"/>
          <c:x val="0.81870470921470206"/>
          <c:y val="0.46991957556107627"/>
          <c:w val="0.1665301895939752"/>
          <c:h val="0.14928740859264247"/>
        </c:manualLayout>
      </c:layout>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1.8184032728393103E-3"/>
          <c:w val="0.70764268259571006"/>
          <c:h val="0.99818159672716067"/>
        </c:manualLayout>
      </c:layout>
      <c:pie3DChart>
        <c:varyColors val="1"/>
        <c:ser>
          <c:idx val="0"/>
          <c:order val="0"/>
          <c:tx>
            <c:strRef>
              <c:f>[Zgradarstvo_UKUPNO.xlsx]Zgradarstvo_UKUPNO!$A$2:$A$4</c:f>
              <c:strCache>
                <c:ptCount val="1"/>
                <c:pt idx="0">
                  <c:v>Stambene i javne zgrade u vlasništvu Grada Zagreba Stambene zgrade - kućanstva Zgrade komercijalnih i uslužnih djelatnosti</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[Zgradarstvo_UKUPNO.xlsx]Zgradarstvo_UKUPNO!$A$2:$A$4</c:f>
              <c:strCache>
                <c:ptCount val="3"/>
                <c:pt idx="0">
                  <c:v>Stambene i javne zgrade u vlasništvu Grada Zagreba</c:v>
                </c:pt>
                <c:pt idx="1">
                  <c:v>Stambene zgrade - kućanstva</c:v>
                </c:pt>
                <c:pt idx="2">
                  <c:v>Zgrade komercijalnih i uslužnih djelatnosti</c:v>
                </c:pt>
              </c:strCache>
            </c:strRef>
          </c:cat>
          <c:val>
            <c:numRef>
              <c:f>[Zgradarstvo_UKUPNO.xlsx]Zgradarstvo_UKUPNO!$D$2:$D$4</c:f>
              <c:numCache>
                <c:formatCode>#,##0.00</c:formatCode>
                <c:ptCount val="3"/>
                <c:pt idx="0">
                  <c:v>523646.96684999997</c:v>
                </c:pt>
                <c:pt idx="1">
                  <c:v>4926915.97</c:v>
                </c:pt>
                <c:pt idx="2">
                  <c:v>2271735.98</c:v>
                </c:pt>
              </c:numCache>
            </c:numRef>
          </c:val>
          <c:extLst>
            <c:ext xmlns:c16="http://schemas.microsoft.com/office/drawing/2014/chart" uri="{C3380CC4-5D6E-409C-BE32-E72D297353CC}">
              <c16:uniqueId val="{00000000-1231-430D-AB54-8C9688E008F1}"/>
            </c:ext>
          </c:extLst>
        </c:ser>
        <c:dLbls>
          <c:showLegendKey val="0"/>
          <c:showVal val="0"/>
          <c:showCatName val="0"/>
          <c:showSerName val="0"/>
          <c:showPercent val="1"/>
          <c:showBubbleSize val="0"/>
          <c:showLeaderLines val="1"/>
        </c:dLbls>
      </c:pie3DChart>
    </c:plotArea>
    <c:legend>
      <c:legendPos val="r"/>
      <c:layout>
        <c:manualLayout>
          <c:xMode val="edge"/>
          <c:yMode val="edge"/>
          <c:x val="0.70818846019008608"/>
          <c:y val="0.31064732265983913"/>
          <c:w val="0.27542845197696858"/>
          <c:h val="0.48333176925022153"/>
        </c:manualLayout>
      </c:layout>
      <c:overlay val="0"/>
      <c:txPr>
        <a:bodyPr/>
        <a:lstStyle/>
        <a:p>
          <a:pPr rtl="0">
            <a:defRPr sz="900"/>
          </a:pPr>
          <a:endParaRPr lang="sr-Latn-R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'[Grijanje_ŠKOLSKE.xlsx]2015'!$A$24:$D$24</c:f>
              <c:strCache>
                <c:ptCount val="4"/>
                <c:pt idx="0">
                  <c:v>Dječji vrtići</c:v>
                </c:pt>
                <c:pt idx="1">
                  <c:v>Osnovne škole</c:v>
                </c:pt>
                <c:pt idx="2">
                  <c:v>Srednje škole i učenički domovi</c:v>
                </c:pt>
                <c:pt idx="3">
                  <c:v>Prosjek</c:v>
                </c:pt>
              </c:strCache>
            </c:strRef>
          </c:cat>
          <c:val>
            <c:numRef>
              <c:f>'[Grijanje_ŠKOLSKE.xlsx]2015'!$A$25:$D$25</c:f>
              <c:numCache>
                <c:formatCode>#,##0.00</c:formatCode>
                <c:ptCount val="4"/>
                <c:pt idx="0">
                  <c:v>191.08499935776211</c:v>
                </c:pt>
                <c:pt idx="1">
                  <c:v>143.13758785963455</c:v>
                </c:pt>
                <c:pt idx="2">
                  <c:v>148.26373660820266</c:v>
                </c:pt>
                <c:pt idx="3">
                  <c:v>155.95377720330762</c:v>
                </c:pt>
              </c:numCache>
            </c:numRef>
          </c:val>
          <c:extLst>
            <c:ext xmlns:c16="http://schemas.microsoft.com/office/drawing/2014/chart" uri="{C3380CC4-5D6E-409C-BE32-E72D297353CC}">
              <c16:uniqueId val="{00000000-2431-49D9-B1E2-4BA1E2FF7E5E}"/>
            </c:ext>
          </c:extLst>
        </c:ser>
        <c:dLbls>
          <c:showLegendKey val="0"/>
          <c:showVal val="0"/>
          <c:showCatName val="0"/>
          <c:showSerName val="0"/>
          <c:showPercent val="0"/>
          <c:showBubbleSize val="0"/>
        </c:dLbls>
        <c:gapWidth val="150"/>
        <c:shape val="box"/>
        <c:axId val="160665600"/>
        <c:axId val="168430400"/>
        <c:axId val="0"/>
      </c:bar3DChart>
      <c:catAx>
        <c:axId val="160665600"/>
        <c:scaling>
          <c:orientation val="minMax"/>
        </c:scaling>
        <c:delete val="0"/>
        <c:axPos val="b"/>
        <c:numFmt formatCode="General" sourceLinked="0"/>
        <c:majorTickMark val="out"/>
        <c:minorTickMark val="none"/>
        <c:tickLblPos val="nextTo"/>
        <c:crossAx val="168430400"/>
        <c:crosses val="autoZero"/>
        <c:auto val="1"/>
        <c:lblAlgn val="ctr"/>
        <c:lblOffset val="100"/>
        <c:noMultiLvlLbl val="0"/>
      </c:catAx>
      <c:valAx>
        <c:axId val="168430400"/>
        <c:scaling>
          <c:orientation val="minMax"/>
        </c:scaling>
        <c:delete val="0"/>
        <c:axPos val="l"/>
        <c:majorGridlines/>
        <c:title>
          <c:tx>
            <c:rich>
              <a:bodyPr rot="-5400000" vert="horz"/>
              <a:lstStyle/>
              <a:p>
                <a:pPr>
                  <a:defRPr/>
                </a:pPr>
                <a:r>
                  <a:rPr lang="hr-HR"/>
                  <a:t>kWh/m</a:t>
                </a:r>
                <a:r>
                  <a:rPr lang="hr-HR" baseline="30000"/>
                  <a:t>2</a:t>
                </a:r>
              </a:p>
            </c:rich>
          </c:tx>
          <c:overlay val="0"/>
        </c:title>
        <c:numFmt formatCode="#,##0.00" sourceLinked="1"/>
        <c:majorTickMark val="out"/>
        <c:minorTickMark val="none"/>
        <c:tickLblPos val="nextTo"/>
        <c:crossAx val="160665600"/>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1.966907261592301E-2"/>
          <c:y val="3.9351851851851853E-2"/>
          <c:w val="0.63092563429571302"/>
          <c:h val="0.92129629629629628"/>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[Zgradarstvo_UKUPNO.xlsx]Zgradarstvo_UKUPNO!$A$2:$A$4</c:f>
              <c:strCache>
                <c:ptCount val="3"/>
                <c:pt idx="0">
                  <c:v>Stambene i javne zgrade u vlasništvu Grada Zagreba</c:v>
                </c:pt>
                <c:pt idx="1">
                  <c:v>Stambene zgrade - kućanstva</c:v>
                </c:pt>
                <c:pt idx="2">
                  <c:v>Zgrade komercijalnih i uslužnih djelatnosti</c:v>
                </c:pt>
              </c:strCache>
            </c:strRef>
          </c:cat>
          <c:val>
            <c:numRef>
              <c:f>[Zgradarstvo_UKUPNO.xlsx]Zgradarstvo_UKUPNO!$B$2:$B$4</c:f>
              <c:numCache>
                <c:formatCode>#,##0.00</c:formatCode>
                <c:ptCount val="3"/>
                <c:pt idx="0">
                  <c:v>129624.08684999999</c:v>
                </c:pt>
                <c:pt idx="1">
                  <c:v>675479.01</c:v>
                </c:pt>
                <c:pt idx="2">
                  <c:v>498140.45</c:v>
                </c:pt>
              </c:numCache>
            </c:numRef>
          </c:val>
          <c:extLst>
            <c:ext xmlns:c16="http://schemas.microsoft.com/office/drawing/2014/chart" uri="{C3380CC4-5D6E-409C-BE32-E72D297353CC}">
              <c16:uniqueId val="{00000000-6FCD-4608-9548-96DF0F93ED33}"/>
            </c:ext>
          </c:extLst>
        </c:ser>
        <c:dLbls>
          <c:showLegendKey val="0"/>
          <c:showVal val="0"/>
          <c:showCatName val="0"/>
          <c:showSerName val="0"/>
          <c:showPercent val="1"/>
          <c:showBubbleSize val="0"/>
          <c:showLeaderLines val="1"/>
        </c:dLbls>
      </c:pie3DChart>
    </c:plotArea>
    <c:legend>
      <c:legendPos val="r"/>
      <c:layout>
        <c:manualLayout>
          <c:xMode val="edge"/>
          <c:yMode val="edge"/>
          <c:x val="0.64210564304461937"/>
          <c:y val="0.15624671916010499"/>
          <c:w val="0.35789435695538058"/>
          <c:h val="0.73988741653071477"/>
        </c:manualLayout>
      </c:layout>
      <c:overlay val="0"/>
      <c:txPr>
        <a:bodyPr/>
        <a:lstStyle/>
        <a:p>
          <a:pPr rtl="0">
            <a:defRPr sz="900"/>
          </a:pPr>
          <a:endParaRPr lang="sr-Latn-RS"/>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
          <c:w val="0.67215021914905726"/>
          <c:h val="1"/>
        </c:manualLayout>
      </c:layout>
      <c:pie3DChart>
        <c:varyColors val="1"/>
        <c:ser>
          <c:idx val="0"/>
          <c:order val="0"/>
          <c:tx>
            <c:strRef>
              <c:f>[Zgradarstvo_UKUPNO.xlsx]Zgradarstvo_UKUPNO!$A$2:$A$4</c:f>
              <c:strCache>
                <c:ptCount val="1"/>
                <c:pt idx="0">
                  <c:v>Stambene i javne zgrade u vlasništvu Grada Zagreba Stambene zgrade - kućanstva Zgrade komercijalnih i uslužnih djelatnosti</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[Zgradarstvo_UKUPNO.xlsx]Zgradarstvo_UKUPNO!$A$2:$A$4</c:f>
              <c:strCache>
                <c:ptCount val="3"/>
                <c:pt idx="0">
                  <c:v>Stambene i javne zgrade u vlasništvu Grada Zagreba</c:v>
                </c:pt>
                <c:pt idx="1">
                  <c:v>Stambene zgrade - kućanstva</c:v>
                </c:pt>
                <c:pt idx="2">
                  <c:v>Zgrade komercijalnih i uslužnih djelatnosti</c:v>
                </c:pt>
              </c:strCache>
            </c:strRef>
          </c:cat>
          <c:val>
            <c:numRef>
              <c:f>[Zgradarstvo_UKUPNO.xlsx]Zgradarstvo_UKUPNO!$C$2:$C$4</c:f>
              <c:numCache>
                <c:formatCode>#,##0.00</c:formatCode>
                <c:ptCount val="3"/>
                <c:pt idx="0">
                  <c:v>394022.88</c:v>
                </c:pt>
                <c:pt idx="1">
                  <c:v>4251436.96</c:v>
                </c:pt>
                <c:pt idx="2">
                  <c:v>1773595.53</c:v>
                </c:pt>
              </c:numCache>
            </c:numRef>
          </c:val>
          <c:extLst>
            <c:ext xmlns:c16="http://schemas.microsoft.com/office/drawing/2014/chart" uri="{C3380CC4-5D6E-409C-BE32-E72D297353CC}">
              <c16:uniqueId val="{00000000-A993-4077-9DE7-E548CAB4E693}"/>
            </c:ext>
          </c:extLst>
        </c:ser>
        <c:dLbls>
          <c:showLegendKey val="0"/>
          <c:showVal val="0"/>
          <c:showCatName val="0"/>
          <c:showSerName val="0"/>
          <c:showPercent val="1"/>
          <c:showBubbleSize val="0"/>
          <c:showLeaderLines val="1"/>
        </c:dLbls>
      </c:pie3DChart>
    </c:plotArea>
    <c:legend>
      <c:legendPos val="r"/>
      <c:layout>
        <c:manualLayout>
          <c:xMode val="edge"/>
          <c:yMode val="edge"/>
          <c:x val="0.66458993689618584"/>
          <c:y val="7.2154782735491405E-2"/>
          <c:w val="0.31306955380577428"/>
          <c:h val="0.78624599008457274"/>
        </c:manualLayout>
      </c:layout>
      <c:overlay val="0"/>
      <c:txPr>
        <a:bodyPr/>
        <a:lstStyle/>
        <a:p>
          <a:pPr rtl="0">
            <a:defRPr sz="900"/>
          </a:pPr>
          <a:endParaRPr lang="sr-Latn-RS"/>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3007283795835959E-2"/>
          <c:y val="5.2081285859655402E-3"/>
          <c:w val="0.65098785180061391"/>
          <c:h val="0.8872771892152459"/>
        </c:manualLayout>
      </c:layout>
      <c:pie3DChart>
        <c:varyColors val="1"/>
        <c:ser>
          <c:idx val="0"/>
          <c:order val="0"/>
          <c:tx>
            <c:strRef>
              <c:f>[Zgradarstvo_UKUPNO.xlsx]Zgradarstvo_UKUPNO!$B$26:$M$26</c:f>
              <c:strCache>
                <c:ptCount val="1"/>
                <c:pt idx="0">
                  <c:v>Toplana para i toplana vrelovod Prirodni plin Lož ulje UNP Biomasa Geotermalna voda Plinske boce Ogrjevno drvo Mrki ugljen Lignit Petrolej Električna energija</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[Zgradarstvo_UKUPNO.xlsx]Zgradarstvo_UKUPNO!$B$26:$N$26</c:f>
              <c:strCache>
                <c:ptCount val="13"/>
                <c:pt idx="0">
                  <c:v>Toplana para i toplana vrelovod</c:v>
                </c:pt>
                <c:pt idx="1">
                  <c:v>Prirodni plin</c:v>
                </c:pt>
                <c:pt idx="2">
                  <c:v>Lož ulje</c:v>
                </c:pt>
                <c:pt idx="3">
                  <c:v>UNP</c:v>
                </c:pt>
                <c:pt idx="4">
                  <c:v>Biomasa</c:v>
                </c:pt>
                <c:pt idx="5">
                  <c:v>Geotermalna voda</c:v>
                </c:pt>
                <c:pt idx="6">
                  <c:v>Plinske boce</c:v>
                </c:pt>
                <c:pt idx="7">
                  <c:v>Ogrjevno drvo</c:v>
                </c:pt>
                <c:pt idx="8">
                  <c:v>Mrki ugljen</c:v>
                </c:pt>
                <c:pt idx="9">
                  <c:v>Lignit</c:v>
                </c:pt>
                <c:pt idx="10">
                  <c:v>Petrolej</c:v>
                </c:pt>
                <c:pt idx="11">
                  <c:v>Električna energija</c:v>
                </c:pt>
                <c:pt idx="12">
                  <c:v>Energija Sunca</c:v>
                </c:pt>
              </c:strCache>
            </c:strRef>
          </c:cat>
          <c:val>
            <c:numRef>
              <c:f>[Zgradarstvo_UKUPNO.xlsx]Zgradarstvo_UKUPNO!$B$31:$N$31</c:f>
              <c:numCache>
                <c:formatCode>0.00%</c:formatCode>
                <c:ptCount val="13"/>
                <c:pt idx="0">
                  <c:v>0.21015470327586472</c:v>
                </c:pt>
                <c:pt idx="1">
                  <c:v>0.39386432952459455</c:v>
                </c:pt>
                <c:pt idx="2">
                  <c:v>2.9654508600342758E-2</c:v>
                </c:pt>
                <c:pt idx="3">
                  <c:v>9.4171956654402339E-3</c:v>
                </c:pt>
                <c:pt idx="4">
                  <c:v>5.4727368610546188E-3</c:v>
                </c:pt>
                <c:pt idx="5">
                  <c:v>2.171627925118067E-3</c:v>
                </c:pt>
                <c:pt idx="6">
                  <c:v>1.0633556244918452E-3</c:v>
                </c:pt>
                <c:pt idx="7">
                  <c:v>8.508387541763375E-2</c:v>
                </c:pt>
                <c:pt idx="8">
                  <c:v>2.4604072148796583E-4</c:v>
                </c:pt>
                <c:pt idx="9">
                  <c:v>1.5539413988713632E-4</c:v>
                </c:pt>
                <c:pt idx="10">
                  <c:v>2.7841450063111924E-4</c:v>
                </c:pt>
                <c:pt idx="11">
                  <c:v>0.25920043982913782</c:v>
                </c:pt>
                <c:pt idx="12">
                  <c:v>3.2373779143153401E-3</c:v>
                </c:pt>
              </c:numCache>
            </c:numRef>
          </c:val>
          <c:extLst>
            <c:ext xmlns:c16="http://schemas.microsoft.com/office/drawing/2014/chart" uri="{C3380CC4-5D6E-409C-BE32-E72D297353CC}">
              <c16:uniqueId val="{00000000-5587-4682-B4D3-3991B4B8F0DD}"/>
            </c:ext>
          </c:extLst>
        </c:ser>
        <c:dLbls>
          <c:showLegendKey val="0"/>
          <c:showVal val="0"/>
          <c:showCatName val="0"/>
          <c:showSerName val="0"/>
          <c:showPercent val="1"/>
          <c:showBubbleSize val="0"/>
          <c:showLeaderLines val="1"/>
        </c:dLbls>
      </c:pie3DChart>
    </c:plotArea>
    <c:legend>
      <c:legendPos val="r"/>
      <c:overlay val="0"/>
      <c:txPr>
        <a:bodyPr/>
        <a:lstStyle/>
        <a:p>
          <a:pPr rtl="0">
            <a:defRPr sz="900"/>
          </a:pPr>
          <a:endParaRPr lang="sr-Latn-RS"/>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5.0015310586176776E-3"/>
          <c:y val="1.1574074074074073E-2"/>
          <c:w val="0.65335783027121608"/>
          <c:h val="0.98611111111111116"/>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'[analiza.xlsx]GRAD ZAGREB_vozni park'!$C$54:$C$55</c:f>
              <c:strCache>
                <c:ptCount val="2"/>
                <c:pt idx="0">
                  <c:v>Broj osobnih automobila</c:v>
                </c:pt>
                <c:pt idx="1">
                  <c:v>Broj ostalih vozila</c:v>
                </c:pt>
              </c:strCache>
            </c:strRef>
          </c:cat>
          <c:val>
            <c:numRef>
              <c:f>'[analiza.xlsx]GRAD ZAGREB_vozni park'!$D$54:$D$55</c:f>
              <c:numCache>
                <c:formatCode>#,##0</c:formatCode>
                <c:ptCount val="2"/>
                <c:pt idx="0">
                  <c:v>446</c:v>
                </c:pt>
                <c:pt idx="1">
                  <c:v>2172</c:v>
                </c:pt>
              </c:numCache>
            </c:numRef>
          </c:val>
          <c:extLst>
            <c:ext xmlns:c16="http://schemas.microsoft.com/office/drawing/2014/chart" uri="{C3380CC4-5D6E-409C-BE32-E72D297353CC}">
              <c16:uniqueId val="{00000000-B241-461B-B345-7D60F059F0FE}"/>
            </c:ext>
          </c:extLst>
        </c:ser>
        <c:dLbls>
          <c:showLegendKey val="0"/>
          <c:showVal val="0"/>
          <c:showCatName val="0"/>
          <c:showSerName val="0"/>
          <c:showPercent val="1"/>
          <c:showBubbleSize val="0"/>
          <c:showLeaderLines val="1"/>
        </c:dLbls>
      </c:pie3DChart>
    </c:plotArea>
    <c:legend>
      <c:legendPos val="r"/>
      <c:layout>
        <c:manualLayout>
          <c:xMode val="edge"/>
          <c:yMode val="edge"/>
          <c:x val="0.67951165713406347"/>
          <c:y val="0.3162298742507933"/>
          <c:w val="0.28791505296365644"/>
          <c:h val="0.36753977181423753"/>
        </c:manualLayout>
      </c:layout>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3717138259971557E-2"/>
          <c:y val="1.9893609977931898E-2"/>
          <c:w val="0.72698741287114466"/>
          <c:h val="0.98010640018217399"/>
        </c:manualLayout>
      </c:layout>
      <c:pie3DChart>
        <c:varyColors val="1"/>
        <c:ser>
          <c:idx val="0"/>
          <c:order val="0"/>
          <c:tx>
            <c:strRef>
              <c:f>'[analiza.xlsx]GRAD ZAGREB_vozni park'!$C$48:$C$50</c:f>
              <c:strCache>
                <c:ptCount val="1"/>
                <c:pt idx="0">
                  <c:v>Dizel Motorni benzin Stlačeni prirodni plin</c:v>
                </c:pt>
              </c:strCache>
            </c:strRef>
          </c:tx>
          <c:explosion val="25"/>
          <c:dLbls>
            <c:dLbl>
              <c:idx val="1"/>
              <c:layout>
                <c:manualLayout>
                  <c:x val="-4.3089197028520813E-2"/>
                  <c:y val="-1.83190487348477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68A-4D1B-848B-C7F6EB9A8A57}"/>
                </c:ext>
              </c:extLst>
            </c:dLbl>
            <c:dLbl>
              <c:idx val="2"/>
              <c:layout>
                <c:manualLayout>
                  <c:x val="6.777138286521335E-2"/>
                  <c:y val="1.589732250410056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8A-4D1B-848B-C7F6EB9A8A57}"/>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'[analiza.xlsx]GRAD ZAGREB_vozni park'!$C$48:$C$50</c:f>
              <c:strCache>
                <c:ptCount val="3"/>
                <c:pt idx="0">
                  <c:v>Dizel</c:v>
                </c:pt>
                <c:pt idx="1">
                  <c:v>Motorni benzin</c:v>
                </c:pt>
                <c:pt idx="2">
                  <c:v>Stlačeni prirodni plin</c:v>
                </c:pt>
              </c:strCache>
            </c:strRef>
          </c:cat>
          <c:val>
            <c:numRef>
              <c:f>'[analiza.xlsx]GRAD ZAGREB_vozni park'!$D$48:$D$50</c:f>
              <c:numCache>
                <c:formatCode>0.00%</c:formatCode>
                <c:ptCount val="3"/>
                <c:pt idx="0">
                  <c:v>0.9463672231561373</c:v>
                </c:pt>
                <c:pt idx="1">
                  <c:v>4.628539520713526E-2</c:v>
                </c:pt>
                <c:pt idx="2">
                  <c:v>7.3473816367274321E-3</c:v>
                </c:pt>
              </c:numCache>
            </c:numRef>
          </c:val>
          <c:extLst>
            <c:ext xmlns:c16="http://schemas.microsoft.com/office/drawing/2014/chart" uri="{C3380CC4-5D6E-409C-BE32-E72D297353CC}">
              <c16:uniqueId val="{00000002-568A-4D1B-848B-C7F6EB9A8A57}"/>
            </c:ext>
          </c:extLst>
        </c:ser>
        <c:dLbls>
          <c:showLegendKey val="0"/>
          <c:showVal val="0"/>
          <c:showCatName val="0"/>
          <c:showSerName val="0"/>
          <c:showPercent val="1"/>
          <c:showBubbleSize val="0"/>
          <c:showLeaderLines val="1"/>
        </c:dLbls>
      </c:pie3DChart>
    </c:plotArea>
    <c:legend>
      <c:legendPos val="r"/>
      <c:layout>
        <c:manualLayout>
          <c:xMode val="edge"/>
          <c:yMode val="edge"/>
          <c:x val="0.76470439148895564"/>
          <c:y val="0.38714757367938613"/>
          <c:w val="0.21906648912606405"/>
          <c:h val="0.31723659631735746"/>
        </c:manualLayout>
      </c:layout>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6986001749781276E-2"/>
          <c:y val="0.11342592592592593"/>
          <c:w val="0.62391688538932633"/>
          <c:h val="0.85648148148148151"/>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'[Javni prijevoz.xlsx]Udio prevezenih putnika'!$A$2:$A$4</c:f>
              <c:strCache>
                <c:ptCount val="3"/>
                <c:pt idx="0">
                  <c:v>Električni tramvaj</c:v>
                </c:pt>
                <c:pt idx="1">
                  <c:v>Autobus</c:v>
                </c:pt>
                <c:pt idx="2">
                  <c:v>Ostali javni prijevoz</c:v>
                </c:pt>
              </c:strCache>
            </c:strRef>
          </c:cat>
          <c:val>
            <c:numRef>
              <c:f>'[Javni prijevoz.xlsx]Udio prevezenih putnika'!$C$2:$C$4</c:f>
              <c:numCache>
                <c:formatCode>0.00%</c:formatCode>
                <c:ptCount val="3"/>
                <c:pt idx="0">
                  <c:v>0.69433286976657138</c:v>
                </c:pt>
                <c:pt idx="1">
                  <c:v>0.30286020211426851</c:v>
                </c:pt>
                <c:pt idx="2">
                  <c:v>2.8069281191601017E-3</c:v>
                </c:pt>
              </c:numCache>
            </c:numRef>
          </c:val>
          <c:extLst>
            <c:ext xmlns:c16="http://schemas.microsoft.com/office/drawing/2014/chart" uri="{C3380CC4-5D6E-409C-BE32-E72D297353CC}">
              <c16:uniqueId val="{00000000-9468-4DDC-B6B3-A7F75907FE3C}"/>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14748986765346908"/>
          <c:w val="0.64776799705933563"/>
          <c:h val="0.84153399552971075"/>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'[Javni prijevoz.xlsx]UKUPNO JAVNI PRIJEVOZ'!$B$10:$B$12</c:f>
              <c:strCache>
                <c:ptCount val="3"/>
                <c:pt idx="0">
                  <c:v>Zagrebački električni tramvaj</c:v>
                </c:pt>
                <c:pt idx="1">
                  <c:v>Autobusni prijevoz</c:v>
                </c:pt>
                <c:pt idx="2">
                  <c:v>Ostali javni prijevoz</c:v>
                </c:pt>
              </c:strCache>
            </c:strRef>
          </c:cat>
          <c:val>
            <c:numRef>
              <c:f>'[Javni prijevoz.xlsx]UKUPNO JAVNI PRIJEVOZ'!$C$10:$C$12</c:f>
              <c:numCache>
                <c:formatCode>0.00%</c:formatCode>
                <c:ptCount val="3"/>
                <c:pt idx="0">
                  <c:v>0.33092014958380822</c:v>
                </c:pt>
                <c:pt idx="1">
                  <c:v>0.65081144361704757</c:v>
                </c:pt>
                <c:pt idx="2">
                  <c:v>1.8268406799144245E-2</c:v>
                </c:pt>
              </c:numCache>
            </c:numRef>
          </c:val>
          <c:extLst>
            <c:ext xmlns:c16="http://schemas.microsoft.com/office/drawing/2014/chart" uri="{C3380CC4-5D6E-409C-BE32-E72D297353CC}">
              <c16:uniqueId val="{00000000-5E17-44F2-8B53-114344D07E7B}"/>
            </c:ext>
          </c:extLst>
        </c:ser>
        <c:dLbls>
          <c:showLegendKey val="0"/>
          <c:showVal val="0"/>
          <c:showCatName val="0"/>
          <c:showSerName val="0"/>
          <c:showPercent val="1"/>
          <c:showBubbleSize val="0"/>
          <c:showLeaderLines val="1"/>
        </c:dLbls>
      </c:pie3DChart>
    </c:plotArea>
    <c:legend>
      <c:legendPos val="r"/>
      <c:layout>
        <c:manualLayout>
          <c:xMode val="edge"/>
          <c:yMode val="edge"/>
          <c:x val="0.69622753383585056"/>
          <c:y val="0.29167246704659155"/>
          <c:w val="0.30377246616414944"/>
          <c:h val="0.41665506590681689"/>
        </c:manualLayout>
      </c:layout>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3.8990788826590579E-2"/>
          <c:y val="0.11262515630522262"/>
          <c:w val="0.59757940177194824"/>
          <c:h val="0.820318154010653"/>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'[Javni prijevoz.xlsx]UKUPNO JAVNI PRIJEVOZ'!$B$19:$B$21</c:f>
              <c:strCache>
                <c:ptCount val="3"/>
                <c:pt idx="0">
                  <c:v>Dizel</c:v>
                </c:pt>
                <c:pt idx="1">
                  <c:v>Prirodni stlačeni plin</c:v>
                </c:pt>
                <c:pt idx="2">
                  <c:v>Električna energija</c:v>
                </c:pt>
              </c:strCache>
            </c:strRef>
          </c:cat>
          <c:val>
            <c:numRef>
              <c:f>'[Javni prijevoz.xlsx]UKUPNO JAVNI PRIJEVOZ'!$C$19:$C$21</c:f>
              <c:numCache>
                <c:formatCode>0.00%</c:formatCode>
                <c:ptCount val="3"/>
                <c:pt idx="0">
                  <c:v>0.50323373177845998</c:v>
                </c:pt>
                <c:pt idx="1">
                  <c:v>0.16571856912033578</c:v>
                </c:pt>
                <c:pt idx="2">
                  <c:v>0.33104769910120424</c:v>
                </c:pt>
              </c:numCache>
            </c:numRef>
          </c:val>
          <c:extLst>
            <c:ext xmlns:c16="http://schemas.microsoft.com/office/drawing/2014/chart" uri="{C3380CC4-5D6E-409C-BE32-E72D297353CC}">
              <c16:uniqueId val="{00000000-85CE-41CE-B1D4-175AC3455CB9}"/>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153298389406346"/>
          <c:y val="4.5940916909047724E-2"/>
          <c:w val="0.64842545167290977"/>
          <c:h val="0.75068777482889126"/>
        </c:manualLayout>
      </c:layout>
      <c:lineChart>
        <c:grouping val="standard"/>
        <c:varyColors val="0"/>
        <c:ser>
          <c:idx val="0"/>
          <c:order val="0"/>
          <c:tx>
            <c:strRef>
              <c:f>'[Javni prijevoz.xlsx]Usporedba SEAP'!$B$38</c:f>
              <c:strCache>
                <c:ptCount val="1"/>
                <c:pt idx="0">
                  <c:v>Broj prevezenih putnika u tisućama</c:v>
                </c:pt>
              </c:strCache>
            </c:strRef>
          </c:tx>
          <c:marker>
            <c:symbol val="none"/>
          </c:marker>
          <c:cat>
            <c:strRef>
              <c:f>'[Javni prijevoz.xlsx]Usporedba SEAP'!$A$39:$A$45</c:f>
              <c:strCache>
                <c:ptCount val="7"/>
                <c:pt idx="0">
                  <c:v>2009.</c:v>
                </c:pt>
                <c:pt idx="1">
                  <c:v>2010.</c:v>
                </c:pt>
                <c:pt idx="2">
                  <c:v>2011.</c:v>
                </c:pt>
                <c:pt idx="3">
                  <c:v>2012.</c:v>
                </c:pt>
                <c:pt idx="4">
                  <c:v>2013.</c:v>
                </c:pt>
                <c:pt idx="5">
                  <c:v>2014.</c:v>
                </c:pt>
                <c:pt idx="6">
                  <c:v>2015.</c:v>
                </c:pt>
              </c:strCache>
            </c:strRef>
          </c:cat>
          <c:val>
            <c:numRef>
              <c:f>'[Javni prijevoz.xlsx]Usporedba SEAP'!$B$39:$B$45</c:f>
              <c:numCache>
                <c:formatCode>_-* #,##0\ _k_n_-;\-* #,##0\ _k_n_-;_-* "-"??\ _k_n_-;_-@_-</c:formatCode>
                <c:ptCount val="7"/>
                <c:pt idx="0">
                  <c:v>189528.622</c:v>
                </c:pt>
                <c:pt idx="1">
                  <c:v>177639.193</c:v>
                </c:pt>
                <c:pt idx="2">
                  <c:v>166777.43100000001</c:v>
                </c:pt>
                <c:pt idx="3">
                  <c:v>167704.299</c:v>
                </c:pt>
                <c:pt idx="4">
                  <c:v>171376.89</c:v>
                </c:pt>
                <c:pt idx="5">
                  <c:v>185614.932</c:v>
                </c:pt>
                <c:pt idx="6">
                  <c:v>194040.21</c:v>
                </c:pt>
              </c:numCache>
            </c:numRef>
          </c:val>
          <c:smooth val="0"/>
          <c:extLst>
            <c:ext xmlns:c16="http://schemas.microsoft.com/office/drawing/2014/chart" uri="{C3380CC4-5D6E-409C-BE32-E72D297353CC}">
              <c16:uniqueId val="{00000000-41B3-4393-BCAA-28E77965A55F}"/>
            </c:ext>
          </c:extLst>
        </c:ser>
        <c:dLbls>
          <c:showLegendKey val="0"/>
          <c:showVal val="0"/>
          <c:showCatName val="0"/>
          <c:showSerName val="0"/>
          <c:showPercent val="0"/>
          <c:showBubbleSize val="0"/>
        </c:dLbls>
        <c:smooth val="0"/>
        <c:axId val="188832768"/>
        <c:axId val="168322752"/>
      </c:lineChart>
      <c:catAx>
        <c:axId val="188832768"/>
        <c:scaling>
          <c:orientation val="minMax"/>
        </c:scaling>
        <c:delete val="0"/>
        <c:axPos val="b"/>
        <c:numFmt formatCode="General" sourceLinked="0"/>
        <c:majorTickMark val="none"/>
        <c:minorTickMark val="none"/>
        <c:tickLblPos val="nextTo"/>
        <c:crossAx val="168322752"/>
        <c:crosses val="autoZero"/>
        <c:auto val="1"/>
        <c:lblAlgn val="ctr"/>
        <c:lblOffset val="100"/>
        <c:noMultiLvlLbl val="0"/>
      </c:catAx>
      <c:valAx>
        <c:axId val="168322752"/>
        <c:scaling>
          <c:orientation val="minMax"/>
        </c:scaling>
        <c:delete val="0"/>
        <c:axPos val="l"/>
        <c:majorGridlines/>
        <c:numFmt formatCode="#,##0" sourceLinked="0"/>
        <c:majorTickMark val="none"/>
        <c:minorTickMark val="none"/>
        <c:tickLblPos val="nextTo"/>
        <c:crossAx val="188832768"/>
        <c:crosses val="autoZero"/>
        <c:crossBetween val="between"/>
        <c:majorUnit val="10000"/>
      </c:valAx>
      <c:dTable>
        <c:showHorzBorder val="1"/>
        <c:showVertBorder val="1"/>
        <c:showOutline val="1"/>
        <c:showKeys val="1"/>
        <c:txPr>
          <a:bodyPr/>
          <a:lstStyle/>
          <a:p>
            <a:pPr rtl="0">
              <a:defRPr sz="800"/>
            </a:pPr>
            <a:endParaRPr lang="sr-Latn-RS"/>
          </a:p>
        </c:txPr>
      </c:dTable>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'[Javni prijevoz.xlsx]Usporedba SEAP'!$G$36</c:f>
              <c:strCache>
                <c:ptCount val="1"/>
                <c:pt idx="0">
                  <c:v>Prijeđeni kilometri u tisućama</c:v>
                </c:pt>
              </c:strCache>
            </c:strRef>
          </c:tx>
          <c:marker>
            <c:symbol val="none"/>
          </c:marker>
          <c:cat>
            <c:strRef>
              <c:f>'[Javni prijevoz.xlsx]Usporedba SEAP'!$F$37:$F$43</c:f>
              <c:strCache>
                <c:ptCount val="7"/>
                <c:pt idx="0">
                  <c:v>2009.</c:v>
                </c:pt>
                <c:pt idx="1">
                  <c:v>2010.</c:v>
                </c:pt>
                <c:pt idx="2">
                  <c:v>2011.</c:v>
                </c:pt>
                <c:pt idx="3">
                  <c:v>2012.</c:v>
                </c:pt>
                <c:pt idx="4">
                  <c:v>2013.</c:v>
                </c:pt>
                <c:pt idx="5">
                  <c:v>2014.</c:v>
                </c:pt>
                <c:pt idx="6">
                  <c:v>2015.</c:v>
                </c:pt>
              </c:strCache>
            </c:strRef>
          </c:cat>
          <c:val>
            <c:numRef>
              <c:f>'[Javni prijevoz.xlsx]Usporedba SEAP'!$G$37:$G$43</c:f>
              <c:numCache>
                <c:formatCode>_-* #,##0\ _k_n_-;\-* #,##0\ _k_n_-;_-* "-"??\ _k_n_-;_-@_-</c:formatCode>
                <c:ptCount val="7"/>
                <c:pt idx="0">
                  <c:v>16775.668000000001</c:v>
                </c:pt>
                <c:pt idx="1">
                  <c:v>15596.477999999999</c:v>
                </c:pt>
                <c:pt idx="2">
                  <c:v>14846.525</c:v>
                </c:pt>
                <c:pt idx="3">
                  <c:v>13607.552</c:v>
                </c:pt>
                <c:pt idx="4">
                  <c:v>13300.851000000001</c:v>
                </c:pt>
                <c:pt idx="5">
                  <c:v>14307.572</c:v>
                </c:pt>
                <c:pt idx="6">
                  <c:v>13550.934999999999</c:v>
                </c:pt>
              </c:numCache>
            </c:numRef>
          </c:val>
          <c:smooth val="0"/>
          <c:extLst>
            <c:ext xmlns:c16="http://schemas.microsoft.com/office/drawing/2014/chart" uri="{C3380CC4-5D6E-409C-BE32-E72D297353CC}">
              <c16:uniqueId val="{00000000-527E-437F-ACC8-EBFE5AA49832}"/>
            </c:ext>
          </c:extLst>
        </c:ser>
        <c:dLbls>
          <c:showLegendKey val="0"/>
          <c:showVal val="0"/>
          <c:showCatName val="0"/>
          <c:showSerName val="0"/>
          <c:showPercent val="0"/>
          <c:showBubbleSize val="0"/>
        </c:dLbls>
        <c:smooth val="0"/>
        <c:axId val="188829696"/>
        <c:axId val="168323904"/>
      </c:lineChart>
      <c:catAx>
        <c:axId val="188829696"/>
        <c:scaling>
          <c:orientation val="minMax"/>
        </c:scaling>
        <c:delete val="0"/>
        <c:axPos val="b"/>
        <c:numFmt formatCode="General" sourceLinked="0"/>
        <c:majorTickMark val="none"/>
        <c:minorTickMark val="none"/>
        <c:tickLblPos val="nextTo"/>
        <c:crossAx val="168323904"/>
        <c:crosses val="autoZero"/>
        <c:auto val="1"/>
        <c:lblAlgn val="ctr"/>
        <c:lblOffset val="100"/>
        <c:noMultiLvlLbl val="0"/>
      </c:catAx>
      <c:valAx>
        <c:axId val="168323904"/>
        <c:scaling>
          <c:orientation val="minMax"/>
        </c:scaling>
        <c:delete val="0"/>
        <c:axPos val="l"/>
        <c:majorGridlines/>
        <c:numFmt formatCode="#,##0" sourceLinked="0"/>
        <c:majorTickMark val="none"/>
        <c:minorTickMark val="none"/>
        <c:tickLblPos val="nextTo"/>
        <c:crossAx val="188829696"/>
        <c:crosses val="autoZero"/>
        <c:crossBetween val="between"/>
        <c:majorUnit val="4000"/>
      </c:valAx>
      <c:dTable>
        <c:showHorzBorder val="1"/>
        <c:showVertBorder val="1"/>
        <c:showOutline val="1"/>
        <c:showKeys val="1"/>
        <c:txPr>
          <a:bodyPr/>
          <a:lstStyle/>
          <a:p>
            <a:pPr rtl="0">
              <a:defRPr sz="900">
                <a:latin typeface="Calibri (Body)"/>
              </a:defRPr>
            </a:pPr>
            <a:endParaRPr lang="sr-Latn-RS"/>
          </a:p>
        </c:txPr>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'[Grijanje_ŠKOLSKE.xlsx]2015'!$A$12:$A$18</c:f>
              <c:strCache>
                <c:ptCount val="7"/>
                <c:pt idx="0">
                  <c:v>Toplana vrelovod</c:v>
                </c:pt>
                <c:pt idx="1">
                  <c:v>Toplana para</c:v>
                </c:pt>
                <c:pt idx="2">
                  <c:v>Prirodni plin</c:v>
                </c:pt>
                <c:pt idx="3">
                  <c:v>Lož ulje</c:v>
                </c:pt>
                <c:pt idx="4">
                  <c:v>Električna energija</c:v>
                </c:pt>
                <c:pt idx="5">
                  <c:v>UNP</c:v>
                </c:pt>
                <c:pt idx="6">
                  <c:v>Biomasa drvo</c:v>
                </c:pt>
              </c:strCache>
            </c:strRef>
          </c:cat>
          <c:val>
            <c:numRef>
              <c:f>'[Grijanje_ŠKOLSKE.xlsx]2015'!$E$12:$E$18</c:f>
              <c:numCache>
                <c:formatCode>#,##0.00</c:formatCode>
                <c:ptCount val="7"/>
                <c:pt idx="0">
                  <c:v>161.43152354853865</c:v>
                </c:pt>
                <c:pt idx="1">
                  <c:v>133.21145724075987</c:v>
                </c:pt>
                <c:pt idx="2">
                  <c:v>147.82395140390381</c:v>
                </c:pt>
                <c:pt idx="3">
                  <c:v>166.45990165235943</c:v>
                </c:pt>
                <c:pt idx="4">
                  <c:v>171.7443797994556</c:v>
                </c:pt>
                <c:pt idx="5">
                  <c:v>177.77623530432518</c:v>
                </c:pt>
                <c:pt idx="6">
                  <c:v>143.13758785963449</c:v>
                </c:pt>
              </c:numCache>
            </c:numRef>
          </c:val>
          <c:extLst>
            <c:ext xmlns:c16="http://schemas.microsoft.com/office/drawing/2014/chart" uri="{C3380CC4-5D6E-409C-BE32-E72D297353CC}">
              <c16:uniqueId val="{00000000-E14D-4027-849D-1A63DBD91025}"/>
            </c:ext>
          </c:extLst>
        </c:ser>
        <c:dLbls>
          <c:showLegendKey val="0"/>
          <c:showVal val="0"/>
          <c:showCatName val="0"/>
          <c:showSerName val="0"/>
          <c:showPercent val="0"/>
          <c:showBubbleSize val="0"/>
        </c:dLbls>
        <c:gapWidth val="150"/>
        <c:shape val="box"/>
        <c:axId val="160667136"/>
        <c:axId val="168432128"/>
        <c:axId val="0"/>
      </c:bar3DChart>
      <c:catAx>
        <c:axId val="160667136"/>
        <c:scaling>
          <c:orientation val="minMax"/>
        </c:scaling>
        <c:delete val="0"/>
        <c:axPos val="b"/>
        <c:numFmt formatCode="General" sourceLinked="0"/>
        <c:majorTickMark val="out"/>
        <c:minorTickMark val="none"/>
        <c:tickLblPos val="nextTo"/>
        <c:crossAx val="168432128"/>
        <c:crosses val="autoZero"/>
        <c:auto val="1"/>
        <c:lblAlgn val="ctr"/>
        <c:lblOffset val="100"/>
        <c:noMultiLvlLbl val="0"/>
      </c:catAx>
      <c:valAx>
        <c:axId val="168432128"/>
        <c:scaling>
          <c:orientation val="minMax"/>
        </c:scaling>
        <c:delete val="0"/>
        <c:axPos val="l"/>
        <c:majorGridlines/>
        <c:title>
          <c:tx>
            <c:rich>
              <a:bodyPr rot="-5400000" vert="horz"/>
              <a:lstStyle/>
              <a:p>
                <a:pPr>
                  <a:defRPr/>
                </a:pPr>
                <a:r>
                  <a:rPr lang="hr-HR"/>
                  <a:t>kWh/m</a:t>
                </a:r>
                <a:r>
                  <a:rPr lang="hr-HR" baseline="30000"/>
                  <a:t>2</a:t>
                </a:r>
              </a:p>
            </c:rich>
          </c:tx>
          <c:overlay val="0"/>
        </c:title>
        <c:numFmt formatCode="#,##0.00" sourceLinked="1"/>
        <c:majorTickMark val="out"/>
        <c:minorTickMark val="none"/>
        <c:tickLblPos val="nextTo"/>
        <c:crossAx val="160667136"/>
        <c:crosses val="autoZero"/>
        <c:crossBetween val="between"/>
      </c:valAx>
    </c:plotArea>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'[Javni prijevoz.xlsx]Usporedba SEAP'!$L$38</c:f>
              <c:strCache>
                <c:ptCount val="1"/>
                <c:pt idx="0">
                  <c:v>Broj prevezenih putnika po kilometru</c:v>
                </c:pt>
              </c:strCache>
            </c:strRef>
          </c:tx>
          <c:marker>
            <c:symbol val="none"/>
          </c:marker>
          <c:cat>
            <c:strRef>
              <c:f>'[Javni prijevoz.xlsx]Usporedba SEAP'!$F$39:$F$45</c:f>
              <c:strCache>
                <c:ptCount val="7"/>
                <c:pt idx="0">
                  <c:v>2009.</c:v>
                </c:pt>
                <c:pt idx="1">
                  <c:v>2010.</c:v>
                </c:pt>
                <c:pt idx="2">
                  <c:v>2011.</c:v>
                </c:pt>
                <c:pt idx="3">
                  <c:v>2012.</c:v>
                </c:pt>
                <c:pt idx="4">
                  <c:v>2013.</c:v>
                </c:pt>
                <c:pt idx="5">
                  <c:v>2014.</c:v>
                </c:pt>
                <c:pt idx="6">
                  <c:v>2015.</c:v>
                </c:pt>
              </c:strCache>
            </c:strRef>
          </c:cat>
          <c:val>
            <c:numRef>
              <c:f>'[Javni prijevoz.xlsx]Usporedba SEAP'!$L$39:$L$45</c:f>
              <c:numCache>
                <c:formatCode>_(* #,##0.00_);_(* \(#,##0.00\);_(* "-"??_);_(@_)</c:formatCode>
                <c:ptCount val="7"/>
                <c:pt idx="0">
                  <c:v>11.297828617018409</c:v>
                </c:pt>
                <c:pt idx="1">
                  <c:v>11.389699200037342</c:v>
                </c:pt>
                <c:pt idx="2">
                  <c:v>11.23343213310859</c:v>
                </c:pt>
                <c:pt idx="3">
                  <c:v>12.32435481415026</c:v>
                </c:pt>
                <c:pt idx="4">
                  <c:v>12.884656026896325</c:v>
                </c:pt>
                <c:pt idx="5">
                  <c:v>12.973195731602818</c:v>
                </c:pt>
                <c:pt idx="6">
                  <c:v>14.319322615007748</c:v>
                </c:pt>
              </c:numCache>
            </c:numRef>
          </c:val>
          <c:smooth val="0"/>
          <c:extLst>
            <c:ext xmlns:c16="http://schemas.microsoft.com/office/drawing/2014/chart" uri="{C3380CC4-5D6E-409C-BE32-E72D297353CC}">
              <c16:uniqueId val="{00000000-B30B-4FC8-AAB4-5085D8DB00BA}"/>
            </c:ext>
          </c:extLst>
        </c:ser>
        <c:dLbls>
          <c:showLegendKey val="0"/>
          <c:showVal val="0"/>
          <c:showCatName val="0"/>
          <c:showSerName val="0"/>
          <c:showPercent val="0"/>
          <c:showBubbleSize val="0"/>
        </c:dLbls>
        <c:smooth val="0"/>
        <c:axId val="201333760"/>
        <c:axId val="168325632"/>
      </c:lineChart>
      <c:catAx>
        <c:axId val="201333760"/>
        <c:scaling>
          <c:orientation val="minMax"/>
        </c:scaling>
        <c:delete val="0"/>
        <c:axPos val="b"/>
        <c:numFmt formatCode="General" sourceLinked="0"/>
        <c:majorTickMark val="none"/>
        <c:minorTickMark val="none"/>
        <c:tickLblPos val="nextTo"/>
        <c:crossAx val="168325632"/>
        <c:crosses val="autoZero"/>
        <c:auto val="1"/>
        <c:lblAlgn val="ctr"/>
        <c:lblOffset val="100"/>
        <c:noMultiLvlLbl val="0"/>
      </c:catAx>
      <c:valAx>
        <c:axId val="168325632"/>
        <c:scaling>
          <c:orientation val="minMax"/>
        </c:scaling>
        <c:delete val="0"/>
        <c:axPos val="l"/>
        <c:majorGridlines/>
        <c:numFmt formatCode="General" sourceLinked="0"/>
        <c:majorTickMark val="none"/>
        <c:minorTickMark val="none"/>
        <c:tickLblPos val="nextTo"/>
        <c:crossAx val="201333760"/>
        <c:crosses val="autoZero"/>
        <c:crossBetween val="between"/>
        <c:majorUnit val="4"/>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'[Javni prijevoz.xlsx]Usporedba SEAP'!$S$38</c:f>
              <c:strCache>
                <c:ptCount val="1"/>
                <c:pt idx="0">
                  <c:v>Broj putničkih mjesta u tramvajskom prijevozu</c:v>
                </c:pt>
              </c:strCache>
            </c:strRef>
          </c:tx>
          <c:marker>
            <c:symbol val="none"/>
          </c:marker>
          <c:cat>
            <c:strRef>
              <c:f>'[Javni prijevoz.xlsx]Usporedba SEAP'!$F$39:$F$45</c:f>
              <c:strCache>
                <c:ptCount val="7"/>
                <c:pt idx="0">
                  <c:v>2009.</c:v>
                </c:pt>
                <c:pt idx="1">
                  <c:v>2010.</c:v>
                </c:pt>
                <c:pt idx="2">
                  <c:v>2011.</c:v>
                </c:pt>
                <c:pt idx="3">
                  <c:v>2012.</c:v>
                </c:pt>
                <c:pt idx="4">
                  <c:v>2013.</c:v>
                </c:pt>
                <c:pt idx="5">
                  <c:v>2014.</c:v>
                </c:pt>
                <c:pt idx="6">
                  <c:v>2015.</c:v>
                </c:pt>
              </c:strCache>
            </c:strRef>
          </c:cat>
          <c:val>
            <c:numRef>
              <c:f>'[Javni prijevoz.xlsx]Usporedba SEAP'!$S$39:$S$45</c:f>
              <c:numCache>
                <c:formatCode>_-* #,##0\ _k_n_-;\-* #,##0\ _k_n_-;_-* "-"??\ _k_n_-;_-@_-</c:formatCode>
                <c:ptCount val="7"/>
                <c:pt idx="0">
                  <c:v>58618</c:v>
                </c:pt>
                <c:pt idx="1">
                  <c:v>58800</c:v>
                </c:pt>
                <c:pt idx="2">
                  <c:v>57244</c:v>
                </c:pt>
                <c:pt idx="3">
                  <c:v>55943</c:v>
                </c:pt>
                <c:pt idx="4">
                  <c:v>54436</c:v>
                </c:pt>
                <c:pt idx="5">
                  <c:v>54208</c:v>
                </c:pt>
                <c:pt idx="6">
                  <c:v>53557</c:v>
                </c:pt>
              </c:numCache>
            </c:numRef>
          </c:val>
          <c:smooth val="0"/>
          <c:extLst>
            <c:ext xmlns:c16="http://schemas.microsoft.com/office/drawing/2014/chart" uri="{C3380CC4-5D6E-409C-BE32-E72D297353CC}">
              <c16:uniqueId val="{00000000-F601-4C1E-A470-79A06550B14A}"/>
            </c:ext>
          </c:extLst>
        </c:ser>
        <c:dLbls>
          <c:showLegendKey val="0"/>
          <c:showVal val="0"/>
          <c:showCatName val="0"/>
          <c:showSerName val="0"/>
          <c:showPercent val="0"/>
          <c:showBubbleSize val="0"/>
        </c:dLbls>
        <c:smooth val="0"/>
        <c:axId val="202707968"/>
        <c:axId val="168327936"/>
      </c:lineChart>
      <c:catAx>
        <c:axId val="202707968"/>
        <c:scaling>
          <c:orientation val="minMax"/>
        </c:scaling>
        <c:delete val="0"/>
        <c:axPos val="b"/>
        <c:numFmt formatCode="General" sourceLinked="0"/>
        <c:majorTickMark val="none"/>
        <c:minorTickMark val="none"/>
        <c:tickLblPos val="nextTo"/>
        <c:crossAx val="168327936"/>
        <c:crosses val="autoZero"/>
        <c:auto val="1"/>
        <c:lblAlgn val="ctr"/>
        <c:lblOffset val="100"/>
        <c:noMultiLvlLbl val="0"/>
      </c:catAx>
      <c:valAx>
        <c:axId val="168327936"/>
        <c:scaling>
          <c:orientation val="minMax"/>
          <c:min val="45000"/>
        </c:scaling>
        <c:delete val="0"/>
        <c:axPos val="l"/>
        <c:majorGridlines/>
        <c:numFmt formatCode="General" sourceLinked="0"/>
        <c:majorTickMark val="none"/>
        <c:minorTickMark val="none"/>
        <c:tickLblPos val="nextTo"/>
        <c:crossAx val="202707968"/>
        <c:crosses val="autoZero"/>
        <c:crossBetween val="between"/>
        <c:majorUnit val="400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'[Javni prijevoz.xlsx]Usporedba SEAP'!$C$37</c:f>
              <c:strCache>
                <c:ptCount val="1"/>
                <c:pt idx="0">
                  <c:v>Broj prevezenih putnika u tisućama</c:v>
                </c:pt>
              </c:strCache>
            </c:strRef>
          </c:tx>
          <c:marker>
            <c:symbol val="none"/>
          </c:marker>
          <c:cat>
            <c:strRef>
              <c:f>'[Javni prijevoz.xlsx]Usporedba SEAP'!$A$38:$A$44</c:f>
              <c:strCache>
                <c:ptCount val="7"/>
                <c:pt idx="0">
                  <c:v>2009.</c:v>
                </c:pt>
                <c:pt idx="1">
                  <c:v>2010.</c:v>
                </c:pt>
                <c:pt idx="2">
                  <c:v>2011.</c:v>
                </c:pt>
                <c:pt idx="3">
                  <c:v>2012.</c:v>
                </c:pt>
                <c:pt idx="4">
                  <c:v>2013.</c:v>
                </c:pt>
                <c:pt idx="5">
                  <c:v>2014.</c:v>
                </c:pt>
                <c:pt idx="6">
                  <c:v>2015.</c:v>
                </c:pt>
              </c:strCache>
            </c:strRef>
          </c:cat>
          <c:val>
            <c:numRef>
              <c:f>'[Javni prijevoz.xlsx]Usporedba SEAP'!$C$38:$C$44</c:f>
              <c:numCache>
                <c:formatCode>_-* #,##0\ _k_n_-;\-* #,##0\ _k_n_-;_-* "-"??\ _k_n_-;_-@_-</c:formatCode>
                <c:ptCount val="7"/>
                <c:pt idx="0">
                  <c:v>82054.635999999999</c:v>
                </c:pt>
                <c:pt idx="1">
                  <c:v>77289.851999999999</c:v>
                </c:pt>
                <c:pt idx="2">
                  <c:v>72887.138999999996</c:v>
                </c:pt>
                <c:pt idx="3">
                  <c:v>73673.104999999996</c:v>
                </c:pt>
                <c:pt idx="4">
                  <c:v>75058.584000000003</c:v>
                </c:pt>
                <c:pt idx="5">
                  <c:v>80754.539999999994</c:v>
                </c:pt>
                <c:pt idx="6">
                  <c:v>84638.160999999993</c:v>
                </c:pt>
              </c:numCache>
            </c:numRef>
          </c:val>
          <c:smooth val="0"/>
          <c:extLst>
            <c:ext xmlns:c16="http://schemas.microsoft.com/office/drawing/2014/chart" uri="{C3380CC4-5D6E-409C-BE32-E72D297353CC}">
              <c16:uniqueId val="{00000000-EE64-4422-9733-546AB2538A05}"/>
            </c:ext>
          </c:extLst>
        </c:ser>
        <c:dLbls>
          <c:showLegendKey val="0"/>
          <c:showVal val="0"/>
          <c:showCatName val="0"/>
          <c:showSerName val="0"/>
          <c:showPercent val="0"/>
          <c:showBubbleSize val="0"/>
        </c:dLbls>
        <c:smooth val="0"/>
        <c:axId val="202710016"/>
        <c:axId val="201810496"/>
      </c:lineChart>
      <c:catAx>
        <c:axId val="202710016"/>
        <c:scaling>
          <c:orientation val="minMax"/>
        </c:scaling>
        <c:delete val="0"/>
        <c:axPos val="b"/>
        <c:numFmt formatCode="General" sourceLinked="0"/>
        <c:majorTickMark val="none"/>
        <c:minorTickMark val="none"/>
        <c:tickLblPos val="nextTo"/>
        <c:crossAx val="201810496"/>
        <c:crosses val="autoZero"/>
        <c:auto val="1"/>
        <c:lblAlgn val="ctr"/>
        <c:lblOffset val="100"/>
        <c:noMultiLvlLbl val="0"/>
      </c:catAx>
      <c:valAx>
        <c:axId val="201810496"/>
        <c:scaling>
          <c:orientation val="minMax"/>
          <c:min val="50000"/>
        </c:scaling>
        <c:delete val="0"/>
        <c:axPos val="l"/>
        <c:majorGridlines/>
        <c:numFmt formatCode="#,##0" sourceLinked="0"/>
        <c:majorTickMark val="none"/>
        <c:minorTickMark val="none"/>
        <c:tickLblPos val="nextTo"/>
        <c:crossAx val="202710016"/>
        <c:crosses val="autoZero"/>
        <c:crossBetween val="between"/>
        <c:majorUnit val="1000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'[Javni prijevoz.xlsx]Usporedba SEAP'!$H$37</c:f>
              <c:strCache>
                <c:ptCount val="1"/>
                <c:pt idx="0">
                  <c:v>Broj prijeđenih kilometara u tisućama</c:v>
                </c:pt>
              </c:strCache>
            </c:strRef>
          </c:tx>
          <c:marker>
            <c:symbol val="none"/>
          </c:marker>
          <c:cat>
            <c:strRef>
              <c:f>'[Javni prijevoz.xlsx]Usporedba SEAP'!$F$38:$F$44</c:f>
              <c:strCache>
                <c:ptCount val="7"/>
                <c:pt idx="0">
                  <c:v>2009.</c:v>
                </c:pt>
                <c:pt idx="1">
                  <c:v>2010.</c:v>
                </c:pt>
                <c:pt idx="2">
                  <c:v>2011.</c:v>
                </c:pt>
                <c:pt idx="3">
                  <c:v>2012.</c:v>
                </c:pt>
                <c:pt idx="4">
                  <c:v>2013.</c:v>
                </c:pt>
                <c:pt idx="5">
                  <c:v>2014.</c:v>
                </c:pt>
                <c:pt idx="6">
                  <c:v>2015.</c:v>
                </c:pt>
              </c:strCache>
            </c:strRef>
          </c:cat>
          <c:val>
            <c:numRef>
              <c:f>'[Javni prijevoz.xlsx]Usporedba SEAP'!$H$38:$H$44</c:f>
              <c:numCache>
                <c:formatCode>_-* #,##0\ _k_n_-;\-* #,##0\ _k_n_-;_-* "-"??\ _k_n_-;_-@_-</c:formatCode>
                <c:ptCount val="7"/>
                <c:pt idx="0">
                  <c:v>23054.064999999999</c:v>
                </c:pt>
                <c:pt idx="1">
                  <c:v>23671.852999999999</c:v>
                </c:pt>
                <c:pt idx="2">
                  <c:v>23272.74</c:v>
                </c:pt>
                <c:pt idx="3">
                  <c:v>22618.482</c:v>
                </c:pt>
                <c:pt idx="4">
                  <c:v>22626.813999999998</c:v>
                </c:pt>
                <c:pt idx="5">
                  <c:v>22762.13</c:v>
                </c:pt>
                <c:pt idx="6">
                  <c:v>22720.598999999998</c:v>
                </c:pt>
              </c:numCache>
            </c:numRef>
          </c:val>
          <c:smooth val="0"/>
          <c:extLst>
            <c:ext xmlns:c16="http://schemas.microsoft.com/office/drawing/2014/chart" uri="{C3380CC4-5D6E-409C-BE32-E72D297353CC}">
              <c16:uniqueId val="{00000000-DE38-4370-94EF-9FF421B28D98}"/>
            </c:ext>
          </c:extLst>
        </c:ser>
        <c:dLbls>
          <c:showLegendKey val="0"/>
          <c:showVal val="0"/>
          <c:showCatName val="0"/>
          <c:showSerName val="0"/>
          <c:showPercent val="0"/>
          <c:showBubbleSize val="0"/>
        </c:dLbls>
        <c:smooth val="0"/>
        <c:axId val="244052992"/>
        <c:axId val="168328512"/>
      </c:lineChart>
      <c:catAx>
        <c:axId val="244052992"/>
        <c:scaling>
          <c:orientation val="minMax"/>
        </c:scaling>
        <c:delete val="0"/>
        <c:axPos val="b"/>
        <c:numFmt formatCode="General" sourceLinked="0"/>
        <c:majorTickMark val="none"/>
        <c:minorTickMark val="none"/>
        <c:tickLblPos val="nextTo"/>
        <c:crossAx val="168328512"/>
        <c:crosses val="autoZero"/>
        <c:auto val="1"/>
        <c:lblAlgn val="ctr"/>
        <c:lblOffset val="100"/>
        <c:noMultiLvlLbl val="0"/>
      </c:catAx>
      <c:valAx>
        <c:axId val="168328512"/>
        <c:scaling>
          <c:orientation val="minMax"/>
          <c:min val="21000"/>
        </c:scaling>
        <c:delete val="0"/>
        <c:axPos val="l"/>
        <c:majorGridlines/>
        <c:numFmt formatCode="#,##0" sourceLinked="0"/>
        <c:majorTickMark val="none"/>
        <c:minorTickMark val="none"/>
        <c:tickLblPos val="nextTo"/>
        <c:crossAx val="244052992"/>
        <c:crosses val="autoZero"/>
        <c:crossBetween val="between"/>
        <c:majorUnit val="700"/>
      </c:valAx>
      <c:dTable>
        <c:showHorzBorder val="1"/>
        <c:showVertBorder val="1"/>
        <c:showOutline val="1"/>
        <c:showKeys val="1"/>
      </c:dTable>
    </c:plotArea>
    <c:plotVisOnly val="1"/>
    <c:dispBlanksAs val="gap"/>
    <c:showDLblsOverMax val="0"/>
  </c:chart>
  <c:spPr>
    <a:ln>
      <a:noFill/>
    </a:ln>
  </c:spPr>
  <c:txPr>
    <a:bodyPr/>
    <a:lstStyle/>
    <a:p>
      <a:pPr>
        <a:defRPr sz="900" b="0">
          <a:latin typeface="Calibri (Body)"/>
        </a:defRPr>
      </a:pPr>
      <a:endParaRPr lang="sr-Latn-R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'[Javni prijevoz.xlsx]Usporedba SEAP'!$M$37</c:f>
              <c:strCache>
                <c:ptCount val="1"/>
                <c:pt idx="0">
                  <c:v>Broj prevezenih putnika po kilometru</c:v>
                </c:pt>
              </c:strCache>
            </c:strRef>
          </c:tx>
          <c:marker>
            <c:symbol val="none"/>
          </c:marker>
          <c:cat>
            <c:strRef>
              <c:f>'[Javni prijevoz.xlsx]Usporedba SEAP'!$K$38:$K$44</c:f>
              <c:strCache>
                <c:ptCount val="7"/>
                <c:pt idx="0">
                  <c:v>2009.</c:v>
                </c:pt>
                <c:pt idx="1">
                  <c:v>2010.</c:v>
                </c:pt>
                <c:pt idx="2">
                  <c:v>2011.</c:v>
                </c:pt>
                <c:pt idx="3">
                  <c:v>2012.</c:v>
                </c:pt>
                <c:pt idx="4">
                  <c:v>2013.</c:v>
                </c:pt>
                <c:pt idx="5">
                  <c:v>2014.</c:v>
                </c:pt>
                <c:pt idx="6">
                  <c:v>2015.</c:v>
                </c:pt>
              </c:strCache>
            </c:strRef>
          </c:cat>
          <c:val>
            <c:numRef>
              <c:f>'[Javni prijevoz.xlsx]Usporedba SEAP'!$M$38:$M$44</c:f>
              <c:numCache>
                <c:formatCode>_(* #,##0.00_);_(* \(#,##0.00\);_(* "-"??_);_(@_)</c:formatCode>
                <c:ptCount val="7"/>
                <c:pt idx="0">
                  <c:v>3.5592263663696619</c:v>
                </c:pt>
                <c:pt idx="1">
                  <c:v>3.2650528879171397</c:v>
                </c:pt>
                <c:pt idx="2">
                  <c:v>3.131867541166188</c:v>
                </c:pt>
                <c:pt idx="3">
                  <c:v>3.2572081981452157</c:v>
                </c:pt>
                <c:pt idx="4">
                  <c:v>3.3172405094239079</c:v>
                </c:pt>
                <c:pt idx="5">
                  <c:v>3.5477584918458858</c:v>
                </c:pt>
                <c:pt idx="6">
                  <c:v>3.7251729586882809</c:v>
                </c:pt>
              </c:numCache>
            </c:numRef>
          </c:val>
          <c:smooth val="0"/>
          <c:extLst>
            <c:ext xmlns:c16="http://schemas.microsoft.com/office/drawing/2014/chart" uri="{C3380CC4-5D6E-409C-BE32-E72D297353CC}">
              <c16:uniqueId val="{00000000-6F64-4726-8263-706B0EFCF42E}"/>
            </c:ext>
          </c:extLst>
        </c:ser>
        <c:dLbls>
          <c:showLegendKey val="0"/>
          <c:showVal val="0"/>
          <c:showCatName val="0"/>
          <c:showSerName val="0"/>
          <c:showPercent val="0"/>
          <c:showBubbleSize val="0"/>
        </c:dLbls>
        <c:smooth val="0"/>
        <c:axId val="243810304"/>
        <c:axId val="201813952"/>
      </c:lineChart>
      <c:catAx>
        <c:axId val="243810304"/>
        <c:scaling>
          <c:orientation val="minMax"/>
        </c:scaling>
        <c:delete val="0"/>
        <c:axPos val="b"/>
        <c:numFmt formatCode="General" sourceLinked="0"/>
        <c:majorTickMark val="none"/>
        <c:minorTickMark val="none"/>
        <c:tickLblPos val="nextTo"/>
        <c:crossAx val="201813952"/>
        <c:crosses val="autoZero"/>
        <c:auto val="1"/>
        <c:lblAlgn val="ctr"/>
        <c:lblOffset val="100"/>
        <c:noMultiLvlLbl val="0"/>
      </c:catAx>
      <c:valAx>
        <c:axId val="201813952"/>
        <c:scaling>
          <c:orientation val="minMax"/>
          <c:min val="2"/>
        </c:scaling>
        <c:delete val="0"/>
        <c:axPos val="l"/>
        <c:majorGridlines/>
        <c:numFmt formatCode="General" sourceLinked="0"/>
        <c:majorTickMark val="none"/>
        <c:minorTickMark val="none"/>
        <c:tickLblPos val="nextTo"/>
        <c:crossAx val="243810304"/>
        <c:crosses val="autoZero"/>
        <c:crossBetween val="between"/>
        <c:majorUnit val="0.5"/>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'[Javni prijevoz.xlsx]Usporedba SEAP'!$T$37</c:f>
              <c:strCache>
                <c:ptCount val="1"/>
                <c:pt idx="0">
                  <c:v>Broj putničkim mjesta u autobusnom prijevozu</c:v>
                </c:pt>
              </c:strCache>
            </c:strRef>
          </c:tx>
          <c:marker>
            <c:symbol val="none"/>
          </c:marker>
          <c:cat>
            <c:strRef>
              <c:f>'[Javni prijevoz.xlsx]Usporedba SEAP'!$F$38:$F$44</c:f>
              <c:strCache>
                <c:ptCount val="7"/>
                <c:pt idx="0">
                  <c:v>2009.</c:v>
                </c:pt>
                <c:pt idx="1">
                  <c:v>2010.</c:v>
                </c:pt>
                <c:pt idx="2">
                  <c:v>2011.</c:v>
                </c:pt>
                <c:pt idx="3">
                  <c:v>2012.</c:v>
                </c:pt>
                <c:pt idx="4">
                  <c:v>2013.</c:v>
                </c:pt>
                <c:pt idx="5">
                  <c:v>2014.</c:v>
                </c:pt>
                <c:pt idx="6">
                  <c:v>2015.</c:v>
                </c:pt>
              </c:strCache>
            </c:strRef>
          </c:cat>
          <c:val>
            <c:numRef>
              <c:f>'[Javni prijevoz.xlsx]Usporedba SEAP'!$T$38:$T$44</c:f>
              <c:numCache>
                <c:formatCode>_-* #,##0\ _k_n_-;\-* #,##0\ _k_n_-;_-* "-"??\ _k_n_-;_-@_-</c:formatCode>
                <c:ptCount val="7"/>
                <c:pt idx="0">
                  <c:v>48529</c:v>
                </c:pt>
                <c:pt idx="1">
                  <c:v>47720</c:v>
                </c:pt>
                <c:pt idx="2">
                  <c:v>44541</c:v>
                </c:pt>
                <c:pt idx="3">
                  <c:v>44503</c:v>
                </c:pt>
                <c:pt idx="4">
                  <c:v>44149</c:v>
                </c:pt>
                <c:pt idx="5">
                  <c:v>40987</c:v>
                </c:pt>
                <c:pt idx="6">
                  <c:v>41234</c:v>
                </c:pt>
              </c:numCache>
            </c:numRef>
          </c:val>
          <c:smooth val="0"/>
          <c:extLst>
            <c:ext xmlns:c16="http://schemas.microsoft.com/office/drawing/2014/chart" uri="{C3380CC4-5D6E-409C-BE32-E72D297353CC}">
              <c16:uniqueId val="{00000000-7820-480A-A38A-320DB37D034D}"/>
            </c:ext>
          </c:extLst>
        </c:ser>
        <c:dLbls>
          <c:showLegendKey val="0"/>
          <c:showVal val="0"/>
          <c:showCatName val="0"/>
          <c:showSerName val="0"/>
          <c:showPercent val="0"/>
          <c:showBubbleSize val="0"/>
        </c:dLbls>
        <c:smooth val="0"/>
        <c:axId val="243813376"/>
        <c:axId val="201815680"/>
      </c:lineChart>
      <c:catAx>
        <c:axId val="243813376"/>
        <c:scaling>
          <c:orientation val="minMax"/>
        </c:scaling>
        <c:delete val="0"/>
        <c:axPos val="b"/>
        <c:numFmt formatCode="General" sourceLinked="0"/>
        <c:majorTickMark val="none"/>
        <c:minorTickMark val="none"/>
        <c:tickLblPos val="nextTo"/>
        <c:crossAx val="201815680"/>
        <c:crosses val="autoZero"/>
        <c:auto val="1"/>
        <c:lblAlgn val="ctr"/>
        <c:lblOffset val="100"/>
        <c:noMultiLvlLbl val="0"/>
      </c:catAx>
      <c:valAx>
        <c:axId val="201815680"/>
        <c:scaling>
          <c:orientation val="minMax"/>
          <c:min val="35000"/>
        </c:scaling>
        <c:delete val="0"/>
        <c:axPos val="l"/>
        <c:majorGridlines/>
        <c:numFmt formatCode="General" sourceLinked="0"/>
        <c:majorTickMark val="none"/>
        <c:minorTickMark val="none"/>
        <c:tickLblPos val="nextTo"/>
        <c:crossAx val="243813376"/>
        <c:crosses val="autoZero"/>
        <c:crossBetween val="between"/>
        <c:majorUnit val="400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'[Javni prijevoz.xlsx]Ostali javni prijevoz'!$A$17:$D$17</c:f>
              <c:strCache>
                <c:ptCount val="1"/>
                <c:pt idx="0">
                  <c:v>Broj prevezenih putnika</c:v>
                </c:pt>
              </c:strCache>
            </c:strRef>
          </c:tx>
          <c:marker>
            <c:symbol val="none"/>
          </c:marker>
          <c:cat>
            <c:strRef>
              <c:f>'[Javni prijevoz.xlsx]Ostali javni prijevoz'!$C$11:$I$11</c:f>
              <c:strCache>
                <c:ptCount val="7"/>
                <c:pt idx="0">
                  <c:v>2009.</c:v>
                </c:pt>
                <c:pt idx="1">
                  <c:v>2010.</c:v>
                </c:pt>
                <c:pt idx="2">
                  <c:v>2011.</c:v>
                </c:pt>
                <c:pt idx="3">
                  <c:v>2012.</c:v>
                </c:pt>
                <c:pt idx="4">
                  <c:v>2013.</c:v>
                </c:pt>
                <c:pt idx="5">
                  <c:v>2014.</c:v>
                </c:pt>
                <c:pt idx="6">
                  <c:v>2015.</c:v>
                </c:pt>
              </c:strCache>
            </c:strRef>
          </c:cat>
          <c:val>
            <c:numRef>
              <c:f>'[Javni prijevoz.xlsx]Ostali javni prijevoz'!$C$13:$I$13</c:f>
              <c:numCache>
                <c:formatCode>_-* #,##0\ _k_n_-;\-* #,##0\ _k_n_-;_-* "-"??\ _k_n_-;_-@_-</c:formatCode>
                <c:ptCount val="7"/>
                <c:pt idx="0">
                  <c:v>3633</c:v>
                </c:pt>
                <c:pt idx="1">
                  <c:v>3384</c:v>
                </c:pt>
                <c:pt idx="2">
                  <c:v>3498</c:v>
                </c:pt>
                <c:pt idx="3">
                  <c:v>3427</c:v>
                </c:pt>
                <c:pt idx="4">
                  <c:v>3126</c:v>
                </c:pt>
                <c:pt idx="5">
                  <c:v>3678</c:v>
                </c:pt>
                <c:pt idx="6">
                  <c:v>3144</c:v>
                </c:pt>
              </c:numCache>
            </c:numRef>
          </c:val>
          <c:smooth val="0"/>
          <c:extLst>
            <c:ext xmlns:c16="http://schemas.microsoft.com/office/drawing/2014/chart" uri="{C3380CC4-5D6E-409C-BE32-E72D297353CC}">
              <c16:uniqueId val="{00000000-CFB5-4147-973A-C32F43FDA5EB}"/>
            </c:ext>
          </c:extLst>
        </c:ser>
        <c:dLbls>
          <c:showLegendKey val="0"/>
          <c:showVal val="0"/>
          <c:showCatName val="0"/>
          <c:showSerName val="0"/>
          <c:showPercent val="0"/>
          <c:showBubbleSize val="0"/>
        </c:dLbls>
        <c:smooth val="0"/>
        <c:axId val="243813888"/>
        <c:axId val="201816256"/>
      </c:lineChart>
      <c:catAx>
        <c:axId val="243813888"/>
        <c:scaling>
          <c:orientation val="minMax"/>
        </c:scaling>
        <c:delete val="0"/>
        <c:axPos val="b"/>
        <c:numFmt formatCode="General" sourceLinked="0"/>
        <c:majorTickMark val="none"/>
        <c:minorTickMark val="none"/>
        <c:tickLblPos val="nextTo"/>
        <c:crossAx val="201816256"/>
        <c:crosses val="autoZero"/>
        <c:auto val="1"/>
        <c:lblAlgn val="ctr"/>
        <c:lblOffset val="100"/>
        <c:noMultiLvlLbl val="0"/>
      </c:catAx>
      <c:valAx>
        <c:axId val="201816256"/>
        <c:scaling>
          <c:orientation val="minMax"/>
          <c:min val="2000"/>
        </c:scaling>
        <c:delete val="0"/>
        <c:axPos val="l"/>
        <c:majorGridlines/>
        <c:numFmt formatCode="_-* #,##0\ _k_n_-;\-* #,##0\ _k_n_-;_-* &quot;-&quot;??\ _k_n_-;_-@_-" sourceLinked="1"/>
        <c:majorTickMark val="none"/>
        <c:minorTickMark val="none"/>
        <c:tickLblPos val="nextTo"/>
        <c:crossAx val="243813888"/>
        <c:crosses val="autoZero"/>
        <c:crossBetween val="between"/>
        <c:majorUnit val="500"/>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'[Javni prijevoz.xlsx]Ostali javni prijevoz'!$A$17:$D$17</c:f>
              <c:strCache>
                <c:ptCount val="1"/>
                <c:pt idx="0">
                  <c:v>Broj prevezenih putnika</c:v>
                </c:pt>
              </c:strCache>
            </c:strRef>
          </c:tx>
          <c:marker>
            <c:symbol val="none"/>
          </c:marker>
          <c:cat>
            <c:strRef>
              <c:f>'[Javni prijevoz.xlsx]Ostali javni prijevoz'!$C$11:$I$11</c:f>
              <c:strCache>
                <c:ptCount val="7"/>
                <c:pt idx="0">
                  <c:v>2009.</c:v>
                </c:pt>
                <c:pt idx="1">
                  <c:v>2010.</c:v>
                </c:pt>
                <c:pt idx="2">
                  <c:v>2011.</c:v>
                </c:pt>
                <c:pt idx="3">
                  <c:v>2012.</c:v>
                </c:pt>
                <c:pt idx="4">
                  <c:v>2013.</c:v>
                </c:pt>
                <c:pt idx="5">
                  <c:v>2014.</c:v>
                </c:pt>
                <c:pt idx="6">
                  <c:v>2015.</c:v>
                </c:pt>
              </c:strCache>
            </c:strRef>
          </c:cat>
          <c:val>
            <c:numRef>
              <c:f>'[Javni prijevoz.xlsx]Ostali javni prijevoz'!$C$14:$I$14</c:f>
              <c:numCache>
                <c:formatCode>_-* #,##0\ _k_n_-;\-* #,##0\ _k_n_-;_-* "-"??\ _k_n_-;_-@_-</c:formatCode>
                <c:ptCount val="7"/>
                <c:pt idx="0">
                  <c:v>625428</c:v>
                </c:pt>
                <c:pt idx="1">
                  <c:v>592723</c:v>
                </c:pt>
                <c:pt idx="2">
                  <c:v>559023</c:v>
                </c:pt>
                <c:pt idx="3">
                  <c:v>542343</c:v>
                </c:pt>
                <c:pt idx="4">
                  <c:v>608376</c:v>
                </c:pt>
                <c:pt idx="5">
                  <c:v>685408</c:v>
                </c:pt>
                <c:pt idx="6">
                  <c:v>737064</c:v>
                </c:pt>
              </c:numCache>
            </c:numRef>
          </c:val>
          <c:smooth val="0"/>
          <c:extLst>
            <c:ext xmlns:c16="http://schemas.microsoft.com/office/drawing/2014/chart" uri="{C3380CC4-5D6E-409C-BE32-E72D297353CC}">
              <c16:uniqueId val="{00000000-6C52-462E-9999-2AC1181B7EED}"/>
            </c:ext>
          </c:extLst>
        </c:ser>
        <c:dLbls>
          <c:showLegendKey val="0"/>
          <c:showVal val="0"/>
          <c:showCatName val="0"/>
          <c:showSerName val="0"/>
          <c:showPercent val="0"/>
          <c:showBubbleSize val="0"/>
        </c:dLbls>
        <c:smooth val="0"/>
        <c:axId val="243941376"/>
        <c:axId val="243875840"/>
      </c:lineChart>
      <c:catAx>
        <c:axId val="243941376"/>
        <c:scaling>
          <c:orientation val="minMax"/>
        </c:scaling>
        <c:delete val="0"/>
        <c:axPos val="b"/>
        <c:numFmt formatCode="General" sourceLinked="0"/>
        <c:majorTickMark val="none"/>
        <c:minorTickMark val="none"/>
        <c:tickLblPos val="nextTo"/>
        <c:crossAx val="243875840"/>
        <c:crosses val="autoZero"/>
        <c:auto val="1"/>
        <c:lblAlgn val="ctr"/>
        <c:lblOffset val="100"/>
        <c:noMultiLvlLbl val="0"/>
      </c:catAx>
      <c:valAx>
        <c:axId val="243875840"/>
        <c:scaling>
          <c:orientation val="minMax"/>
          <c:min val="300000"/>
        </c:scaling>
        <c:delete val="0"/>
        <c:axPos val="l"/>
        <c:majorGridlines/>
        <c:numFmt formatCode="_-* #,##0\ _k_n_-;\-* #,##0\ _k_n_-;_-* &quot;-&quot;??\ _k_n_-;_-@_-" sourceLinked="1"/>
        <c:majorTickMark val="none"/>
        <c:minorTickMark val="none"/>
        <c:tickLblPos val="nextTo"/>
        <c:crossAx val="243941376"/>
        <c:crosses val="autoZero"/>
        <c:crossBetween val="between"/>
        <c:majorUnit val="150000"/>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'[Javni prijevoz.xlsx]Ostali javni prijevoz'!$A$17:$D$17</c:f>
              <c:strCache>
                <c:ptCount val="1"/>
                <c:pt idx="0">
                  <c:v>Broj prevezenih putnika</c:v>
                </c:pt>
              </c:strCache>
            </c:strRef>
          </c:tx>
          <c:marker>
            <c:symbol val="none"/>
          </c:marker>
          <c:cat>
            <c:strRef>
              <c:f>'[Javni prijevoz.xlsx]Ostali javni prijevoz'!$D$11:$I$11</c:f>
              <c:strCache>
                <c:ptCount val="6"/>
                <c:pt idx="0">
                  <c:v>2010.</c:v>
                </c:pt>
                <c:pt idx="1">
                  <c:v>2011.</c:v>
                </c:pt>
                <c:pt idx="2">
                  <c:v>2012.</c:v>
                </c:pt>
                <c:pt idx="3">
                  <c:v>2013.</c:v>
                </c:pt>
                <c:pt idx="4">
                  <c:v>2014.</c:v>
                </c:pt>
                <c:pt idx="5">
                  <c:v>2015.</c:v>
                </c:pt>
              </c:strCache>
            </c:strRef>
          </c:cat>
          <c:val>
            <c:numRef>
              <c:f>'[Javni prijevoz.xlsx]Ostali javni prijevoz'!$D$15:$I$15</c:f>
              <c:numCache>
                <c:formatCode>_-* #,##0\ _k_n_-;\-* #,##0\ _k_n_-;_-* "-"??\ _k_n_-;_-@_-</c:formatCode>
                <c:ptCount val="6"/>
                <c:pt idx="0">
                  <c:v>1450</c:v>
                </c:pt>
                <c:pt idx="1">
                  <c:v>16328</c:v>
                </c:pt>
                <c:pt idx="2">
                  <c:v>18069</c:v>
                </c:pt>
                <c:pt idx="3">
                  <c:v>20937</c:v>
                </c:pt>
                <c:pt idx="4">
                  <c:v>8284</c:v>
                </c:pt>
                <c:pt idx="5">
                  <c:v>6901</c:v>
                </c:pt>
              </c:numCache>
            </c:numRef>
          </c:val>
          <c:smooth val="0"/>
          <c:extLst>
            <c:ext xmlns:c16="http://schemas.microsoft.com/office/drawing/2014/chart" uri="{C3380CC4-5D6E-409C-BE32-E72D297353CC}">
              <c16:uniqueId val="{00000000-82AD-4A3C-92EC-1FA649A7B4AE}"/>
            </c:ext>
          </c:extLst>
        </c:ser>
        <c:dLbls>
          <c:showLegendKey val="0"/>
          <c:showVal val="0"/>
          <c:showCatName val="0"/>
          <c:showSerName val="0"/>
          <c:showPercent val="0"/>
          <c:showBubbleSize val="0"/>
        </c:dLbls>
        <c:smooth val="0"/>
        <c:axId val="243943424"/>
        <c:axId val="243877568"/>
      </c:lineChart>
      <c:catAx>
        <c:axId val="243943424"/>
        <c:scaling>
          <c:orientation val="minMax"/>
        </c:scaling>
        <c:delete val="0"/>
        <c:axPos val="b"/>
        <c:numFmt formatCode="General" sourceLinked="0"/>
        <c:majorTickMark val="none"/>
        <c:minorTickMark val="none"/>
        <c:tickLblPos val="nextTo"/>
        <c:crossAx val="243877568"/>
        <c:crosses val="autoZero"/>
        <c:auto val="1"/>
        <c:lblAlgn val="ctr"/>
        <c:lblOffset val="100"/>
        <c:noMultiLvlLbl val="0"/>
      </c:catAx>
      <c:valAx>
        <c:axId val="243877568"/>
        <c:scaling>
          <c:orientation val="minMax"/>
        </c:scaling>
        <c:delete val="0"/>
        <c:axPos val="l"/>
        <c:majorGridlines/>
        <c:numFmt formatCode="_-* #,##0\ _k_n_-;\-* #,##0\ _k_n_-;_-* &quot;-&quot;??\ _k_n_-;_-@_-" sourceLinked="1"/>
        <c:majorTickMark val="none"/>
        <c:minorTickMark val="none"/>
        <c:tickLblPos val="nextTo"/>
        <c:crossAx val="24394342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1.125752504756203E-3"/>
          <c:y val="0.13601706036745406"/>
          <c:w val="0.65368257099279425"/>
          <c:h val="0.84928550597841934"/>
        </c:manualLayout>
      </c:layout>
      <c:pie3DChart>
        <c:varyColors val="1"/>
        <c:ser>
          <c:idx val="0"/>
          <c:order val="0"/>
          <c:tx>
            <c:strRef>
              <c:f>'[Analiza_prometa_SEAP Zagreb - revizija.xlsx]MUP_2015.'!$B$22:$H$22</c:f>
              <c:strCache>
                <c:ptCount val="1"/>
                <c:pt idx="0">
                  <c:v>83,87% 0,25% 2,85% 9,34% 2,57% 1,04% 0,08%</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'[Analiza_prometa_SEAP Zagreb - revizija.xlsx]MUP_2015.'!$B$18:$H$18</c:f>
              <c:strCache>
                <c:ptCount val="7"/>
                <c:pt idx="0">
                  <c:v>Osobni automobili</c:v>
                </c:pt>
                <c:pt idx="1">
                  <c:v>Autobusi</c:v>
                </c:pt>
                <c:pt idx="2">
                  <c:v>Mopedi </c:v>
                </c:pt>
                <c:pt idx="3">
                  <c:v>Teretna i radna vozila</c:v>
                </c:pt>
                <c:pt idx="4">
                  <c:v>Motocikli</c:v>
                </c:pt>
                <c:pt idx="5">
                  <c:v>Ostala vozila</c:v>
                </c:pt>
                <c:pt idx="6">
                  <c:v>Kombinirani automobil </c:v>
                </c:pt>
              </c:strCache>
            </c:strRef>
          </c:cat>
          <c:val>
            <c:numRef>
              <c:f>'[Analiza_prometa_SEAP Zagreb - revizija.xlsx]MUP_2015.'!$B$22:$H$22</c:f>
              <c:numCache>
                <c:formatCode>0.00%</c:formatCode>
                <c:ptCount val="7"/>
                <c:pt idx="0">
                  <c:v>0.83874230333207367</c:v>
                </c:pt>
                <c:pt idx="1">
                  <c:v>2.5035010114032941E-3</c:v>
                </c:pt>
                <c:pt idx="2">
                  <c:v>2.8477671327272323E-2</c:v>
                </c:pt>
                <c:pt idx="3">
                  <c:v>9.3415875697423698E-2</c:v>
                </c:pt>
                <c:pt idx="4">
                  <c:v>2.574632671660702E-2</c:v>
                </c:pt>
                <c:pt idx="5">
                  <c:v>1.0364105185942605E-2</c:v>
                </c:pt>
                <c:pt idx="6">
                  <c:v>7.5021672927734679E-4</c:v>
                </c:pt>
              </c:numCache>
            </c:numRef>
          </c:val>
          <c:extLst>
            <c:ext xmlns:c16="http://schemas.microsoft.com/office/drawing/2014/chart" uri="{C3380CC4-5D6E-409C-BE32-E72D297353CC}">
              <c16:uniqueId val="{00000000-C34A-4585-BB1F-CD84C30C343C}"/>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sr-Latn-R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6009241264997803"/>
          <c:y val="3.8320488451564404E-2"/>
          <c:w val="0.72518668747502535"/>
          <c:h val="0.76708706140166971"/>
        </c:manualLayout>
      </c:layout>
      <c:bar3DChart>
        <c:barDir val="col"/>
        <c:grouping val="clustered"/>
        <c:varyColors val="0"/>
        <c:ser>
          <c:idx val="0"/>
          <c:order val="0"/>
          <c:tx>
            <c:strRef>
              <c:f>'[Električna energija_ZDRAVSTVENE.xlsx]Usporedba SEAP'!$B$11:$F$11</c:f>
              <c:strCache>
                <c:ptCount val="1"/>
                <c:pt idx="0">
                  <c:v>Domovi zdravlja Poliklinike i bolnice Domovi za starije i nemoćne osobe Ured za socijalnu zaštitu Prosjek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'[Električna energija_ZDRAVSTVENE.xlsx]Usporedba SEAP'!$B$11:$F$11</c:f>
              <c:strCache>
                <c:ptCount val="5"/>
                <c:pt idx="0">
                  <c:v>Domovi zdravlja</c:v>
                </c:pt>
                <c:pt idx="1">
                  <c:v>Poliklinike i bolnice</c:v>
                </c:pt>
                <c:pt idx="2">
                  <c:v>Domovi za starije i nemoćne osobe</c:v>
                </c:pt>
                <c:pt idx="3">
                  <c:v>Ured za socijalnu zaštitu</c:v>
                </c:pt>
                <c:pt idx="4">
                  <c:v>Prosjek</c:v>
                </c:pt>
              </c:strCache>
            </c:strRef>
          </c:cat>
          <c:val>
            <c:numRef>
              <c:f>'[Električna energija_ZDRAVSTVENE.xlsx]Usporedba SEAP'!$B$13:$F$13</c:f>
              <c:numCache>
                <c:formatCode>#,##0.00</c:formatCode>
                <c:ptCount val="5"/>
                <c:pt idx="0">
                  <c:v>53.479507369500475</c:v>
                </c:pt>
                <c:pt idx="1">
                  <c:v>94.641061763587302</c:v>
                </c:pt>
                <c:pt idx="2">
                  <c:v>53.885993143812236</c:v>
                </c:pt>
                <c:pt idx="3">
                  <c:v>173.49473684210525</c:v>
                </c:pt>
                <c:pt idx="4">
                  <c:v>68.867159627886295</c:v>
                </c:pt>
              </c:numCache>
            </c:numRef>
          </c:val>
          <c:extLst>
            <c:ext xmlns:c16="http://schemas.microsoft.com/office/drawing/2014/chart" uri="{C3380CC4-5D6E-409C-BE32-E72D297353CC}">
              <c16:uniqueId val="{00000000-8E10-4942-B444-0EEA76434715}"/>
            </c:ext>
          </c:extLst>
        </c:ser>
        <c:dLbls>
          <c:showLegendKey val="0"/>
          <c:showVal val="0"/>
          <c:showCatName val="0"/>
          <c:showSerName val="0"/>
          <c:showPercent val="0"/>
          <c:showBubbleSize val="0"/>
        </c:dLbls>
        <c:gapWidth val="150"/>
        <c:shape val="box"/>
        <c:axId val="160668160"/>
        <c:axId val="168435008"/>
        <c:axId val="0"/>
      </c:bar3DChart>
      <c:catAx>
        <c:axId val="160668160"/>
        <c:scaling>
          <c:orientation val="minMax"/>
        </c:scaling>
        <c:delete val="0"/>
        <c:axPos val="b"/>
        <c:numFmt formatCode="General" sourceLinked="0"/>
        <c:majorTickMark val="out"/>
        <c:minorTickMark val="none"/>
        <c:tickLblPos val="nextTo"/>
        <c:txPr>
          <a:bodyPr/>
          <a:lstStyle/>
          <a:p>
            <a:pPr>
              <a:defRPr sz="800"/>
            </a:pPr>
            <a:endParaRPr lang="sr-Latn-RS"/>
          </a:p>
        </c:txPr>
        <c:crossAx val="168435008"/>
        <c:crosses val="autoZero"/>
        <c:auto val="1"/>
        <c:lblAlgn val="ctr"/>
        <c:lblOffset val="100"/>
        <c:noMultiLvlLbl val="0"/>
      </c:catAx>
      <c:valAx>
        <c:axId val="168435008"/>
        <c:scaling>
          <c:orientation val="minMax"/>
        </c:scaling>
        <c:delete val="0"/>
        <c:axPos val="l"/>
        <c:majorGridlines/>
        <c:title>
          <c:tx>
            <c:rich>
              <a:bodyPr rot="-5400000" vert="horz"/>
              <a:lstStyle/>
              <a:p>
                <a:pPr>
                  <a:defRPr/>
                </a:pPr>
                <a:r>
                  <a:rPr lang="hr-HR"/>
                  <a:t>kWh/m</a:t>
                </a:r>
                <a:r>
                  <a:rPr lang="hr-HR" baseline="30000"/>
                  <a:t>2</a:t>
                </a:r>
              </a:p>
            </c:rich>
          </c:tx>
          <c:overlay val="0"/>
        </c:title>
        <c:numFmt formatCode="#,##0.00" sourceLinked="1"/>
        <c:majorTickMark val="out"/>
        <c:minorTickMark val="none"/>
        <c:tickLblPos val="nextTo"/>
        <c:crossAx val="160668160"/>
        <c:crosses val="autoZero"/>
        <c:crossBetween val="between"/>
      </c:valAx>
    </c:plotArea>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1.3807305336832896E-2"/>
          <c:y val="0.20546150481189851"/>
          <c:w val="0.66274671916010497"/>
          <c:h val="0.76132254301545643"/>
        </c:manualLayout>
      </c:layout>
      <c:pie3DChart>
        <c:varyColors val="1"/>
        <c:ser>
          <c:idx val="0"/>
          <c:order val="0"/>
          <c:tx>
            <c:strRef>
              <c:f>'[Analiza_prometa_SEAP Zagreb - revizija.xlsx]MUP -trend'!$L$90:$Q$90</c:f>
              <c:strCache>
                <c:ptCount val="1"/>
                <c:pt idx="0">
                  <c:v>48,56% 48,07% 3,17% 0,14% 0,07% 0,0003%</c:v>
                </c:pt>
              </c:strCache>
            </c:strRef>
          </c:tx>
          <c:explosion val="25"/>
          <c:dLbls>
            <c:numFmt formatCode="0.0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'[Analiza_prometa_SEAP Zagreb - revizija.xlsx]MUP -trend'!$L$86:$Q$88</c:f>
              <c:strCache>
                <c:ptCount val="6"/>
                <c:pt idx="0">
                  <c:v>Dizel</c:v>
                </c:pt>
                <c:pt idx="1">
                  <c:v>Benzin</c:v>
                </c:pt>
                <c:pt idx="2">
                  <c:v>Plin</c:v>
                </c:pt>
                <c:pt idx="3">
                  <c:v>Hibridna vozila</c:v>
                </c:pt>
                <c:pt idx="4">
                  <c:v>Električna vozila</c:v>
                </c:pt>
                <c:pt idx="5">
                  <c:v>Biogoriva</c:v>
                </c:pt>
              </c:strCache>
            </c:strRef>
          </c:cat>
          <c:val>
            <c:numRef>
              <c:f>'[Analiza_prometa_SEAP Zagreb - revizija.xlsx]MUP -trend'!$L$90:$Q$90</c:f>
              <c:numCache>
                <c:formatCode>0.00%</c:formatCode>
                <c:ptCount val="6"/>
                <c:pt idx="0">
                  <c:v>0.48555138151021404</c:v>
                </c:pt>
                <c:pt idx="1">
                  <c:v>0.48070831573565698</c:v>
                </c:pt>
                <c:pt idx="2">
                  <c:v>3.1661924555982837E-2</c:v>
                </c:pt>
                <c:pt idx="3">
                  <c:v>1.4142974637117391E-3</c:v>
                </c:pt>
                <c:pt idx="4">
                  <c:v>6.6130215395558722E-4</c:v>
                </c:pt>
                <c:pt idx="5" formatCode="0.0000%">
                  <c:v>2.778580478804988E-6</c:v>
                </c:pt>
              </c:numCache>
            </c:numRef>
          </c:val>
          <c:extLst>
            <c:ext xmlns:c16="http://schemas.microsoft.com/office/drawing/2014/chart" uri="{C3380CC4-5D6E-409C-BE32-E72D297353CC}">
              <c16:uniqueId val="{00000000-80C6-4E6C-BBF7-EE97507DD089}"/>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sr-Latn-RS"/>
        </a:p>
      </c:txPr>
    </c:legend>
    <c:plotVisOnly val="1"/>
    <c:dispBlanksAs val="gap"/>
    <c:showDLblsOverMax val="0"/>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1.7754941279911603E-3"/>
          <c:y val="9.8505700419385654E-4"/>
          <c:w val="0.77324948329154997"/>
          <c:h val="0.95680439166136366"/>
        </c:manualLayout>
      </c:layout>
      <c:pie3DChart>
        <c:varyColors val="1"/>
        <c:ser>
          <c:idx val="0"/>
          <c:order val="0"/>
          <c:tx>
            <c:strRef>
              <c:f>'[Analiza_prometa_SEAP Zagreb - revizija.xlsx]MUP_2015.'!$A$42:$A$43</c:f>
              <c:strCache>
                <c:ptCount val="1"/>
                <c:pt idx="0">
                  <c:v>Fizičke osobe Pravne osobe</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'[Analiza_prometa_SEAP Zagreb - revizija.xlsx]MUP_2015.'!$A$42:$A$43</c:f>
              <c:strCache>
                <c:ptCount val="2"/>
                <c:pt idx="0">
                  <c:v>Fizičke osobe</c:v>
                </c:pt>
                <c:pt idx="1">
                  <c:v>Pravne osobe</c:v>
                </c:pt>
              </c:strCache>
            </c:strRef>
          </c:cat>
          <c:val>
            <c:numRef>
              <c:f>'[Analiza_prometa_SEAP Zagreb - revizija.xlsx]MUP_2015.'!$B$42:$B$43</c:f>
              <c:numCache>
                <c:formatCode>#,##0.00</c:formatCode>
                <c:ptCount val="2"/>
                <c:pt idx="0">
                  <c:v>75.34</c:v>
                </c:pt>
                <c:pt idx="1">
                  <c:v>24.66</c:v>
                </c:pt>
              </c:numCache>
            </c:numRef>
          </c:val>
          <c:extLst>
            <c:ext xmlns:c16="http://schemas.microsoft.com/office/drawing/2014/chart" uri="{C3380CC4-5D6E-409C-BE32-E72D297353CC}">
              <c16:uniqueId val="{00000000-37D0-4A5C-AEEE-C61475972F0D}"/>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sr-Latn-RS"/>
        </a:p>
      </c:txPr>
    </c:legend>
    <c:plotVisOnly val="1"/>
    <c:dispBlanksAs val="gap"/>
    <c:showDLblsOverMax val="0"/>
  </c:chart>
  <c:spPr>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546308008027181"/>
          <c:y val="4.4894157951963935E-2"/>
          <c:w val="0.66461019005790101"/>
          <c:h val="0.76035265293646614"/>
        </c:manualLayout>
      </c:layout>
      <c:lineChart>
        <c:grouping val="stacked"/>
        <c:varyColors val="0"/>
        <c:ser>
          <c:idx val="0"/>
          <c:order val="0"/>
          <c:tx>
            <c:strRef>
              <c:f>'[Analiza_prometa_SEAP Zagreb - revizija.xlsx]Trend'!$A$25</c:f>
              <c:strCache>
                <c:ptCount val="1"/>
                <c:pt idx="0">
                  <c:v>Broj registiriranih motornih vozila</c:v>
                </c:pt>
              </c:strCache>
            </c:strRef>
          </c:tx>
          <c:marker>
            <c:symbol val="none"/>
          </c:marker>
          <c:cat>
            <c:strRef>
              <c:f>'[Analiza_prometa_SEAP Zagreb - revizija.xlsx]Trend'!$A$26:$H$26</c:f>
              <c:strCache>
                <c:ptCount val="8"/>
                <c:pt idx="0">
                  <c:v>2008.</c:v>
                </c:pt>
                <c:pt idx="1">
                  <c:v>2009.</c:v>
                </c:pt>
                <c:pt idx="2">
                  <c:v>2010.</c:v>
                </c:pt>
                <c:pt idx="3">
                  <c:v>2011.</c:v>
                </c:pt>
                <c:pt idx="4">
                  <c:v>2012.</c:v>
                </c:pt>
                <c:pt idx="5">
                  <c:v>2013.</c:v>
                </c:pt>
                <c:pt idx="6">
                  <c:v>2014.</c:v>
                </c:pt>
                <c:pt idx="7">
                  <c:v>2015.</c:v>
                </c:pt>
              </c:strCache>
            </c:strRef>
          </c:cat>
          <c:val>
            <c:numRef>
              <c:f>'[Analiza_prometa_SEAP Zagreb - revizija.xlsx]Trend'!$A$27:$H$27</c:f>
              <c:numCache>
                <c:formatCode>#,##0</c:formatCode>
                <c:ptCount val="8"/>
                <c:pt idx="0">
                  <c:v>414353</c:v>
                </c:pt>
                <c:pt idx="1">
                  <c:v>356517</c:v>
                </c:pt>
                <c:pt idx="2">
                  <c:v>359614</c:v>
                </c:pt>
                <c:pt idx="3">
                  <c:v>366619</c:v>
                </c:pt>
                <c:pt idx="4">
                  <c:v>333352</c:v>
                </c:pt>
                <c:pt idx="5">
                  <c:v>338906</c:v>
                </c:pt>
                <c:pt idx="6">
                  <c:v>348794</c:v>
                </c:pt>
                <c:pt idx="7">
                  <c:v>359896</c:v>
                </c:pt>
              </c:numCache>
            </c:numRef>
          </c:val>
          <c:smooth val="0"/>
          <c:extLst>
            <c:ext xmlns:c16="http://schemas.microsoft.com/office/drawing/2014/chart" uri="{C3380CC4-5D6E-409C-BE32-E72D297353CC}">
              <c16:uniqueId val="{00000000-746D-4B6F-A7A5-FCE9A93312E6}"/>
            </c:ext>
          </c:extLst>
        </c:ser>
        <c:dLbls>
          <c:showLegendKey val="0"/>
          <c:showVal val="0"/>
          <c:showCatName val="0"/>
          <c:showSerName val="0"/>
          <c:showPercent val="0"/>
          <c:showBubbleSize val="0"/>
        </c:dLbls>
        <c:smooth val="0"/>
        <c:axId val="244209664"/>
        <c:axId val="243883328"/>
      </c:lineChart>
      <c:catAx>
        <c:axId val="244209664"/>
        <c:scaling>
          <c:orientation val="minMax"/>
        </c:scaling>
        <c:delete val="0"/>
        <c:axPos val="b"/>
        <c:numFmt formatCode="General" sourceLinked="0"/>
        <c:majorTickMark val="none"/>
        <c:minorTickMark val="none"/>
        <c:tickLblPos val="nextTo"/>
        <c:crossAx val="243883328"/>
        <c:crosses val="autoZero"/>
        <c:auto val="1"/>
        <c:lblAlgn val="ctr"/>
        <c:lblOffset val="100"/>
        <c:noMultiLvlLbl val="0"/>
      </c:catAx>
      <c:valAx>
        <c:axId val="243883328"/>
        <c:scaling>
          <c:orientation val="minMax"/>
        </c:scaling>
        <c:delete val="0"/>
        <c:axPos val="l"/>
        <c:majorGridlines/>
        <c:numFmt formatCode="#,##0" sourceLinked="1"/>
        <c:majorTickMark val="none"/>
        <c:minorTickMark val="none"/>
        <c:tickLblPos val="nextTo"/>
        <c:crossAx val="244209664"/>
        <c:crosses val="autoZero"/>
        <c:crossBetween val="between"/>
      </c:valAx>
      <c:dTable>
        <c:showHorzBorder val="1"/>
        <c:showVertBorder val="1"/>
        <c:showOutline val="1"/>
        <c:showKeys val="1"/>
        <c:txPr>
          <a:bodyPr/>
          <a:lstStyle/>
          <a:p>
            <a:pPr rtl="0">
              <a:defRPr sz="900"/>
            </a:pPr>
            <a:endParaRPr lang="sr-Latn-RS"/>
          </a:p>
        </c:txPr>
      </c:dTable>
    </c:plotArea>
    <c:plotVisOnly val="1"/>
    <c:dispBlanksAs val="zero"/>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52678137455042"/>
          <c:y val="5.0957444271055065E-2"/>
          <c:w val="0.68647321862544963"/>
          <c:h val="0.72798651562275263"/>
        </c:manualLayout>
      </c:layout>
      <c:lineChart>
        <c:grouping val="stacked"/>
        <c:varyColors val="0"/>
        <c:ser>
          <c:idx val="0"/>
          <c:order val="0"/>
          <c:tx>
            <c:strRef>
              <c:f>'[Analiza_prometa_SEAP Zagreb - revizija.xlsx]Trend'!$A$31</c:f>
              <c:strCache>
                <c:ptCount val="1"/>
                <c:pt idx="0">
                  <c:v>Broj registriranih osobnih vozila</c:v>
                </c:pt>
              </c:strCache>
            </c:strRef>
          </c:tx>
          <c:marker>
            <c:symbol val="none"/>
          </c:marker>
          <c:cat>
            <c:strRef>
              <c:f>'[Analiza_prometa_SEAP Zagreb - revizija.xlsx]Trend'!$A$32:$H$32</c:f>
              <c:strCache>
                <c:ptCount val="8"/>
                <c:pt idx="0">
                  <c:v>2008.</c:v>
                </c:pt>
                <c:pt idx="1">
                  <c:v>2009.</c:v>
                </c:pt>
                <c:pt idx="2">
                  <c:v>2010.</c:v>
                </c:pt>
                <c:pt idx="3">
                  <c:v>2011.</c:v>
                </c:pt>
                <c:pt idx="4">
                  <c:v>2012.</c:v>
                </c:pt>
                <c:pt idx="5">
                  <c:v>2013.</c:v>
                </c:pt>
                <c:pt idx="6">
                  <c:v>2014.</c:v>
                </c:pt>
                <c:pt idx="7">
                  <c:v>2015.</c:v>
                </c:pt>
              </c:strCache>
            </c:strRef>
          </c:cat>
          <c:val>
            <c:numRef>
              <c:f>'[Analiza_prometa_SEAP Zagreb - revizija.xlsx]Trend'!$A$33:$H$33</c:f>
              <c:numCache>
                <c:formatCode>#,##0</c:formatCode>
                <c:ptCount val="8"/>
                <c:pt idx="0">
                  <c:v>333968</c:v>
                </c:pt>
                <c:pt idx="1">
                  <c:v>290584</c:v>
                </c:pt>
                <c:pt idx="2">
                  <c:v>294124</c:v>
                </c:pt>
                <c:pt idx="3">
                  <c:v>300962</c:v>
                </c:pt>
                <c:pt idx="4">
                  <c:v>277566</c:v>
                </c:pt>
                <c:pt idx="5">
                  <c:v>282871</c:v>
                </c:pt>
                <c:pt idx="6">
                  <c:v>292150</c:v>
                </c:pt>
                <c:pt idx="7">
                  <c:v>301860</c:v>
                </c:pt>
              </c:numCache>
            </c:numRef>
          </c:val>
          <c:smooth val="0"/>
          <c:extLst>
            <c:ext xmlns:c16="http://schemas.microsoft.com/office/drawing/2014/chart" uri="{C3380CC4-5D6E-409C-BE32-E72D297353CC}">
              <c16:uniqueId val="{00000000-EEA3-4A6F-B467-9FCE9B81357E}"/>
            </c:ext>
          </c:extLst>
        </c:ser>
        <c:dLbls>
          <c:showLegendKey val="0"/>
          <c:showVal val="0"/>
          <c:showCatName val="0"/>
          <c:showSerName val="0"/>
          <c:showPercent val="0"/>
          <c:showBubbleSize val="0"/>
        </c:dLbls>
        <c:smooth val="0"/>
        <c:axId val="244211200"/>
        <c:axId val="244589120"/>
      </c:lineChart>
      <c:catAx>
        <c:axId val="244211200"/>
        <c:scaling>
          <c:orientation val="minMax"/>
        </c:scaling>
        <c:delete val="0"/>
        <c:axPos val="b"/>
        <c:numFmt formatCode="General" sourceLinked="0"/>
        <c:majorTickMark val="none"/>
        <c:minorTickMark val="none"/>
        <c:tickLblPos val="nextTo"/>
        <c:crossAx val="244589120"/>
        <c:crosses val="autoZero"/>
        <c:auto val="1"/>
        <c:lblAlgn val="ctr"/>
        <c:lblOffset val="100"/>
        <c:noMultiLvlLbl val="0"/>
      </c:catAx>
      <c:valAx>
        <c:axId val="244589120"/>
        <c:scaling>
          <c:orientation val="minMax"/>
        </c:scaling>
        <c:delete val="0"/>
        <c:axPos val="l"/>
        <c:majorGridlines/>
        <c:numFmt formatCode="#,##0" sourceLinked="0"/>
        <c:majorTickMark val="none"/>
        <c:minorTickMark val="none"/>
        <c:tickLblPos val="nextTo"/>
        <c:crossAx val="244211200"/>
        <c:crosses val="autoZero"/>
        <c:crossBetween val="between"/>
      </c:valAx>
      <c:dTable>
        <c:showHorzBorder val="1"/>
        <c:showVertBorder val="1"/>
        <c:showOutline val="1"/>
        <c:showKeys val="1"/>
        <c:txPr>
          <a:bodyPr/>
          <a:lstStyle/>
          <a:p>
            <a:pPr rtl="0">
              <a:defRPr sz="900"/>
            </a:pPr>
            <a:endParaRPr lang="sr-Latn-RS"/>
          </a:p>
        </c:txPr>
      </c:dTable>
    </c:plotArea>
    <c:plotVisOnly val="1"/>
    <c:dispBlanksAs val="zero"/>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139419038678351"/>
          <c:y val="3.5901437946772419E-2"/>
          <c:w val="0.67464908301179982"/>
          <c:h val="0.80835625942876788"/>
        </c:manualLayout>
      </c:layout>
      <c:bar3DChart>
        <c:barDir val="col"/>
        <c:grouping val="stacked"/>
        <c:varyColors val="0"/>
        <c:ser>
          <c:idx val="0"/>
          <c:order val="0"/>
          <c:tx>
            <c:strRef>
              <c:f>'[Analiza_prometa_SEAP Zagreb - revizija.xlsx]Trend'!$A$43</c:f>
              <c:strCache>
                <c:ptCount val="1"/>
                <c:pt idx="0">
                  <c:v>Broj osobnih vozila na 1000 stanovnika</c:v>
                </c:pt>
              </c:strCache>
            </c:strRef>
          </c:tx>
          <c:invertIfNegative val="0"/>
          <c:cat>
            <c:strRef>
              <c:f>'[Analiza_prometa_SEAP Zagreb - revizija.xlsx]Trend'!$B$39:$I$39</c:f>
              <c:strCache>
                <c:ptCount val="8"/>
                <c:pt idx="0">
                  <c:v>2008.</c:v>
                </c:pt>
                <c:pt idx="1">
                  <c:v>2009.</c:v>
                </c:pt>
                <c:pt idx="2">
                  <c:v>2010.</c:v>
                </c:pt>
                <c:pt idx="3">
                  <c:v>2011.</c:v>
                </c:pt>
                <c:pt idx="4">
                  <c:v>2012.</c:v>
                </c:pt>
                <c:pt idx="5">
                  <c:v>2013.</c:v>
                </c:pt>
                <c:pt idx="6">
                  <c:v>2014.</c:v>
                </c:pt>
                <c:pt idx="7">
                  <c:v>2015.</c:v>
                </c:pt>
              </c:strCache>
            </c:strRef>
          </c:cat>
          <c:val>
            <c:numRef>
              <c:f>'[Analiza_prometa_SEAP Zagreb - revizija.xlsx]Trend'!$B$43:$I$43</c:f>
              <c:numCache>
                <c:formatCode>#,##0</c:formatCode>
                <c:ptCount val="8"/>
                <c:pt idx="0">
                  <c:v>428.63395131843237</c:v>
                </c:pt>
                <c:pt idx="1">
                  <c:v>367.36283185840711</c:v>
                </c:pt>
                <c:pt idx="2">
                  <c:v>370.95885227810186</c:v>
                </c:pt>
                <c:pt idx="3">
                  <c:v>380.9563591669546</c:v>
                </c:pt>
                <c:pt idx="4">
                  <c:v>350.46212121212119</c:v>
                </c:pt>
                <c:pt idx="5">
                  <c:v>355.41022741550449</c:v>
                </c:pt>
                <c:pt idx="6">
                  <c:v>365.87351283656858</c:v>
                </c:pt>
                <c:pt idx="7">
                  <c:v>377.79724655819774</c:v>
                </c:pt>
              </c:numCache>
            </c:numRef>
          </c:val>
          <c:extLst>
            <c:ext xmlns:c16="http://schemas.microsoft.com/office/drawing/2014/chart" uri="{C3380CC4-5D6E-409C-BE32-E72D297353CC}">
              <c16:uniqueId val="{00000000-841E-47C9-AA04-79D554B1F2A7}"/>
            </c:ext>
          </c:extLst>
        </c:ser>
        <c:dLbls>
          <c:showLegendKey val="0"/>
          <c:showVal val="0"/>
          <c:showCatName val="0"/>
          <c:showSerName val="0"/>
          <c:showPercent val="0"/>
          <c:showBubbleSize val="0"/>
        </c:dLbls>
        <c:gapWidth val="95"/>
        <c:gapDepth val="95"/>
        <c:shape val="box"/>
        <c:axId val="244759040"/>
        <c:axId val="244592000"/>
        <c:axId val="0"/>
      </c:bar3DChart>
      <c:catAx>
        <c:axId val="244759040"/>
        <c:scaling>
          <c:orientation val="minMax"/>
        </c:scaling>
        <c:delete val="0"/>
        <c:axPos val="b"/>
        <c:numFmt formatCode="General" sourceLinked="0"/>
        <c:majorTickMark val="none"/>
        <c:minorTickMark val="none"/>
        <c:tickLblPos val="nextTo"/>
        <c:crossAx val="244592000"/>
        <c:crosses val="autoZero"/>
        <c:auto val="1"/>
        <c:lblAlgn val="ctr"/>
        <c:lblOffset val="100"/>
        <c:noMultiLvlLbl val="0"/>
      </c:catAx>
      <c:valAx>
        <c:axId val="244592000"/>
        <c:scaling>
          <c:orientation val="minMax"/>
        </c:scaling>
        <c:delete val="0"/>
        <c:axPos val="l"/>
        <c:majorGridlines/>
        <c:numFmt formatCode="#,##0" sourceLinked="1"/>
        <c:majorTickMark val="none"/>
        <c:minorTickMark val="none"/>
        <c:tickLblPos val="nextTo"/>
        <c:crossAx val="244759040"/>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4045905059989567"/>
          <c:y val="3.4749670375710077E-2"/>
          <c:w val="0.75536776212832546"/>
          <c:h val="0.72206400256305991"/>
        </c:manualLayout>
      </c:layout>
      <c:bar3DChart>
        <c:barDir val="col"/>
        <c:grouping val="stacked"/>
        <c:varyColors val="0"/>
        <c:ser>
          <c:idx val="0"/>
          <c:order val="0"/>
          <c:tx>
            <c:strRef>
              <c:f>'[Analiza_prometa_SEAP Zagreb - revizija.xlsx]Trend'!$A$7</c:f>
              <c:strCache>
                <c:ptCount val="1"/>
                <c:pt idx="0">
                  <c:v>UNP automobili</c:v>
                </c:pt>
              </c:strCache>
            </c:strRef>
          </c:tx>
          <c:invertIfNegative val="0"/>
          <c:cat>
            <c:strRef>
              <c:f>'[Analiza_prometa_SEAP Zagreb - revizija.xlsx]Trend'!$B$6:$H$6</c:f>
              <c:strCache>
                <c:ptCount val="7"/>
                <c:pt idx="0">
                  <c:v>2009.</c:v>
                </c:pt>
                <c:pt idx="1">
                  <c:v>2010.</c:v>
                </c:pt>
                <c:pt idx="2">
                  <c:v>2011.</c:v>
                </c:pt>
                <c:pt idx="3">
                  <c:v>2012.</c:v>
                </c:pt>
                <c:pt idx="4">
                  <c:v>2013.</c:v>
                </c:pt>
                <c:pt idx="5">
                  <c:v>2014.</c:v>
                </c:pt>
                <c:pt idx="6">
                  <c:v>2015.</c:v>
                </c:pt>
              </c:strCache>
            </c:strRef>
          </c:cat>
          <c:val>
            <c:numRef>
              <c:f>'[Analiza_prometa_SEAP Zagreb - revizija.xlsx]Trend'!$B$7:$H$7</c:f>
              <c:numCache>
                <c:formatCode>0.00%</c:formatCode>
                <c:ptCount val="7"/>
                <c:pt idx="0">
                  <c:v>4.0105442832365168E-2</c:v>
                </c:pt>
                <c:pt idx="1">
                  <c:v>3.9938937318953913E-2</c:v>
                </c:pt>
                <c:pt idx="2">
                  <c:v>3.8978342780816182E-2</c:v>
                </c:pt>
                <c:pt idx="3">
                  <c:v>4.169458795385602E-2</c:v>
                </c:pt>
                <c:pt idx="4">
                  <c:v>4.0170254285522379E-2</c:v>
                </c:pt>
                <c:pt idx="5">
                  <c:v>3.8644531918535001E-2</c:v>
                </c:pt>
                <c:pt idx="6">
                  <c:v>3.6579871463592394E-2</c:v>
                </c:pt>
              </c:numCache>
            </c:numRef>
          </c:val>
          <c:extLst>
            <c:ext xmlns:c16="http://schemas.microsoft.com/office/drawing/2014/chart" uri="{C3380CC4-5D6E-409C-BE32-E72D297353CC}">
              <c16:uniqueId val="{00000000-0AA5-4E67-AAB1-62E82797FD8E}"/>
            </c:ext>
          </c:extLst>
        </c:ser>
        <c:ser>
          <c:idx val="1"/>
          <c:order val="1"/>
          <c:tx>
            <c:strRef>
              <c:f>'[Analiza_prometa_SEAP Zagreb - revizija.xlsx]Trend'!$A$8</c:f>
              <c:strCache>
                <c:ptCount val="1"/>
                <c:pt idx="0">
                  <c:v>Dizelski automobili</c:v>
                </c:pt>
              </c:strCache>
            </c:strRef>
          </c:tx>
          <c:invertIfNegative val="0"/>
          <c:cat>
            <c:strRef>
              <c:f>'[Analiza_prometa_SEAP Zagreb - revizija.xlsx]Trend'!$B$6:$H$6</c:f>
              <c:strCache>
                <c:ptCount val="7"/>
                <c:pt idx="0">
                  <c:v>2009.</c:v>
                </c:pt>
                <c:pt idx="1">
                  <c:v>2010.</c:v>
                </c:pt>
                <c:pt idx="2">
                  <c:v>2011.</c:v>
                </c:pt>
                <c:pt idx="3">
                  <c:v>2012.</c:v>
                </c:pt>
                <c:pt idx="4">
                  <c:v>2013.</c:v>
                </c:pt>
                <c:pt idx="5">
                  <c:v>2014.</c:v>
                </c:pt>
                <c:pt idx="6">
                  <c:v>2015.</c:v>
                </c:pt>
              </c:strCache>
            </c:strRef>
          </c:cat>
          <c:val>
            <c:numRef>
              <c:f>'[Analiza_prometa_SEAP Zagreb - revizija.xlsx]Trend'!$B$8:$H$8</c:f>
              <c:numCache>
                <c:formatCode>0.00%</c:formatCode>
                <c:ptCount val="7"/>
                <c:pt idx="0">
                  <c:v>0.35039437821765823</c:v>
                </c:pt>
                <c:pt idx="1">
                  <c:v>0.35678829337286316</c:v>
                </c:pt>
                <c:pt idx="2">
                  <c:v>0.36713605039838915</c:v>
                </c:pt>
                <c:pt idx="3">
                  <c:v>0.39982922980480318</c:v>
                </c:pt>
                <c:pt idx="4">
                  <c:v>0.41478271013995777</c:v>
                </c:pt>
                <c:pt idx="5">
                  <c:v>0.43483826801300701</c:v>
                </c:pt>
                <c:pt idx="6">
                  <c:v>0.45636719008812032</c:v>
                </c:pt>
              </c:numCache>
            </c:numRef>
          </c:val>
          <c:extLst>
            <c:ext xmlns:c16="http://schemas.microsoft.com/office/drawing/2014/chart" uri="{C3380CC4-5D6E-409C-BE32-E72D297353CC}">
              <c16:uniqueId val="{00000001-0AA5-4E67-AAB1-62E82797FD8E}"/>
            </c:ext>
          </c:extLst>
        </c:ser>
        <c:ser>
          <c:idx val="2"/>
          <c:order val="2"/>
          <c:tx>
            <c:strRef>
              <c:f>'[Analiza_prometa_SEAP Zagreb - revizija.xlsx]Trend'!$A$9</c:f>
              <c:strCache>
                <c:ptCount val="1"/>
                <c:pt idx="0">
                  <c:v>Benzinski automobili</c:v>
                </c:pt>
              </c:strCache>
            </c:strRef>
          </c:tx>
          <c:invertIfNegative val="0"/>
          <c:cat>
            <c:strRef>
              <c:f>'[Analiza_prometa_SEAP Zagreb - revizija.xlsx]Trend'!$B$6:$H$6</c:f>
              <c:strCache>
                <c:ptCount val="7"/>
                <c:pt idx="0">
                  <c:v>2009.</c:v>
                </c:pt>
                <c:pt idx="1">
                  <c:v>2010.</c:v>
                </c:pt>
                <c:pt idx="2">
                  <c:v>2011.</c:v>
                </c:pt>
                <c:pt idx="3">
                  <c:v>2012.</c:v>
                </c:pt>
                <c:pt idx="4">
                  <c:v>2013.</c:v>
                </c:pt>
                <c:pt idx="5">
                  <c:v>2014.</c:v>
                </c:pt>
                <c:pt idx="6">
                  <c:v>2015.</c:v>
                </c:pt>
              </c:strCache>
            </c:strRef>
          </c:cat>
          <c:val>
            <c:numRef>
              <c:f>'[Analiza_prometa_SEAP Zagreb - revizija.xlsx]Trend'!$B$9:$H$9</c:f>
              <c:numCache>
                <c:formatCode>0.00%</c:formatCode>
                <c:ptCount val="7"/>
                <c:pt idx="0">
                  <c:v>0.60909065881122149</c:v>
                </c:pt>
                <c:pt idx="1">
                  <c:v>0.60282057907549202</c:v>
                </c:pt>
                <c:pt idx="2">
                  <c:v>0.59334401020726868</c:v>
                </c:pt>
                <c:pt idx="3">
                  <c:v>0.55777364662818929</c:v>
                </c:pt>
                <c:pt idx="4">
                  <c:v>0.54425161999639415</c:v>
                </c:pt>
                <c:pt idx="5">
                  <c:v>0.52516857778538417</c:v>
                </c:pt>
                <c:pt idx="6">
                  <c:v>0.50514476909825745</c:v>
                </c:pt>
              </c:numCache>
            </c:numRef>
          </c:val>
          <c:extLst>
            <c:ext xmlns:c16="http://schemas.microsoft.com/office/drawing/2014/chart" uri="{C3380CC4-5D6E-409C-BE32-E72D297353CC}">
              <c16:uniqueId val="{00000002-0AA5-4E67-AAB1-62E82797FD8E}"/>
            </c:ext>
          </c:extLst>
        </c:ser>
        <c:ser>
          <c:idx val="3"/>
          <c:order val="3"/>
          <c:tx>
            <c:strRef>
              <c:f>'[Analiza_prometa_SEAP Zagreb - revizija.xlsx]Trend'!$A$10</c:f>
              <c:strCache>
                <c:ptCount val="1"/>
                <c:pt idx="0">
                  <c:v>Hibridna i električna</c:v>
                </c:pt>
              </c:strCache>
            </c:strRef>
          </c:tx>
          <c:invertIfNegative val="0"/>
          <c:cat>
            <c:strRef>
              <c:f>'[Analiza_prometa_SEAP Zagreb - revizija.xlsx]Trend'!$B$6:$H$6</c:f>
              <c:strCache>
                <c:ptCount val="7"/>
                <c:pt idx="0">
                  <c:v>2009.</c:v>
                </c:pt>
                <c:pt idx="1">
                  <c:v>2010.</c:v>
                </c:pt>
                <c:pt idx="2">
                  <c:v>2011.</c:v>
                </c:pt>
                <c:pt idx="3">
                  <c:v>2012.</c:v>
                </c:pt>
                <c:pt idx="4">
                  <c:v>2013.</c:v>
                </c:pt>
                <c:pt idx="5">
                  <c:v>2014.</c:v>
                </c:pt>
                <c:pt idx="6">
                  <c:v>2015.</c:v>
                </c:pt>
              </c:strCache>
            </c:strRef>
          </c:cat>
          <c:val>
            <c:numRef>
              <c:f>'[Analiza_prometa_SEAP Zagreb - revizija.xlsx]Trend'!$B$10:$H$10</c:f>
              <c:numCache>
                <c:formatCode>0.00%</c:formatCode>
                <c:ptCount val="7"/>
                <c:pt idx="0">
                  <c:v>4.0952013875505879E-4</c:v>
                </c:pt>
                <c:pt idx="1">
                  <c:v>4.5219023269097385E-4</c:v>
                </c:pt>
                <c:pt idx="2">
                  <c:v>5.4159661352596005E-4</c:v>
                </c:pt>
                <c:pt idx="3">
                  <c:v>7.0253561315146667E-4</c:v>
                </c:pt>
                <c:pt idx="4">
                  <c:v>7.9188039777849267E-4</c:v>
                </c:pt>
                <c:pt idx="5">
                  <c:v>1.3451993838781448E-3</c:v>
                </c:pt>
                <c:pt idx="6">
                  <c:v>1.9081693500298152E-3</c:v>
                </c:pt>
              </c:numCache>
            </c:numRef>
          </c:val>
          <c:extLst>
            <c:ext xmlns:c16="http://schemas.microsoft.com/office/drawing/2014/chart" uri="{C3380CC4-5D6E-409C-BE32-E72D297353CC}">
              <c16:uniqueId val="{00000003-0AA5-4E67-AAB1-62E82797FD8E}"/>
            </c:ext>
          </c:extLst>
        </c:ser>
        <c:dLbls>
          <c:showLegendKey val="0"/>
          <c:showVal val="0"/>
          <c:showCatName val="0"/>
          <c:showSerName val="0"/>
          <c:showPercent val="0"/>
          <c:showBubbleSize val="0"/>
        </c:dLbls>
        <c:gapWidth val="95"/>
        <c:gapDepth val="95"/>
        <c:shape val="box"/>
        <c:axId val="244760064"/>
        <c:axId val="244592576"/>
        <c:axId val="0"/>
      </c:bar3DChart>
      <c:catAx>
        <c:axId val="244760064"/>
        <c:scaling>
          <c:orientation val="minMax"/>
        </c:scaling>
        <c:delete val="0"/>
        <c:axPos val="b"/>
        <c:numFmt formatCode="General" sourceLinked="0"/>
        <c:majorTickMark val="none"/>
        <c:minorTickMark val="none"/>
        <c:tickLblPos val="nextTo"/>
        <c:crossAx val="244592576"/>
        <c:crosses val="autoZero"/>
        <c:auto val="1"/>
        <c:lblAlgn val="ctr"/>
        <c:lblOffset val="100"/>
        <c:noMultiLvlLbl val="0"/>
      </c:catAx>
      <c:valAx>
        <c:axId val="244592576"/>
        <c:scaling>
          <c:orientation val="minMax"/>
        </c:scaling>
        <c:delete val="0"/>
        <c:axPos val="l"/>
        <c:majorGridlines/>
        <c:title>
          <c:tx>
            <c:rich>
              <a:bodyPr/>
              <a:lstStyle/>
              <a:p>
                <a:pPr>
                  <a:defRPr/>
                </a:pPr>
                <a:r>
                  <a:rPr lang="hr-HR"/>
                  <a:t>Udio</a:t>
                </a:r>
                <a:r>
                  <a:rPr lang="hr-HR" baseline="0"/>
                  <a:t> </a:t>
                </a:r>
                <a:r>
                  <a:rPr lang="hr-HR" b="1" baseline="0"/>
                  <a:t>(%)</a:t>
                </a:r>
                <a:endParaRPr lang="hr-HR" b="1"/>
              </a:p>
            </c:rich>
          </c:tx>
          <c:overlay val="0"/>
        </c:title>
        <c:numFmt formatCode="0.00%" sourceLinked="1"/>
        <c:majorTickMark val="none"/>
        <c:minorTickMark val="none"/>
        <c:tickLblPos val="nextTo"/>
        <c:crossAx val="24476006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428217354501221E-2"/>
          <c:y val="3.2875760728304906E-2"/>
          <c:w val="0.68948571539978121"/>
          <c:h val="0.94011194463925452"/>
        </c:manualLayout>
      </c:layout>
      <c:pie3DChart>
        <c:varyColors val="1"/>
        <c:ser>
          <c:idx val="0"/>
          <c:order val="0"/>
          <c:tx>
            <c:strRef>
              <c:f>'Unos u master 2015.'!$B$1:$E$1</c:f>
              <c:strCache>
                <c:ptCount val="4"/>
                <c:pt idx="0">
                  <c:v>Dizel</c:v>
                </c:pt>
                <c:pt idx="1">
                  <c:v>Motorni benzin</c:v>
                </c:pt>
                <c:pt idx="2">
                  <c:v>Plin</c:v>
                </c:pt>
                <c:pt idx="3">
                  <c:v>Biogorivo</c:v>
                </c:pt>
              </c:strCache>
            </c:strRef>
          </c:tx>
          <c:explosion val="25"/>
          <c:dLbls>
            <c:dLbl>
              <c:idx val="3"/>
              <c:delete val="1"/>
              <c:extLst>
                <c:ext xmlns:c15="http://schemas.microsoft.com/office/drawing/2012/chart" uri="{CE6537A1-D6FC-4f65-9D91-7224C49458BB}"/>
                <c:ext xmlns:c16="http://schemas.microsoft.com/office/drawing/2014/chart" uri="{C3380CC4-5D6E-409C-BE32-E72D297353CC}">
                  <c16:uniqueId val="{00000001-B09F-43CC-B3B4-7C4DC645487F}"/>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'Unos u master 2015.'!$B$1:$E$1</c:f>
              <c:strCache>
                <c:ptCount val="4"/>
                <c:pt idx="0">
                  <c:v>Dizel</c:v>
                </c:pt>
                <c:pt idx="1">
                  <c:v>Motorni benzin</c:v>
                </c:pt>
                <c:pt idx="2">
                  <c:v>Plin</c:v>
                </c:pt>
                <c:pt idx="3">
                  <c:v>Biogorivo</c:v>
                </c:pt>
              </c:strCache>
            </c:strRef>
          </c:cat>
          <c:val>
            <c:numRef>
              <c:f>'Unos u master 2015.'!$B$7:$E$7</c:f>
              <c:numCache>
                <c:formatCode>#,##0.00</c:formatCode>
                <c:ptCount val="4"/>
                <c:pt idx="0">
                  <c:v>2389922.9456666224</c:v>
                </c:pt>
                <c:pt idx="1">
                  <c:v>1473971.8606145158</c:v>
                </c:pt>
                <c:pt idx="2">
                  <c:v>123537.40844403094</c:v>
                </c:pt>
                <c:pt idx="3">
                  <c:v>9.3447050000000011</c:v>
                </c:pt>
              </c:numCache>
            </c:numRef>
          </c:val>
          <c:extLst>
            <c:ext xmlns:c16="http://schemas.microsoft.com/office/drawing/2014/chart" uri="{C3380CC4-5D6E-409C-BE32-E72D297353CC}">
              <c16:uniqueId val="{00000000-B09F-43CC-B3B4-7C4DC645487F}"/>
            </c:ext>
          </c:extLst>
        </c:ser>
        <c:dLbls>
          <c:showLegendKey val="0"/>
          <c:showVal val="0"/>
          <c:showCatName val="0"/>
          <c:showSerName val="0"/>
          <c:showPercent val="1"/>
          <c:showBubbleSize val="0"/>
          <c:showLeaderLines val="1"/>
        </c:dLbls>
      </c:pie3DChart>
    </c:plotArea>
    <c:legend>
      <c:legendPos val="r"/>
      <c:legendEntry>
        <c:idx val="3"/>
        <c:delete val="1"/>
      </c:legendEntry>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1.3360819889507434E-3"/>
          <c:w val="0.69995779812977521"/>
          <c:h val="0.99866391801104926"/>
        </c:manualLayout>
      </c:layout>
      <c:pie3DChart>
        <c:varyColors val="1"/>
        <c:ser>
          <c:idx val="0"/>
          <c:order val="0"/>
          <c:tx>
            <c:strRef>
              <c:f>'[Analiza_prometa_SEAP Zagreb.xlsx]Unos u master 2015.'!$A$2:$A$6</c:f>
              <c:strCache>
                <c:ptCount val="1"/>
                <c:pt idx="0">
                  <c:v>Osobna vozila Teretna i radna Autobusi Kombinirani automobili i ostala vozila Mopedi i motocikli</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'[Analiza_prometa_SEAP Zagreb.xlsx]Unos u master 2015.'!$A$2:$A$6</c:f>
              <c:strCache>
                <c:ptCount val="5"/>
                <c:pt idx="0">
                  <c:v>Osobna vozila</c:v>
                </c:pt>
                <c:pt idx="1">
                  <c:v>Teretna i radna</c:v>
                </c:pt>
                <c:pt idx="2">
                  <c:v>Autobusi</c:v>
                </c:pt>
                <c:pt idx="3">
                  <c:v>Kombinirani automobili i ostala vozila</c:v>
                </c:pt>
                <c:pt idx="4">
                  <c:v>Mopedi i motocikli</c:v>
                </c:pt>
              </c:strCache>
            </c:strRef>
          </c:cat>
          <c:val>
            <c:numRef>
              <c:f>'[Analiza_prometa_SEAP Zagreb.xlsx]Unos u master 2015.'!$F$2:$F$6</c:f>
              <c:numCache>
                <c:formatCode>#,##0.00</c:formatCode>
                <c:ptCount val="5"/>
                <c:pt idx="0">
                  <c:v>2811251.7074950002</c:v>
                </c:pt>
                <c:pt idx="1">
                  <c:v>921929.99071645434</c:v>
                </c:pt>
                <c:pt idx="2">
                  <c:v>83835.436500000011</c:v>
                </c:pt>
                <c:pt idx="3">
                  <c:v>158242.43200000003</c:v>
                </c:pt>
                <c:pt idx="4">
                  <c:v>12181.992718715002</c:v>
                </c:pt>
              </c:numCache>
            </c:numRef>
          </c:val>
          <c:extLst>
            <c:ext xmlns:c16="http://schemas.microsoft.com/office/drawing/2014/chart" uri="{C3380CC4-5D6E-409C-BE32-E72D297353CC}">
              <c16:uniqueId val="{00000000-6EC6-4649-9C74-A6707D9C74A0}"/>
            </c:ext>
          </c:extLst>
        </c:ser>
        <c:dLbls>
          <c:showLegendKey val="0"/>
          <c:showVal val="0"/>
          <c:showCatName val="0"/>
          <c:showSerName val="0"/>
          <c:showPercent val="1"/>
          <c:showBubbleSize val="0"/>
          <c:showLeaderLines val="1"/>
        </c:dLbls>
      </c:pie3DChart>
    </c:plotArea>
    <c:legend>
      <c:legendPos val="r"/>
      <c:layout>
        <c:manualLayout>
          <c:xMode val="edge"/>
          <c:yMode val="edge"/>
          <c:x val="0.68763182747851881"/>
          <c:y val="0.1586684874722763"/>
          <c:w val="0.31236817252148119"/>
          <c:h val="0.68266263764999857"/>
        </c:manualLayout>
      </c:layout>
      <c:overlay val="0"/>
      <c:txPr>
        <a:bodyPr/>
        <a:lstStyle/>
        <a:p>
          <a:pPr rtl="0">
            <a:defRPr sz="900"/>
          </a:pPr>
          <a:endParaRPr lang="sr-Latn-RS"/>
        </a:p>
      </c:txPr>
    </c:legend>
    <c:plotVisOnly val="1"/>
    <c:dispBlanksAs val="gap"/>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9415913784586447"/>
          <c:y val="4.1012764045085068E-2"/>
          <c:w val="0.64646030109331576"/>
          <c:h val="0.64289974708621189"/>
        </c:manualLayout>
      </c:layout>
      <c:bar3DChart>
        <c:barDir val="col"/>
        <c:grouping val="stacked"/>
        <c:varyColors val="0"/>
        <c:ser>
          <c:idx val="0"/>
          <c:order val="0"/>
          <c:tx>
            <c:strRef>
              <c:f>'[Analiza_prometa_SEAP Zagreb.xlsx]Unos u master 2015.'!$B$1</c:f>
              <c:strCache>
                <c:ptCount val="1"/>
                <c:pt idx="0">
                  <c:v>Dizel</c:v>
                </c:pt>
              </c:strCache>
            </c:strRef>
          </c:tx>
          <c:invertIfNegative val="0"/>
          <c:cat>
            <c:strRef>
              <c:f>'[Analiza_prometa_SEAP Zagreb.xlsx]Unos u master 2015.'!$A$2:$A$6</c:f>
              <c:strCache>
                <c:ptCount val="5"/>
                <c:pt idx="0">
                  <c:v>Osobna vozila</c:v>
                </c:pt>
                <c:pt idx="1">
                  <c:v>Teretna i radna</c:v>
                </c:pt>
                <c:pt idx="2">
                  <c:v>Autobusi</c:v>
                </c:pt>
                <c:pt idx="3">
                  <c:v>Kombinirani automobili i ostala vozila</c:v>
                </c:pt>
                <c:pt idx="4">
                  <c:v>Mopedi i motocikli</c:v>
                </c:pt>
              </c:strCache>
            </c:strRef>
          </c:cat>
          <c:val>
            <c:numRef>
              <c:f>'[Analiza_prometa_SEAP Zagreb.xlsx]Unos u master 2015.'!$B$2:$B$6</c:f>
              <c:numCache>
                <c:formatCode>#,##0.00</c:formatCode>
                <c:ptCount val="5"/>
                <c:pt idx="0">
                  <c:v>1283149.4776650001</c:v>
                </c:pt>
                <c:pt idx="1">
                  <c:v>880748.61875762232</c:v>
                </c:pt>
                <c:pt idx="2">
                  <c:v>72284.776360000003</c:v>
                </c:pt>
                <c:pt idx="3">
                  <c:v>153732.52268800003</c:v>
                </c:pt>
                <c:pt idx="4">
                  <c:v>7.5501960000000032</c:v>
                </c:pt>
              </c:numCache>
            </c:numRef>
          </c:val>
          <c:extLst>
            <c:ext xmlns:c16="http://schemas.microsoft.com/office/drawing/2014/chart" uri="{C3380CC4-5D6E-409C-BE32-E72D297353CC}">
              <c16:uniqueId val="{00000000-6EB4-4F67-ACDA-E9C147D80B54}"/>
            </c:ext>
          </c:extLst>
        </c:ser>
        <c:ser>
          <c:idx val="1"/>
          <c:order val="1"/>
          <c:tx>
            <c:strRef>
              <c:f>'[Analiza_prometa_SEAP Zagreb.xlsx]Unos u master 2015.'!$C$1</c:f>
              <c:strCache>
                <c:ptCount val="1"/>
                <c:pt idx="0">
                  <c:v>Motorni benzin</c:v>
                </c:pt>
              </c:strCache>
            </c:strRef>
          </c:tx>
          <c:invertIfNegative val="0"/>
          <c:cat>
            <c:strRef>
              <c:f>'[Analiza_prometa_SEAP Zagreb.xlsx]Unos u master 2015.'!$A$2:$A$6</c:f>
              <c:strCache>
                <c:ptCount val="5"/>
                <c:pt idx="0">
                  <c:v>Osobna vozila</c:v>
                </c:pt>
                <c:pt idx="1">
                  <c:v>Teretna i radna</c:v>
                </c:pt>
                <c:pt idx="2">
                  <c:v>Autobusi</c:v>
                </c:pt>
                <c:pt idx="3">
                  <c:v>Kombinirani automobili i ostala vozila</c:v>
                </c:pt>
                <c:pt idx="4">
                  <c:v>Mopedi i motocikli</c:v>
                </c:pt>
              </c:strCache>
            </c:strRef>
          </c:cat>
          <c:val>
            <c:numRef>
              <c:f>'[Analiza_prometa_SEAP Zagreb.xlsx]Unos u master 2015.'!$C$2:$C$6</c:f>
              <c:numCache>
                <c:formatCode>#,##0.00</c:formatCode>
                <c:ptCount val="5"/>
                <c:pt idx="0">
                  <c:v>1424908.652515</c:v>
                </c:pt>
                <c:pt idx="1">
                  <c:v>32538.737718516022</c:v>
                </c:pt>
                <c:pt idx="3">
                  <c:v>4351.6668800000007</c:v>
                </c:pt>
                <c:pt idx="4">
                  <c:v>12172.803501000002</c:v>
                </c:pt>
              </c:numCache>
            </c:numRef>
          </c:val>
          <c:extLst>
            <c:ext xmlns:c16="http://schemas.microsoft.com/office/drawing/2014/chart" uri="{C3380CC4-5D6E-409C-BE32-E72D297353CC}">
              <c16:uniqueId val="{00000001-6EB4-4F67-ACDA-E9C147D80B54}"/>
            </c:ext>
          </c:extLst>
        </c:ser>
        <c:ser>
          <c:idx val="2"/>
          <c:order val="2"/>
          <c:tx>
            <c:strRef>
              <c:f>'[Analiza_prometa_SEAP Zagreb.xlsx]Unos u master 2015.'!$D$1</c:f>
              <c:strCache>
                <c:ptCount val="1"/>
                <c:pt idx="0">
                  <c:v>Plin</c:v>
                </c:pt>
              </c:strCache>
            </c:strRef>
          </c:tx>
          <c:invertIfNegative val="0"/>
          <c:cat>
            <c:strRef>
              <c:f>'[Analiza_prometa_SEAP Zagreb.xlsx]Unos u master 2015.'!$A$2:$A$6</c:f>
              <c:strCache>
                <c:ptCount val="5"/>
                <c:pt idx="0">
                  <c:v>Osobna vozila</c:v>
                </c:pt>
                <c:pt idx="1">
                  <c:v>Teretna i radna</c:v>
                </c:pt>
                <c:pt idx="2">
                  <c:v>Autobusi</c:v>
                </c:pt>
                <c:pt idx="3">
                  <c:v>Kombinirani automobili i ostala vozila</c:v>
                </c:pt>
                <c:pt idx="4">
                  <c:v>Mopedi i motocikli</c:v>
                </c:pt>
              </c:strCache>
            </c:strRef>
          </c:cat>
          <c:val>
            <c:numRef>
              <c:f>'[Analiza_prometa_SEAP Zagreb.xlsx]Unos u master 2015.'!$D$2:$D$6</c:f>
              <c:numCache>
                <c:formatCode>#,##0.00</c:formatCode>
                <c:ptCount val="5"/>
                <c:pt idx="0">
                  <c:v>103184.23261000001</c:v>
                </c:pt>
                <c:pt idx="1">
                  <c:v>8642.634240315936</c:v>
                </c:pt>
                <c:pt idx="2">
                  <c:v>11550.66014</c:v>
                </c:pt>
                <c:pt idx="3">
                  <c:v>158.24243200000004</c:v>
                </c:pt>
                <c:pt idx="4">
                  <c:v>1.6390217150000004</c:v>
                </c:pt>
              </c:numCache>
            </c:numRef>
          </c:val>
          <c:extLst>
            <c:ext xmlns:c16="http://schemas.microsoft.com/office/drawing/2014/chart" uri="{C3380CC4-5D6E-409C-BE32-E72D297353CC}">
              <c16:uniqueId val="{00000002-6EB4-4F67-ACDA-E9C147D80B54}"/>
            </c:ext>
          </c:extLst>
        </c:ser>
        <c:ser>
          <c:idx val="3"/>
          <c:order val="3"/>
          <c:tx>
            <c:strRef>
              <c:f>'[Analiza_prometa_SEAP Zagreb.xlsx]Unos u master 2015.'!$E$1</c:f>
              <c:strCache>
                <c:ptCount val="1"/>
                <c:pt idx="0">
                  <c:v>Biogorivo</c:v>
                </c:pt>
              </c:strCache>
            </c:strRef>
          </c:tx>
          <c:invertIfNegative val="0"/>
          <c:cat>
            <c:strRef>
              <c:f>'[Analiza_prometa_SEAP Zagreb.xlsx]Unos u master 2015.'!$A$2:$A$6</c:f>
              <c:strCache>
                <c:ptCount val="5"/>
                <c:pt idx="0">
                  <c:v>Osobna vozila</c:v>
                </c:pt>
                <c:pt idx="1">
                  <c:v>Teretna i radna</c:v>
                </c:pt>
                <c:pt idx="2">
                  <c:v>Autobusi</c:v>
                </c:pt>
                <c:pt idx="3">
                  <c:v>Kombinirani automobili i ostala vozila</c:v>
                </c:pt>
                <c:pt idx="4">
                  <c:v>Mopedi i motocikli</c:v>
                </c:pt>
              </c:strCache>
            </c:strRef>
          </c:cat>
          <c:val>
            <c:numRef>
              <c:f>'[Analiza_prometa_SEAP Zagreb.xlsx]Unos u master 2015.'!$E$2:$E$6</c:f>
              <c:numCache>
                <c:formatCode>General</c:formatCode>
                <c:ptCount val="5"/>
                <c:pt idx="0" formatCode="#,##0.00">
                  <c:v>9.3447050000000011</c:v>
                </c:pt>
              </c:numCache>
            </c:numRef>
          </c:val>
          <c:extLst>
            <c:ext xmlns:c16="http://schemas.microsoft.com/office/drawing/2014/chart" uri="{C3380CC4-5D6E-409C-BE32-E72D297353CC}">
              <c16:uniqueId val="{00000003-6EB4-4F67-ACDA-E9C147D80B54}"/>
            </c:ext>
          </c:extLst>
        </c:ser>
        <c:dLbls>
          <c:showLegendKey val="0"/>
          <c:showVal val="0"/>
          <c:showCatName val="0"/>
          <c:showSerName val="0"/>
          <c:showPercent val="0"/>
          <c:showBubbleSize val="0"/>
        </c:dLbls>
        <c:gapWidth val="150"/>
        <c:shape val="box"/>
        <c:axId val="244757504"/>
        <c:axId val="259760128"/>
        <c:axId val="0"/>
      </c:bar3DChart>
      <c:catAx>
        <c:axId val="244757504"/>
        <c:scaling>
          <c:orientation val="minMax"/>
        </c:scaling>
        <c:delete val="0"/>
        <c:axPos val="b"/>
        <c:numFmt formatCode="General" sourceLinked="0"/>
        <c:majorTickMark val="out"/>
        <c:minorTickMark val="none"/>
        <c:tickLblPos val="nextTo"/>
        <c:txPr>
          <a:bodyPr/>
          <a:lstStyle/>
          <a:p>
            <a:pPr>
              <a:defRPr sz="900"/>
            </a:pPr>
            <a:endParaRPr lang="sr-Latn-RS"/>
          </a:p>
        </c:txPr>
        <c:crossAx val="259760128"/>
        <c:crosses val="autoZero"/>
        <c:auto val="1"/>
        <c:lblAlgn val="ctr"/>
        <c:lblOffset val="100"/>
        <c:noMultiLvlLbl val="0"/>
      </c:catAx>
      <c:valAx>
        <c:axId val="259760128"/>
        <c:scaling>
          <c:orientation val="minMax"/>
        </c:scaling>
        <c:delete val="0"/>
        <c:axPos val="l"/>
        <c:majorGridlines/>
        <c:title>
          <c:tx>
            <c:rich>
              <a:bodyPr rot="-5400000" vert="horz"/>
              <a:lstStyle/>
              <a:p>
                <a:pPr>
                  <a:defRPr/>
                </a:pPr>
                <a:r>
                  <a:rPr lang="hr-HR"/>
                  <a:t>Potrošnja</a:t>
                </a:r>
                <a:r>
                  <a:rPr lang="hr-HR" baseline="0"/>
                  <a:t> goriva, MWh</a:t>
                </a:r>
                <a:endParaRPr lang="hr-HR"/>
              </a:p>
            </c:rich>
          </c:tx>
          <c:layout>
            <c:manualLayout>
              <c:xMode val="edge"/>
              <c:yMode val="edge"/>
              <c:x val="7.0941653126692494E-3"/>
              <c:y val="0.15400858269287881"/>
            </c:manualLayout>
          </c:layout>
          <c:overlay val="0"/>
        </c:title>
        <c:numFmt formatCode="#,##0.00" sourceLinked="1"/>
        <c:majorTickMark val="out"/>
        <c:minorTickMark val="none"/>
        <c:tickLblPos val="nextTo"/>
        <c:crossAx val="244757504"/>
        <c:crosses val="autoZero"/>
        <c:crossBetween val="between"/>
      </c:valAx>
    </c:plotArea>
    <c:legend>
      <c:legendPos val="r"/>
      <c:layout>
        <c:manualLayout>
          <c:xMode val="edge"/>
          <c:yMode val="edge"/>
          <c:x val="0.81643360187629788"/>
          <c:y val="0.27184775394455002"/>
          <c:w val="0.16939456228685698"/>
          <c:h val="0.44833714212447584"/>
        </c:manualLayout>
      </c:layout>
      <c:overlay val="0"/>
    </c:legend>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474803451730114E-2"/>
          <c:y val="0"/>
          <c:w val="0.75639582286256757"/>
          <c:h val="1"/>
        </c:manualLayout>
      </c:layout>
      <c:pie3DChart>
        <c:varyColors val="1"/>
        <c:ser>
          <c:idx val="0"/>
          <c:order val="0"/>
          <c:tx>
            <c:strRef>
              <c:f>'[Ukupno promet_ZG.xlsx]Unos u master'!$A$2:$A$4</c:f>
              <c:strCache>
                <c:ptCount val="3"/>
                <c:pt idx="0">
                  <c:v>Vozni park u vlasništvu i korištenju Grada Zagreba</c:v>
                </c:pt>
                <c:pt idx="1">
                  <c:v>Javni prijevoz</c:v>
                </c:pt>
                <c:pt idx="2">
                  <c:v>Osobna i komercijalna vozila</c:v>
                </c:pt>
              </c:strCache>
            </c:strRef>
          </c:tx>
          <c:explosion val="25"/>
          <c:dLbls>
            <c:dLbl>
              <c:idx val="0"/>
              <c:layout>
                <c:manualLayout>
                  <c:x val="-8.906435148375183E-2"/>
                  <c:y val="-0.1215446194225721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3A8-4B6C-B0AB-1C3CF3163950}"/>
                </c:ext>
              </c:extLst>
            </c:dLbl>
            <c:dLbl>
              <c:idx val="1"/>
              <c:layout>
                <c:manualLayout>
                  <c:x val="-1.3983302982892611E-2"/>
                  <c:y val="-0.167307961504811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A8-4B6C-B0AB-1C3CF3163950}"/>
                </c:ext>
              </c:extLst>
            </c:dLbl>
            <c:dLbl>
              <c:idx val="2"/>
              <c:layout>
                <c:manualLayout>
                  <c:x val="2.7402728974839058E-2"/>
                  <c:y val="-0.1444479440069991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3A8-4B6C-B0AB-1C3CF3163950}"/>
                </c:ext>
              </c:extLst>
            </c:dLbl>
            <c:dLbl>
              <c:idx val="3"/>
              <c:layout>
                <c:manualLayout>
                  <c:x val="0.10028264382261663"/>
                  <c:y val="2.24370078740157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A8-4B6C-B0AB-1C3CF3163950}"/>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'[Ukupno promet_ZG.xlsx]Unos u master'!$A$2:$A$4</c:f>
              <c:strCache>
                <c:ptCount val="3"/>
                <c:pt idx="0">
                  <c:v>Vozni park u vlasništvu i korištenju Grada Zagreba</c:v>
                </c:pt>
                <c:pt idx="1">
                  <c:v>Javni prijevoz</c:v>
                </c:pt>
                <c:pt idx="2">
                  <c:v>Osobna i komercijalna vozila</c:v>
                </c:pt>
              </c:strCache>
            </c:strRef>
          </c:cat>
          <c:val>
            <c:numRef>
              <c:f>'[Ukupno promet_ZG.xlsx]Unos u master'!$C$2:$C$4</c:f>
              <c:numCache>
                <c:formatCode>0.00%</c:formatCode>
                <c:ptCount val="3"/>
                <c:pt idx="0">
                  <c:v>8.862714537344071E-3</c:v>
                </c:pt>
                <c:pt idx="1">
                  <c:v>4.6836067223736309E-2</c:v>
                </c:pt>
                <c:pt idx="2">
                  <c:v>0.94430121823891966</c:v>
                </c:pt>
              </c:numCache>
            </c:numRef>
          </c:val>
          <c:extLst>
            <c:ext xmlns:c16="http://schemas.microsoft.com/office/drawing/2014/chart" uri="{C3380CC4-5D6E-409C-BE32-E72D297353CC}">
              <c16:uniqueId val="{00000004-73A8-4B6C-B0AB-1C3CF3163950}"/>
            </c:ext>
          </c:extLst>
        </c:ser>
        <c:dLbls>
          <c:showLegendKey val="0"/>
          <c:showVal val="0"/>
          <c:showCatName val="0"/>
          <c:showSerName val="0"/>
          <c:showPercent val="1"/>
          <c:showBubbleSize val="0"/>
          <c:showLeaderLines val="1"/>
        </c:dLbls>
      </c:pie3DChart>
    </c:plotArea>
    <c:legend>
      <c:legendPos val="r"/>
      <c:layout>
        <c:manualLayout>
          <c:xMode val="edge"/>
          <c:yMode val="edge"/>
          <c:x val="0.74914837772937948"/>
          <c:y val="4.8539054569398346E-2"/>
          <c:w val="0.23750712012062322"/>
          <c:h val="0.81428260491828763"/>
        </c:manualLayout>
      </c:layout>
      <c:overlay val="0"/>
      <c:txPr>
        <a:bodyPr/>
        <a:lstStyle/>
        <a:p>
          <a:pPr rtl="0">
            <a:defRPr sz="1000"/>
          </a:pPr>
          <a:endParaRPr lang="sr-Latn-R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4481859381725167E-3"/>
          <c:y val="0.11134705300685471"/>
          <c:w val="0.66550138829109384"/>
          <c:h val="0.86589423824796596"/>
        </c:manualLayout>
      </c:layout>
      <c:pie3DChart>
        <c:varyColors val="1"/>
        <c:ser>
          <c:idx val="0"/>
          <c:order val="0"/>
          <c:tx>
            <c:strRef>
              <c:f>'[Grijanje _ ZDRAVSTVENE.xlsx]2015'!$G$9:$M$9</c:f>
              <c:strCache>
                <c:ptCount val="1"/>
                <c:pt idx="0">
                  <c:v>Toplana vrelovod Toplana para Prirodni plin Lož ulje Električna energija UNP Biomasa peleti</c:v>
                </c:pt>
              </c:strCache>
            </c:strRef>
          </c:tx>
          <c:explosion val="25"/>
          <c:dLbls>
            <c:dLbl>
              <c:idx val="5"/>
              <c:layout>
                <c:manualLayout>
                  <c:x val="0.12750371815832498"/>
                  <c:y val="-0.1080750831310486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A4B-48DB-A7E4-39A1115E5FA2}"/>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'[Grijanje _ ZDRAVSTVENE.xlsx]2015'!$G$9:$M$9</c:f>
              <c:strCache>
                <c:ptCount val="7"/>
                <c:pt idx="0">
                  <c:v>Toplana vrelovod</c:v>
                </c:pt>
                <c:pt idx="1">
                  <c:v>Toplana para</c:v>
                </c:pt>
                <c:pt idx="2">
                  <c:v>Prirodni plin</c:v>
                </c:pt>
                <c:pt idx="3">
                  <c:v>Lož ulje</c:v>
                </c:pt>
                <c:pt idx="4">
                  <c:v>Električna energija</c:v>
                </c:pt>
                <c:pt idx="5">
                  <c:v>UNP</c:v>
                </c:pt>
                <c:pt idx="6">
                  <c:v>Biomasa peleti</c:v>
                </c:pt>
              </c:strCache>
            </c:strRef>
          </c:cat>
          <c:val>
            <c:numRef>
              <c:f>'[Grijanje _ ZDRAVSTVENE.xlsx]2015'!$G$10:$M$10</c:f>
              <c:numCache>
                <c:formatCode>0.00%</c:formatCode>
                <c:ptCount val="7"/>
                <c:pt idx="0">
                  <c:v>0.30719559797307655</c:v>
                </c:pt>
                <c:pt idx="1">
                  <c:v>9.571486854299173E-2</c:v>
                </c:pt>
                <c:pt idx="2">
                  <c:v>0.56152078518503801</c:v>
                </c:pt>
                <c:pt idx="3">
                  <c:v>1.8105816362537136E-2</c:v>
                </c:pt>
                <c:pt idx="4">
                  <c:v>1.8875335569344125E-4</c:v>
                </c:pt>
                <c:pt idx="5">
                  <c:v>8.4044358264008592E-3</c:v>
                </c:pt>
                <c:pt idx="6">
                  <c:v>8.8697427542622671E-3</c:v>
                </c:pt>
              </c:numCache>
            </c:numRef>
          </c:val>
          <c:extLst>
            <c:ext xmlns:c16="http://schemas.microsoft.com/office/drawing/2014/chart" uri="{C3380CC4-5D6E-409C-BE32-E72D297353CC}">
              <c16:uniqueId val="{00000000-2616-4051-B12E-9390C7C45C44}"/>
            </c:ext>
          </c:extLst>
        </c:ser>
        <c:dLbls>
          <c:showLegendKey val="0"/>
          <c:showVal val="0"/>
          <c:showCatName val="0"/>
          <c:showSerName val="0"/>
          <c:showPercent val="1"/>
          <c:showBubbleSize val="0"/>
          <c:showLeaderLines val="1"/>
        </c:dLbls>
      </c:pie3DChart>
    </c:plotArea>
    <c:legend>
      <c:legendPos val="r"/>
      <c:legendEntry>
        <c:idx val="4"/>
        <c:delete val="1"/>
      </c:legendEntry>
      <c:legendEntry>
        <c:idx val="5"/>
        <c:delete val="1"/>
      </c:legendEntry>
      <c:layout>
        <c:manualLayout>
          <c:xMode val="edge"/>
          <c:yMode val="edge"/>
          <c:x val="0.7498124330117899"/>
          <c:y val="0.20605801674892657"/>
          <c:w val="0.23411039657020363"/>
          <c:h val="0.57444454894217034"/>
        </c:manualLayout>
      </c:layout>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474803451730114E-2"/>
          <c:y val="0"/>
          <c:w val="0.63724688669235496"/>
          <c:h val="0.98976725470291826"/>
        </c:manualLayout>
      </c:layout>
      <c:pie3DChart>
        <c:varyColors val="1"/>
        <c:ser>
          <c:idx val="0"/>
          <c:order val="0"/>
          <c:tx>
            <c:strRef>
              <c:f>'[Ukupno promet_ZG.xlsx]Unos u master'!$A$13:$A$18</c:f>
              <c:strCache>
                <c:ptCount val="1"/>
                <c:pt idx="0">
                  <c:v>Motorni benzin Dizel UNP Električna energija Biodizel SPP</c:v>
                </c:pt>
              </c:strCache>
            </c:strRef>
          </c:tx>
          <c:explosion val="25"/>
          <c:dLbls>
            <c:dLbl>
              <c:idx val="0"/>
              <c:layout>
                <c:manualLayout>
                  <c:x val="-8.906435148375183E-2"/>
                  <c:y val="-0.1215446194225721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C2B-4C24-9B0C-61638532B074}"/>
                </c:ext>
              </c:extLst>
            </c:dLbl>
            <c:dLbl>
              <c:idx val="1"/>
              <c:layout>
                <c:manualLayout>
                  <c:x val="-1.3983302982892611E-2"/>
                  <c:y val="-0.167307961504811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2B-4C24-9B0C-61638532B074}"/>
                </c:ext>
              </c:extLst>
            </c:dLbl>
            <c:dLbl>
              <c:idx val="2"/>
              <c:layout>
                <c:manualLayout>
                  <c:x val="-0.1201150388116379"/>
                  <c:y val="-9.31756701144064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C2B-4C24-9B0C-61638532B074}"/>
                </c:ext>
              </c:extLst>
            </c:dLbl>
            <c:dLbl>
              <c:idx val="3"/>
              <c:layout>
                <c:manualLayout>
                  <c:x val="0.10028264382261663"/>
                  <c:y val="2.24370078740157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C2B-4C24-9B0C-61638532B074}"/>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'[Ukupno promet_ZG.xlsx]Unos u master'!$A$13:$A$18</c:f>
              <c:strCache>
                <c:ptCount val="6"/>
                <c:pt idx="0">
                  <c:v>Motorni benzin</c:v>
                </c:pt>
                <c:pt idx="1">
                  <c:v>Dizel</c:v>
                </c:pt>
                <c:pt idx="2">
                  <c:v>UNP</c:v>
                </c:pt>
                <c:pt idx="3">
                  <c:v>Električna energija</c:v>
                </c:pt>
                <c:pt idx="4">
                  <c:v>Biodizel</c:v>
                </c:pt>
                <c:pt idx="5">
                  <c:v>SPP</c:v>
                </c:pt>
              </c:strCache>
            </c:strRef>
          </c:cat>
          <c:val>
            <c:numRef>
              <c:f>'[Ukupno promet_ZG.xlsx]Unos u master'!$B$13:$B$18</c:f>
              <c:numCache>
                <c:formatCode>#,##0.00</c:formatCode>
                <c:ptCount val="6"/>
                <c:pt idx="0">
                  <c:v>5312.5613046754224</c:v>
                </c:pt>
                <c:pt idx="1">
                  <c:v>9079.3828420114332</c:v>
                </c:pt>
                <c:pt idx="2">
                  <c:v>444.7343663418809</c:v>
                </c:pt>
                <c:pt idx="3">
                  <c:v>255.55884238492607</c:v>
                </c:pt>
                <c:pt idx="4">
                  <c:v>3.4584812332150133E-2</c:v>
                </c:pt>
                <c:pt idx="5">
                  <c:v>109.88221385422891</c:v>
                </c:pt>
              </c:numCache>
            </c:numRef>
          </c:val>
          <c:extLst>
            <c:ext xmlns:c16="http://schemas.microsoft.com/office/drawing/2014/chart" uri="{C3380CC4-5D6E-409C-BE32-E72D297353CC}">
              <c16:uniqueId val="{00000004-BC2B-4C24-9B0C-61638532B074}"/>
            </c:ext>
          </c:extLst>
        </c:ser>
        <c:dLbls>
          <c:showLegendKey val="0"/>
          <c:showVal val="0"/>
          <c:showCatName val="0"/>
          <c:showSerName val="0"/>
          <c:showPercent val="1"/>
          <c:showBubbleSize val="0"/>
          <c:showLeaderLines val="1"/>
        </c:dLbls>
      </c:pie3DChart>
    </c:plotArea>
    <c:legend>
      <c:legendPos val="r"/>
      <c:layout>
        <c:manualLayout>
          <c:xMode val="edge"/>
          <c:yMode val="edge"/>
          <c:x val="0.74914837772937948"/>
          <c:y val="4.8539054569398346E-2"/>
          <c:w val="0.23750712012062322"/>
          <c:h val="0.66097250038867095"/>
        </c:manualLayout>
      </c:layout>
      <c:overlay val="0"/>
      <c:txPr>
        <a:bodyPr/>
        <a:lstStyle/>
        <a:p>
          <a:pPr rtl="0">
            <a:defRPr sz="1000"/>
          </a:pPr>
          <a:endParaRPr lang="sr-Latn-RS"/>
        </a:p>
      </c:txPr>
    </c:legend>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8"/>
      <c:rotY val="0"/>
      <c:rAngAx val="0"/>
    </c:view3D>
    <c:floor>
      <c:thickness val="0"/>
      <c:spPr>
        <a:noFill/>
        <a:ln w="9528">
          <a:solidFill>
            <a:srgbClr val="868686"/>
          </a:solidFill>
          <a:prstDash val="solid"/>
          <a:round/>
        </a:ln>
      </c:spPr>
    </c:floor>
    <c:sideWall>
      <c:thickness val="0"/>
      <c:spPr>
        <a:noFill/>
        <a:ln>
          <a:noFill/>
        </a:ln>
      </c:spPr>
    </c:sideWall>
    <c:backWall>
      <c:thickness val="0"/>
      <c:spPr>
        <a:noFill/>
        <a:ln>
          <a:noFill/>
        </a:ln>
      </c:spPr>
    </c:backWall>
    <c:plotArea>
      <c:layout>
        <c:manualLayout>
          <c:xMode val="edge"/>
          <c:yMode val="edge"/>
          <c:x val="0"/>
          <c:y val="3.3209573465478981E-2"/>
          <c:w val="0.70579129106403049"/>
          <c:h val="0.93953234730793789"/>
        </c:manualLayout>
      </c:layout>
      <c:pie3DChart>
        <c:varyColors val="1"/>
        <c:ser>
          <c:idx val="0"/>
          <c:order val="0"/>
          <c:tx>
            <c:v>Series1</c:v>
          </c:tx>
          <c:explosion val="25"/>
          <c:dPt>
            <c:idx val="0"/>
            <c:bubble3D val="0"/>
            <c:spPr>
              <a:solidFill>
                <a:srgbClr val="4F81BD"/>
              </a:solidFill>
              <a:ln>
                <a:noFill/>
              </a:ln>
            </c:spPr>
            <c:extLst>
              <c:ext xmlns:c16="http://schemas.microsoft.com/office/drawing/2014/chart" uri="{C3380CC4-5D6E-409C-BE32-E72D297353CC}">
                <c16:uniqueId val="{00000001-88B6-43B7-8860-18F60ABC5B75}"/>
              </c:ext>
            </c:extLst>
          </c:dPt>
          <c:dPt>
            <c:idx val="1"/>
            <c:bubble3D val="0"/>
            <c:spPr>
              <a:solidFill>
                <a:srgbClr val="C0504D"/>
              </a:solidFill>
              <a:ln>
                <a:noFill/>
              </a:ln>
            </c:spPr>
            <c:extLst>
              <c:ext xmlns:c16="http://schemas.microsoft.com/office/drawing/2014/chart" uri="{C3380CC4-5D6E-409C-BE32-E72D297353CC}">
                <c16:uniqueId val="{00000003-88B6-43B7-8860-18F60ABC5B75}"/>
              </c:ext>
            </c:extLst>
          </c:dPt>
          <c:dPt>
            <c:idx val="2"/>
            <c:bubble3D val="0"/>
            <c:spPr>
              <a:solidFill>
                <a:srgbClr val="9BBB59"/>
              </a:solidFill>
              <a:ln>
                <a:noFill/>
              </a:ln>
            </c:spPr>
            <c:extLst>
              <c:ext xmlns:c16="http://schemas.microsoft.com/office/drawing/2014/chart" uri="{C3380CC4-5D6E-409C-BE32-E72D297353CC}">
                <c16:uniqueId val="{00000005-88B6-43B7-8860-18F60ABC5B75}"/>
              </c:ext>
            </c:extLst>
          </c:dPt>
          <c:dLbls>
            <c:dLbl>
              <c:idx val="1"/>
              <c:layout>
                <c:manualLayout>
                  <c:x val="-0.14677078530136795"/>
                  <c:y val="-3.308492688413948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B6-43B7-8860-18F60ABC5B75}"/>
                </c:ext>
              </c:extLst>
            </c:dLbl>
            <c:dLbl>
              <c:idx val="2"/>
              <c:layout>
                <c:manualLayout>
                  <c:x val="0.1254809945631796"/>
                  <c:y val="-3.28514597525266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8B6-43B7-8860-18F60ABC5B75}"/>
                </c:ext>
              </c:extLst>
            </c:dLbl>
            <c:numFmt formatCode="0.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000" b="0" i="0" u="none" strike="noStrike" kern="1200" baseline="0">
                    <a:solidFill>
                      <a:srgbClr val="000000"/>
                    </a:solidFill>
                    <a:latin typeface="Calibri"/>
                  </a:defRPr>
                </a:pPr>
                <a:endParaRPr lang="sr-Latn-RS"/>
              </a:p>
            </c:txPr>
            <c:showLegendKey val="0"/>
            <c:showVal val="0"/>
            <c:showCatName val="0"/>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Lit>
              <c:ptCount val="3"/>
              <c:pt idx="0">
                <c:v>Natrijevih</c:v>
              </c:pt>
              <c:pt idx="1">
                <c:v>Metalhalogenih</c:v>
              </c:pt>
              <c:pt idx="2">
                <c:v>LED</c:v>
              </c:pt>
            </c:strLit>
          </c:cat>
          <c:val>
            <c:numLit>
              <c:formatCode>General</c:formatCode>
              <c:ptCount val="3"/>
              <c:pt idx="0">
                <c:v>125000</c:v>
              </c:pt>
              <c:pt idx="1">
                <c:v>1000</c:v>
              </c:pt>
              <c:pt idx="2">
                <c:v>500</c:v>
              </c:pt>
            </c:numLit>
          </c:val>
          <c:extLst>
            <c:ext xmlns:c16="http://schemas.microsoft.com/office/drawing/2014/chart" uri="{C3380CC4-5D6E-409C-BE32-E72D297353CC}">
              <c16:uniqueId val="{00000006-88B6-43B7-8860-18F60ABC5B75}"/>
            </c:ext>
          </c:extLst>
        </c:ser>
        <c:dLbls>
          <c:showLegendKey val="0"/>
          <c:showVal val="0"/>
          <c:showCatName val="0"/>
          <c:showSerName val="0"/>
          <c:showPercent val="0"/>
          <c:showBubbleSize val="0"/>
          <c:showLeaderLines val="1"/>
        </c:dLbls>
      </c:pie3DChart>
      <c:spPr>
        <a:noFill/>
        <a:ln>
          <a:noFill/>
        </a:ln>
      </c:spPr>
    </c:plotArea>
    <c:legend>
      <c:legendPos val="r"/>
      <c:layout>
        <c:manualLayout>
          <c:xMode val="edge"/>
          <c:yMode val="edge"/>
          <c:x val="0.6952149309454333"/>
          <c:y val="0.26925447663636642"/>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hr-HR" sz="1000" b="0" i="0" u="none" strike="noStrike" kern="1200" baseline="0">
              <a:solidFill>
                <a:srgbClr val="000000"/>
              </a:solidFill>
              <a:latin typeface="+mn-lt"/>
            </a:defRPr>
          </a:pPr>
          <a:endParaRPr lang="sr-Latn-RS"/>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hr-HR" sz="1000" b="0" i="0" u="none" strike="noStrike" kern="1200" baseline="0">
          <a:solidFill>
            <a:srgbClr val="000000"/>
          </a:solidFill>
          <a:latin typeface="Calibri"/>
        </a:defRPr>
      </a:pPr>
      <a:endParaRPr lang="sr-Latn-R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2593773000597148"/>
          <c:y val="2.4547544992113316E-2"/>
          <c:w val="0.6699125260988823"/>
          <c:h val="0.80182692368602759"/>
        </c:manualLayout>
      </c:layout>
      <c:bar3DChart>
        <c:barDir val="col"/>
        <c:grouping val="clustered"/>
        <c:varyColors val="0"/>
        <c:ser>
          <c:idx val="0"/>
          <c:order val="0"/>
          <c:tx>
            <c:strRef>
              <c:f>'[Analiza javna rasvjeta ZG_GOTOVO.xlsx]Javna rasvjeta'!$A$19</c:f>
              <c:strCache>
                <c:ptCount val="1"/>
                <c:pt idx="0">
                  <c:v>Potrošnja električne energije (MWh/godišnje)</c:v>
                </c:pt>
              </c:strCache>
            </c:strRef>
          </c:tx>
          <c:invertIfNegative val="0"/>
          <c:cat>
            <c:strRef>
              <c:f>'[Analiza javna rasvjeta ZG_GOTOVO.xlsx]Javna rasvjeta'!$B$18:$I$18</c:f>
              <c:strCache>
                <c:ptCount val="8"/>
                <c:pt idx="0">
                  <c:v>2008.</c:v>
                </c:pt>
                <c:pt idx="1">
                  <c:v>2009.</c:v>
                </c:pt>
                <c:pt idx="2">
                  <c:v>2010.</c:v>
                </c:pt>
                <c:pt idx="3">
                  <c:v>2011.</c:v>
                </c:pt>
                <c:pt idx="4">
                  <c:v>2012.</c:v>
                </c:pt>
                <c:pt idx="5">
                  <c:v>2013.</c:v>
                </c:pt>
                <c:pt idx="6">
                  <c:v>2014.</c:v>
                </c:pt>
                <c:pt idx="7">
                  <c:v>2015.</c:v>
                </c:pt>
              </c:strCache>
            </c:strRef>
          </c:cat>
          <c:val>
            <c:numRef>
              <c:f>'[Analiza javna rasvjeta ZG_GOTOVO.xlsx]Javna rasvjeta'!$B$19:$I$19</c:f>
              <c:numCache>
                <c:formatCode>#,##0</c:formatCode>
                <c:ptCount val="8"/>
                <c:pt idx="0">
                  <c:v>90100</c:v>
                </c:pt>
                <c:pt idx="1">
                  <c:v>97199</c:v>
                </c:pt>
                <c:pt idx="2">
                  <c:v>88172</c:v>
                </c:pt>
                <c:pt idx="3">
                  <c:v>84923</c:v>
                </c:pt>
                <c:pt idx="4">
                  <c:v>85662</c:v>
                </c:pt>
                <c:pt idx="5">
                  <c:v>85527</c:v>
                </c:pt>
                <c:pt idx="6">
                  <c:v>81633</c:v>
                </c:pt>
                <c:pt idx="7">
                  <c:v>81294</c:v>
                </c:pt>
              </c:numCache>
            </c:numRef>
          </c:val>
          <c:extLst>
            <c:ext xmlns:c16="http://schemas.microsoft.com/office/drawing/2014/chart" uri="{C3380CC4-5D6E-409C-BE32-E72D297353CC}">
              <c16:uniqueId val="{00000000-23C4-4921-BC1D-A6E466D6ADF1}"/>
            </c:ext>
          </c:extLst>
        </c:ser>
        <c:dLbls>
          <c:showLegendKey val="0"/>
          <c:showVal val="0"/>
          <c:showCatName val="0"/>
          <c:showSerName val="0"/>
          <c:showPercent val="0"/>
          <c:showBubbleSize val="0"/>
        </c:dLbls>
        <c:gapWidth val="150"/>
        <c:shape val="box"/>
        <c:axId val="259790336"/>
        <c:axId val="259765312"/>
        <c:axId val="0"/>
      </c:bar3DChart>
      <c:catAx>
        <c:axId val="259790336"/>
        <c:scaling>
          <c:orientation val="minMax"/>
        </c:scaling>
        <c:delete val="0"/>
        <c:axPos val="b"/>
        <c:numFmt formatCode="General" sourceLinked="0"/>
        <c:majorTickMark val="none"/>
        <c:minorTickMark val="none"/>
        <c:tickLblPos val="nextTo"/>
        <c:crossAx val="259765312"/>
        <c:crosses val="autoZero"/>
        <c:auto val="1"/>
        <c:lblAlgn val="ctr"/>
        <c:lblOffset val="100"/>
        <c:noMultiLvlLbl val="0"/>
      </c:catAx>
      <c:valAx>
        <c:axId val="259765312"/>
        <c:scaling>
          <c:orientation val="minMax"/>
        </c:scaling>
        <c:delete val="0"/>
        <c:axPos val="l"/>
        <c:majorGridlines/>
        <c:numFmt formatCode="#,##0" sourceLinked="1"/>
        <c:majorTickMark val="none"/>
        <c:minorTickMark val="none"/>
        <c:tickLblPos val="nextTo"/>
        <c:crossAx val="259790336"/>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'[Analiza javna rasvjeta ZG_GOTOVO.xlsx]Javna rasvjeta'!$B$44</c:f>
              <c:strCache>
                <c:ptCount val="1"/>
                <c:pt idx="0">
                  <c:v>Ukupni trošak s PDV (HRK)</c:v>
                </c:pt>
              </c:strCache>
            </c:strRef>
          </c:tx>
          <c:invertIfNegative val="0"/>
          <c:cat>
            <c:strRef>
              <c:f>'[Analiza javna rasvjeta ZG_GOTOVO.xlsx]Javna rasvjeta'!$A$45:$A$50</c:f>
              <c:strCache>
                <c:ptCount val="6"/>
                <c:pt idx="0">
                  <c:v>2010.</c:v>
                </c:pt>
                <c:pt idx="1">
                  <c:v>2011.</c:v>
                </c:pt>
                <c:pt idx="2">
                  <c:v>2012.</c:v>
                </c:pt>
                <c:pt idx="3">
                  <c:v>2013.</c:v>
                </c:pt>
                <c:pt idx="4">
                  <c:v>2014.</c:v>
                </c:pt>
                <c:pt idx="5">
                  <c:v>2015.</c:v>
                </c:pt>
              </c:strCache>
            </c:strRef>
          </c:cat>
          <c:val>
            <c:numRef>
              <c:f>'[Analiza javna rasvjeta ZG_GOTOVO.xlsx]Javna rasvjeta'!$B$45:$B$50</c:f>
              <c:numCache>
                <c:formatCode>#,##0.00</c:formatCode>
                <c:ptCount val="6"/>
                <c:pt idx="0">
                  <c:v>80.885908229999998</c:v>
                </c:pt>
                <c:pt idx="1">
                  <c:v>77.096382730000002</c:v>
                </c:pt>
                <c:pt idx="2">
                  <c:v>73.623991889999999</c:v>
                </c:pt>
                <c:pt idx="3">
                  <c:v>68.485865989999994</c:v>
                </c:pt>
                <c:pt idx="4">
                  <c:v>64.806414990000007</c:v>
                </c:pt>
                <c:pt idx="5">
                  <c:v>60.959173450000002</c:v>
                </c:pt>
              </c:numCache>
            </c:numRef>
          </c:val>
          <c:extLst>
            <c:ext xmlns:c16="http://schemas.microsoft.com/office/drawing/2014/chart" uri="{C3380CC4-5D6E-409C-BE32-E72D297353CC}">
              <c16:uniqueId val="{00000000-A9A4-4FE1-A1FC-6D989FBEB4BF}"/>
            </c:ext>
          </c:extLst>
        </c:ser>
        <c:dLbls>
          <c:showLegendKey val="0"/>
          <c:showVal val="0"/>
          <c:showCatName val="0"/>
          <c:showSerName val="0"/>
          <c:showPercent val="0"/>
          <c:showBubbleSize val="0"/>
        </c:dLbls>
        <c:gapWidth val="150"/>
        <c:shape val="box"/>
        <c:axId val="259790848"/>
        <c:axId val="259766464"/>
        <c:axId val="0"/>
      </c:bar3DChart>
      <c:catAx>
        <c:axId val="259790848"/>
        <c:scaling>
          <c:orientation val="minMax"/>
        </c:scaling>
        <c:delete val="0"/>
        <c:axPos val="b"/>
        <c:numFmt formatCode="General" sourceLinked="0"/>
        <c:majorTickMark val="none"/>
        <c:minorTickMark val="none"/>
        <c:tickLblPos val="nextTo"/>
        <c:crossAx val="259766464"/>
        <c:crosses val="autoZero"/>
        <c:auto val="1"/>
        <c:lblAlgn val="ctr"/>
        <c:lblOffset val="100"/>
        <c:noMultiLvlLbl val="0"/>
      </c:catAx>
      <c:valAx>
        <c:axId val="259766464"/>
        <c:scaling>
          <c:orientation val="minMax"/>
        </c:scaling>
        <c:delete val="0"/>
        <c:axPos val="l"/>
        <c:majorGridlines/>
        <c:title>
          <c:tx>
            <c:rich>
              <a:bodyPr/>
              <a:lstStyle/>
              <a:p>
                <a:pPr>
                  <a:defRPr/>
                </a:pPr>
                <a:r>
                  <a:rPr lang="hr-HR"/>
                  <a:t>Cijena</a:t>
                </a:r>
                <a:r>
                  <a:rPr lang="hr-HR" baseline="0"/>
                  <a:t> u milijunima kuna</a:t>
                </a:r>
                <a:endParaRPr lang="hr-HR"/>
              </a:p>
            </c:rich>
          </c:tx>
          <c:overlay val="0"/>
        </c:title>
        <c:numFmt formatCode="#,##0.00" sourceLinked="1"/>
        <c:majorTickMark val="none"/>
        <c:minorTickMark val="none"/>
        <c:tickLblPos val="nextTo"/>
        <c:crossAx val="25979084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'[Inventar emisija_Zagreb.xlsx]zgradarstvo'!$D$34</c:f>
              <c:strCache>
                <c:ptCount val="1"/>
                <c:pt idx="0">
                  <c:v>Električna energija</c:v>
                </c:pt>
              </c:strCache>
            </c:strRef>
          </c:tx>
          <c:invertIfNegative val="0"/>
          <c:cat>
            <c:strRef>
              <c:f>'[Inventar emisija_Zagreb.xlsx]zgradarstvo'!$A$35:$A$37</c:f>
              <c:strCache>
                <c:ptCount val="3"/>
                <c:pt idx="0">
                  <c:v>STAMBENE I JAVNE ZGRADE U VLASNIŠTVU GRADA  </c:v>
                </c:pt>
                <c:pt idx="1">
                  <c:v>STANOVI - KUĆANSTVA</c:v>
                </c:pt>
                <c:pt idx="2">
                  <c:v>KOMERCIJALNE  I USLUŽNE DJELATNOSTI</c:v>
                </c:pt>
              </c:strCache>
            </c:strRef>
          </c:cat>
          <c:val>
            <c:numRef>
              <c:f>'[Inventar emisija_Zagreb.xlsx]zgradarstvo'!$D$35:$D$37</c:f>
              <c:numCache>
                <c:formatCode>#,##0.00</c:formatCode>
                <c:ptCount val="3"/>
                <c:pt idx="0">
                  <c:v>50225.420312099995</c:v>
                </c:pt>
                <c:pt idx="1">
                  <c:v>353456.59470000002</c:v>
                </c:pt>
                <c:pt idx="2">
                  <c:v>256853.66849999997</c:v>
                </c:pt>
              </c:numCache>
            </c:numRef>
          </c:val>
          <c:extLst>
            <c:ext xmlns:c16="http://schemas.microsoft.com/office/drawing/2014/chart" uri="{C3380CC4-5D6E-409C-BE32-E72D297353CC}">
              <c16:uniqueId val="{00000000-8D98-4066-A483-3166CB862801}"/>
            </c:ext>
          </c:extLst>
        </c:ser>
        <c:ser>
          <c:idx val="1"/>
          <c:order val="1"/>
          <c:tx>
            <c:strRef>
              <c:f>'[Inventar emisija_Zagreb.xlsx]zgradarstvo'!$C$34</c:f>
              <c:strCache>
                <c:ptCount val="1"/>
                <c:pt idx="0">
                  <c:v>Prirodni plin</c:v>
                </c:pt>
              </c:strCache>
            </c:strRef>
          </c:tx>
          <c:invertIfNegative val="0"/>
          <c:cat>
            <c:strRef>
              <c:f>'[Inventar emisija_Zagreb.xlsx]zgradarstvo'!$A$35:$A$37</c:f>
              <c:strCache>
                <c:ptCount val="3"/>
                <c:pt idx="0">
                  <c:v>STAMBENE I JAVNE ZGRADE U VLASNIŠTVU GRADA  </c:v>
                </c:pt>
                <c:pt idx="1">
                  <c:v>STANOVI - KUĆANSTVA</c:v>
                </c:pt>
                <c:pt idx="2">
                  <c:v>KOMERCIJALNE  I USLUŽNE DJELATNOSTI</c:v>
                </c:pt>
              </c:strCache>
            </c:strRef>
          </c:cat>
          <c:val>
            <c:numRef>
              <c:f>'[Inventar emisija_Zagreb.xlsx]zgradarstvo'!$C$35:$C$37</c:f>
              <c:numCache>
                <c:formatCode>#,##0.00</c:formatCode>
                <c:ptCount val="3"/>
                <c:pt idx="0">
                  <c:v>35872.864298240005</c:v>
                </c:pt>
                <c:pt idx="1">
                  <c:v>434166.06996000005</c:v>
                </c:pt>
                <c:pt idx="2">
                  <c:v>144351.76136</c:v>
                </c:pt>
              </c:numCache>
            </c:numRef>
          </c:val>
          <c:extLst>
            <c:ext xmlns:c16="http://schemas.microsoft.com/office/drawing/2014/chart" uri="{C3380CC4-5D6E-409C-BE32-E72D297353CC}">
              <c16:uniqueId val="{00000001-8D98-4066-A483-3166CB862801}"/>
            </c:ext>
          </c:extLst>
        </c:ser>
        <c:ser>
          <c:idx val="2"/>
          <c:order val="2"/>
          <c:tx>
            <c:strRef>
              <c:f>'[Inventar emisija_Zagreb.xlsx]zgradarstvo'!$G$34</c:f>
              <c:strCache>
                <c:ptCount val="1"/>
                <c:pt idx="0">
                  <c:v>Toplana</c:v>
                </c:pt>
              </c:strCache>
            </c:strRef>
          </c:tx>
          <c:invertIfNegative val="0"/>
          <c:cat>
            <c:strRef>
              <c:f>'[Inventar emisija_Zagreb.xlsx]zgradarstvo'!$A$35:$A$37</c:f>
              <c:strCache>
                <c:ptCount val="3"/>
                <c:pt idx="0">
                  <c:v>STAMBENE I JAVNE ZGRADE U VLASNIŠTVU GRADA  </c:v>
                </c:pt>
                <c:pt idx="1">
                  <c:v>STANOVI - KUĆANSTVA</c:v>
                </c:pt>
                <c:pt idx="2">
                  <c:v>KOMERCIJALNE  I USLUŽNE DJELATNOSTI</c:v>
                </c:pt>
              </c:strCache>
            </c:strRef>
          </c:cat>
          <c:val>
            <c:numRef>
              <c:f>'[Inventar emisija_Zagreb.xlsx]zgradarstvo'!$G$35:$G$37</c:f>
              <c:numCache>
                <c:formatCode>#,##0.00</c:formatCode>
                <c:ptCount val="3"/>
                <c:pt idx="0">
                  <c:v>36633.854304060005</c:v>
                </c:pt>
                <c:pt idx="1">
                  <c:v>250915.06160000004</c:v>
                </c:pt>
                <c:pt idx="2">
                  <c:v>157119.5049</c:v>
                </c:pt>
              </c:numCache>
            </c:numRef>
          </c:val>
          <c:extLst>
            <c:ext xmlns:c16="http://schemas.microsoft.com/office/drawing/2014/chart" uri="{C3380CC4-5D6E-409C-BE32-E72D297353CC}">
              <c16:uniqueId val="{00000002-8D98-4066-A483-3166CB862801}"/>
            </c:ext>
          </c:extLst>
        </c:ser>
        <c:ser>
          <c:idx val="3"/>
          <c:order val="3"/>
          <c:tx>
            <c:strRef>
              <c:f>'[Inventar emisija_Zagreb.xlsx]zgradarstvo'!$B$34</c:f>
              <c:strCache>
                <c:ptCount val="1"/>
                <c:pt idx="0">
                  <c:v>Loživo ulje</c:v>
                </c:pt>
              </c:strCache>
            </c:strRef>
          </c:tx>
          <c:invertIfNegative val="0"/>
          <c:cat>
            <c:strRef>
              <c:f>'[Inventar emisija_Zagreb.xlsx]zgradarstvo'!$A$35:$A$37</c:f>
              <c:strCache>
                <c:ptCount val="3"/>
                <c:pt idx="0">
                  <c:v>STAMBENE I JAVNE ZGRADE U VLASNIŠTVU GRADA  </c:v>
                </c:pt>
                <c:pt idx="1">
                  <c:v>STANOVI - KUĆANSTVA</c:v>
                </c:pt>
                <c:pt idx="2">
                  <c:v>KOMERCIJALNE  I USLUŽNE DJELATNOSTI</c:v>
                </c:pt>
              </c:strCache>
            </c:strRef>
          </c:cat>
          <c:val>
            <c:numRef>
              <c:f>'[Inventar emisija_Zagreb.xlsx]zgradarstvo'!$B$35:$B$37</c:f>
              <c:numCache>
                <c:formatCode>#,##0.00</c:formatCode>
                <c:ptCount val="3"/>
                <c:pt idx="0">
                  <c:v>10565.367578220001</c:v>
                </c:pt>
                <c:pt idx="1">
                  <c:v>11602.5</c:v>
                </c:pt>
                <c:pt idx="2">
                  <c:v>40349.4</c:v>
                </c:pt>
              </c:numCache>
            </c:numRef>
          </c:val>
          <c:extLst>
            <c:ext xmlns:c16="http://schemas.microsoft.com/office/drawing/2014/chart" uri="{C3380CC4-5D6E-409C-BE32-E72D297353CC}">
              <c16:uniqueId val="{00000003-8D98-4066-A483-3166CB862801}"/>
            </c:ext>
          </c:extLst>
        </c:ser>
        <c:ser>
          <c:idx val="4"/>
          <c:order val="4"/>
          <c:tx>
            <c:strRef>
              <c:f>'[Inventar emisija_Zagreb.xlsx]zgradarstvo'!$E$34</c:f>
              <c:strCache>
                <c:ptCount val="1"/>
                <c:pt idx="0">
                  <c:v>UNP</c:v>
                </c:pt>
              </c:strCache>
            </c:strRef>
          </c:tx>
          <c:invertIfNegative val="0"/>
          <c:cat>
            <c:strRef>
              <c:f>'[Inventar emisija_Zagreb.xlsx]zgradarstvo'!$A$35:$A$37</c:f>
              <c:strCache>
                <c:ptCount val="3"/>
                <c:pt idx="0">
                  <c:v>STAMBENE I JAVNE ZGRADE U VLASNIŠTVU GRADA  </c:v>
                </c:pt>
                <c:pt idx="1">
                  <c:v>STANOVI - KUĆANSTVA</c:v>
                </c:pt>
                <c:pt idx="2">
                  <c:v>KOMERCIJALNE  I USLUŽNE DJELATNOSTI</c:v>
                </c:pt>
              </c:strCache>
            </c:strRef>
          </c:cat>
          <c:val>
            <c:numRef>
              <c:f>'[Inventar emisija_Zagreb.xlsx]zgradarstvo'!$E$35:$E$37</c:f>
              <c:numCache>
                <c:formatCode>#,##0.00</c:formatCode>
                <c:ptCount val="3"/>
                <c:pt idx="0">
                  <c:v>1760.2521141999998</c:v>
                </c:pt>
                <c:pt idx="1">
                  <c:v>7264</c:v>
                </c:pt>
                <c:pt idx="2">
                  <c:v>9080</c:v>
                </c:pt>
              </c:numCache>
            </c:numRef>
          </c:val>
          <c:extLst>
            <c:ext xmlns:c16="http://schemas.microsoft.com/office/drawing/2014/chart" uri="{C3380CC4-5D6E-409C-BE32-E72D297353CC}">
              <c16:uniqueId val="{00000004-8D98-4066-A483-3166CB862801}"/>
            </c:ext>
          </c:extLst>
        </c:ser>
        <c:ser>
          <c:idx val="5"/>
          <c:order val="5"/>
          <c:tx>
            <c:strRef>
              <c:f>'[Inventar emisija_Zagreb.xlsx]zgradarstvo'!$F$34</c:f>
              <c:strCache>
                <c:ptCount val="1"/>
                <c:pt idx="0">
                  <c:v>Plinske boce</c:v>
                </c:pt>
              </c:strCache>
            </c:strRef>
          </c:tx>
          <c:invertIfNegative val="0"/>
          <c:cat>
            <c:strRef>
              <c:f>'[Inventar emisija_Zagreb.xlsx]zgradarstvo'!$A$35:$A$37</c:f>
              <c:strCache>
                <c:ptCount val="3"/>
                <c:pt idx="0">
                  <c:v>STAMBENE I JAVNE ZGRADE U VLASNIŠTVU GRADA  </c:v>
                </c:pt>
                <c:pt idx="1">
                  <c:v>STANOVI - KUĆANSTVA</c:v>
                </c:pt>
                <c:pt idx="2">
                  <c:v>KOMERCIJALNE  I USLUŽNE DJELATNOSTI</c:v>
                </c:pt>
              </c:strCache>
            </c:strRef>
          </c:cat>
          <c:val>
            <c:numRef>
              <c:f>'[Inventar emisija_Zagreb.xlsx]zgradarstvo'!$F$35:$F$37</c:f>
              <c:numCache>
                <c:formatCode>#,##0.00</c:formatCode>
                <c:ptCount val="3"/>
                <c:pt idx="0">
                  <c:v>1658.7331000000001</c:v>
                </c:pt>
                <c:pt idx="1">
                  <c:v>0</c:v>
                </c:pt>
                <c:pt idx="2">
                  <c:v>0</c:v>
                </c:pt>
              </c:numCache>
            </c:numRef>
          </c:val>
          <c:extLst>
            <c:ext xmlns:c16="http://schemas.microsoft.com/office/drawing/2014/chart" uri="{C3380CC4-5D6E-409C-BE32-E72D297353CC}">
              <c16:uniqueId val="{00000005-8D98-4066-A483-3166CB862801}"/>
            </c:ext>
          </c:extLst>
        </c:ser>
        <c:ser>
          <c:idx val="6"/>
          <c:order val="6"/>
          <c:tx>
            <c:strRef>
              <c:f>'[Inventar emisija_Zagreb.xlsx]zgradarstvo'!$H$34</c:f>
              <c:strCache>
                <c:ptCount val="1"/>
                <c:pt idx="0">
                  <c:v>Mrki ugljen</c:v>
                </c:pt>
              </c:strCache>
            </c:strRef>
          </c:tx>
          <c:invertIfNegative val="0"/>
          <c:cat>
            <c:strRef>
              <c:f>'[Inventar emisija_Zagreb.xlsx]zgradarstvo'!$A$35:$A$37</c:f>
              <c:strCache>
                <c:ptCount val="3"/>
                <c:pt idx="0">
                  <c:v>STAMBENE I JAVNE ZGRADE U VLASNIŠTVU GRADA  </c:v>
                </c:pt>
                <c:pt idx="1">
                  <c:v>STANOVI - KUĆANSTVA</c:v>
                </c:pt>
                <c:pt idx="2">
                  <c:v>KOMERCIJALNE  I USLUŽNE DJELATNOSTI</c:v>
                </c:pt>
              </c:strCache>
            </c:strRef>
          </c:cat>
          <c:val>
            <c:numRef>
              <c:f>'[Inventar emisija_Zagreb.xlsx]zgradarstvo'!$H$35:$H$37</c:f>
              <c:numCache>
                <c:formatCode>#,##0.00</c:formatCode>
                <c:ptCount val="3"/>
                <c:pt idx="0">
                  <c:v>0</c:v>
                </c:pt>
                <c:pt idx="1">
                  <c:v>657.4</c:v>
                </c:pt>
                <c:pt idx="2">
                  <c:v>0</c:v>
                </c:pt>
              </c:numCache>
            </c:numRef>
          </c:val>
          <c:extLst>
            <c:ext xmlns:c16="http://schemas.microsoft.com/office/drawing/2014/chart" uri="{C3380CC4-5D6E-409C-BE32-E72D297353CC}">
              <c16:uniqueId val="{00000006-8D98-4066-A483-3166CB862801}"/>
            </c:ext>
          </c:extLst>
        </c:ser>
        <c:ser>
          <c:idx val="7"/>
          <c:order val="7"/>
          <c:tx>
            <c:strRef>
              <c:f>'[Inventar emisija_Zagreb.xlsx]zgradarstvo'!$I$34</c:f>
              <c:strCache>
                <c:ptCount val="1"/>
                <c:pt idx="0">
                  <c:v>Lignit</c:v>
                </c:pt>
              </c:strCache>
            </c:strRef>
          </c:tx>
          <c:invertIfNegative val="0"/>
          <c:cat>
            <c:strRef>
              <c:f>'[Inventar emisija_Zagreb.xlsx]zgradarstvo'!$A$35:$A$37</c:f>
              <c:strCache>
                <c:ptCount val="3"/>
                <c:pt idx="0">
                  <c:v>STAMBENE I JAVNE ZGRADE U VLASNIŠTVU GRADA  </c:v>
                </c:pt>
                <c:pt idx="1">
                  <c:v>STANOVI - KUĆANSTVA</c:v>
                </c:pt>
                <c:pt idx="2">
                  <c:v>KOMERCIJALNE  I USLUŽNE DJELATNOSTI</c:v>
                </c:pt>
              </c:strCache>
            </c:strRef>
          </c:cat>
          <c:val>
            <c:numRef>
              <c:f>'[Inventar emisija_Zagreb.xlsx]zgradarstvo'!$I$35:$I$37</c:f>
              <c:numCache>
                <c:formatCode>#,##0.00</c:formatCode>
                <c:ptCount val="3"/>
                <c:pt idx="0">
                  <c:v>0</c:v>
                </c:pt>
                <c:pt idx="1">
                  <c:v>436.79999999999995</c:v>
                </c:pt>
                <c:pt idx="2">
                  <c:v>0</c:v>
                </c:pt>
              </c:numCache>
            </c:numRef>
          </c:val>
          <c:extLst>
            <c:ext xmlns:c16="http://schemas.microsoft.com/office/drawing/2014/chart" uri="{C3380CC4-5D6E-409C-BE32-E72D297353CC}">
              <c16:uniqueId val="{00000007-8D98-4066-A483-3166CB862801}"/>
            </c:ext>
          </c:extLst>
        </c:ser>
        <c:ser>
          <c:idx val="8"/>
          <c:order val="8"/>
          <c:tx>
            <c:strRef>
              <c:f>'[Inventar emisija_Zagreb.xlsx]zgradarstvo'!$J$34</c:f>
              <c:strCache>
                <c:ptCount val="1"/>
                <c:pt idx="0">
                  <c:v>Petrolej</c:v>
                </c:pt>
              </c:strCache>
            </c:strRef>
          </c:tx>
          <c:invertIfNegative val="0"/>
          <c:cat>
            <c:strRef>
              <c:f>'[Inventar emisija_Zagreb.xlsx]zgradarstvo'!$A$35:$A$37</c:f>
              <c:strCache>
                <c:ptCount val="3"/>
                <c:pt idx="0">
                  <c:v>STAMBENE I JAVNE ZGRADE U VLASNIŠTVU GRADA  </c:v>
                </c:pt>
                <c:pt idx="1">
                  <c:v>STANOVI - KUĆANSTVA</c:v>
                </c:pt>
                <c:pt idx="2">
                  <c:v>KOMERCIJALNE  I USLUŽNE DJELATNOSTI</c:v>
                </c:pt>
              </c:strCache>
            </c:strRef>
          </c:cat>
          <c:val>
            <c:numRef>
              <c:f>'[Inventar emisija_Zagreb.xlsx]zgradarstvo'!$J$35:$J$37</c:f>
              <c:numCache>
                <c:formatCode>#,##0.00</c:formatCode>
                <c:ptCount val="3"/>
                <c:pt idx="0">
                  <c:v>0</c:v>
                </c:pt>
                <c:pt idx="1">
                  <c:v>569.16949999999997</c:v>
                </c:pt>
                <c:pt idx="2">
                  <c:v>0</c:v>
                </c:pt>
              </c:numCache>
            </c:numRef>
          </c:val>
          <c:extLst>
            <c:ext xmlns:c16="http://schemas.microsoft.com/office/drawing/2014/chart" uri="{C3380CC4-5D6E-409C-BE32-E72D297353CC}">
              <c16:uniqueId val="{00000008-8D98-4066-A483-3166CB862801}"/>
            </c:ext>
          </c:extLst>
        </c:ser>
        <c:dLbls>
          <c:showLegendKey val="0"/>
          <c:showVal val="0"/>
          <c:showCatName val="0"/>
          <c:showSerName val="0"/>
          <c:showPercent val="0"/>
          <c:showBubbleSize val="0"/>
        </c:dLbls>
        <c:gapWidth val="150"/>
        <c:shape val="box"/>
        <c:axId val="260400640"/>
        <c:axId val="201777728"/>
        <c:axId val="0"/>
      </c:bar3DChart>
      <c:catAx>
        <c:axId val="260400640"/>
        <c:scaling>
          <c:orientation val="minMax"/>
        </c:scaling>
        <c:delete val="0"/>
        <c:axPos val="b"/>
        <c:numFmt formatCode="General" sourceLinked="0"/>
        <c:majorTickMark val="out"/>
        <c:minorTickMark val="none"/>
        <c:tickLblPos val="nextTo"/>
        <c:txPr>
          <a:bodyPr/>
          <a:lstStyle/>
          <a:p>
            <a:pPr>
              <a:defRPr sz="800" baseline="0"/>
            </a:pPr>
            <a:endParaRPr lang="sr-Latn-RS"/>
          </a:p>
        </c:txPr>
        <c:crossAx val="201777728"/>
        <c:crosses val="autoZero"/>
        <c:auto val="1"/>
        <c:lblAlgn val="ctr"/>
        <c:lblOffset val="100"/>
        <c:noMultiLvlLbl val="0"/>
      </c:catAx>
      <c:valAx>
        <c:axId val="201777728"/>
        <c:scaling>
          <c:orientation val="minMax"/>
        </c:scaling>
        <c:delete val="0"/>
        <c:axPos val="l"/>
        <c:majorGridlines/>
        <c:title>
          <c:tx>
            <c:rich>
              <a:bodyPr rot="0" vert="horz"/>
              <a:lstStyle/>
              <a:p>
                <a:pPr>
                  <a:defRPr/>
                </a:pPr>
                <a:r>
                  <a:rPr lang="hr-HR" sz="800" baseline="0"/>
                  <a:t>t </a:t>
                </a:r>
                <a:r>
                  <a:rPr lang="hr-HR"/>
                  <a:t>CO</a:t>
                </a:r>
                <a:r>
                  <a:rPr lang="hr-HR" sz="800" baseline="0"/>
                  <a:t>2</a:t>
                </a:r>
              </a:p>
            </c:rich>
          </c:tx>
          <c:overlay val="0"/>
        </c:title>
        <c:numFmt formatCode="#,##0.00" sourceLinked="1"/>
        <c:majorTickMark val="out"/>
        <c:minorTickMark val="none"/>
        <c:tickLblPos val="nextTo"/>
        <c:crossAx val="260400640"/>
        <c:crosses val="autoZero"/>
        <c:crossBetween val="between"/>
      </c:valAx>
    </c:plotArea>
    <c:legend>
      <c:legendPos val="r"/>
      <c:layout>
        <c:manualLayout>
          <c:xMode val="edge"/>
          <c:yMode val="edge"/>
          <c:x val="0.7852824704419582"/>
          <c:y val="4.2704317132772188E-2"/>
          <c:w val="0.21471749913203905"/>
          <c:h val="0.87853354537579353"/>
        </c:manualLayout>
      </c:layout>
      <c:overlay val="0"/>
    </c:legend>
    <c:plotVisOnly val="1"/>
    <c:dispBlanksAs val="gap"/>
    <c:showDLblsOverMax val="0"/>
  </c:chart>
  <c:spPr>
    <a:ln>
      <a:noFill/>
    </a:ln>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9170865572389114E-3"/>
          <c:y val="0.10855394698019875"/>
          <c:w val="0.65978581310741802"/>
          <c:h val="0.88337357976788367"/>
        </c:manualLayout>
      </c:layout>
      <c:pie3DChart>
        <c:varyColors val="1"/>
        <c:ser>
          <c:idx val="1"/>
          <c:order val="0"/>
          <c:tx>
            <c:strRef>
              <c:f>zgradarstvo!$A$68:$I$68</c:f>
              <c:strCache>
                <c:ptCount val="9"/>
                <c:pt idx="0">
                  <c:v>Električna energija</c:v>
                </c:pt>
                <c:pt idx="1">
                  <c:v>Prirodni plin</c:v>
                </c:pt>
                <c:pt idx="2">
                  <c:v>Toplana</c:v>
                </c:pt>
                <c:pt idx="3">
                  <c:v>Lož ulje</c:v>
                </c:pt>
                <c:pt idx="4">
                  <c:v>UNP</c:v>
                </c:pt>
                <c:pt idx="5">
                  <c:v>Plinske boce</c:v>
                </c:pt>
                <c:pt idx="6">
                  <c:v>Mrki ugljen</c:v>
                </c:pt>
                <c:pt idx="7">
                  <c:v>Lignit</c:v>
                </c:pt>
                <c:pt idx="8">
                  <c:v>Petrolej</c:v>
                </c:pt>
              </c:strCache>
            </c:strRef>
          </c:tx>
          <c:explosion val="20"/>
          <c:dPt>
            <c:idx val="0"/>
            <c:bubble3D val="0"/>
            <c:spPr>
              <a:solidFill>
                <a:schemeClr val="accent5">
                  <a:lumMod val="60000"/>
                  <a:lumOff val="40000"/>
                </a:schemeClr>
              </a:solidFill>
            </c:spPr>
            <c:extLst>
              <c:ext xmlns:c16="http://schemas.microsoft.com/office/drawing/2014/chart" uri="{C3380CC4-5D6E-409C-BE32-E72D297353CC}">
                <c16:uniqueId val="{00000001-650D-4794-98D7-D33C1E6AF2AD}"/>
              </c:ext>
            </c:extLst>
          </c:dPt>
          <c:dPt>
            <c:idx val="1"/>
            <c:bubble3D val="0"/>
            <c:spPr>
              <a:solidFill>
                <a:srgbClr val="92D050"/>
              </a:solidFill>
            </c:spPr>
            <c:extLst>
              <c:ext xmlns:c16="http://schemas.microsoft.com/office/drawing/2014/chart" uri="{C3380CC4-5D6E-409C-BE32-E72D297353CC}">
                <c16:uniqueId val="{00000003-650D-4794-98D7-D33C1E6AF2AD}"/>
              </c:ext>
            </c:extLst>
          </c:dPt>
          <c:dPt>
            <c:idx val="2"/>
            <c:bubble3D val="0"/>
            <c:spPr>
              <a:solidFill>
                <a:schemeClr val="tx2"/>
              </a:solidFill>
            </c:spPr>
            <c:extLst>
              <c:ext xmlns:c16="http://schemas.microsoft.com/office/drawing/2014/chart" uri="{C3380CC4-5D6E-409C-BE32-E72D297353CC}">
                <c16:uniqueId val="{00000005-650D-4794-98D7-D33C1E6AF2AD}"/>
              </c:ext>
            </c:extLst>
          </c:dPt>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zgradarstvo!$A$68:$M$68</c:f>
              <c:strCache>
                <c:ptCount val="10"/>
                <c:pt idx="0">
                  <c:v>Električna energija</c:v>
                </c:pt>
                <c:pt idx="1">
                  <c:v>Prirodni plin</c:v>
                </c:pt>
                <c:pt idx="2">
                  <c:v>Toplana</c:v>
                </c:pt>
                <c:pt idx="3">
                  <c:v>Lož ulje</c:v>
                </c:pt>
                <c:pt idx="4">
                  <c:v>UNP</c:v>
                </c:pt>
                <c:pt idx="5">
                  <c:v>Plinske boce</c:v>
                </c:pt>
                <c:pt idx="6">
                  <c:v>Mrki ugljen</c:v>
                </c:pt>
                <c:pt idx="7">
                  <c:v>Lignit</c:v>
                </c:pt>
                <c:pt idx="8">
                  <c:v>Petrolej</c:v>
                </c:pt>
                <c:pt idx="9">
                  <c:v>kontrola:</c:v>
                </c:pt>
              </c:strCache>
            </c:strRef>
          </c:cat>
          <c:val>
            <c:numRef>
              <c:f>zgradarstvo!$A$69:$I$69</c:f>
              <c:numCache>
                <c:formatCode>0.00%</c:formatCode>
                <c:ptCount val="9"/>
                <c:pt idx="0">
                  <c:v>0.3665687501923548</c:v>
                </c:pt>
                <c:pt idx="1">
                  <c:v>0.34096027670314966</c:v>
                </c:pt>
                <c:pt idx="2">
                  <c:v>0.24677175106947336</c:v>
                </c:pt>
                <c:pt idx="3">
                  <c:v>3.4694380960221545E-2</c:v>
                </c:pt>
                <c:pt idx="4">
                  <c:v>9.1612177422686798E-3</c:v>
                </c:pt>
                <c:pt idx="5">
                  <c:v>9.205251654788941E-4</c:v>
                </c:pt>
                <c:pt idx="6">
                  <c:v>3.6482858139493625E-4</c:v>
                </c:pt>
                <c:pt idx="7">
                  <c:v>2.4240511766551284E-4</c:v>
                </c:pt>
                <c:pt idx="8">
                  <c:v>3.158644679924934E-4</c:v>
                </c:pt>
              </c:numCache>
            </c:numRef>
          </c:val>
          <c:extLst>
            <c:ext xmlns:c16="http://schemas.microsoft.com/office/drawing/2014/chart" uri="{C3380CC4-5D6E-409C-BE32-E72D297353CC}">
              <c16:uniqueId val="{00000000-D22E-4647-BC4C-C27718F1C2AA}"/>
            </c:ext>
          </c:extLst>
        </c:ser>
        <c:dLbls>
          <c:showLegendKey val="0"/>
          <c:showVal val="0"/>
          <c:showCatName val="0"/>
          <c:showSerName val="0"/>
          <c:showPercent val="1"/>
          <c:showBubbleSize val="0"/>
          <c:showLeaderLines val="1"/>
        </c:dLbls>
      </c:pie3DChart>
    </c:plotArea>
    <c:legend>
      <c:legendPos val="r"/>
      <c:layout>
        <c:manualLayout>
          <c:xMode val="edge"/>
          <c:yMode val="edge"/>
          <c:x val="0.71590733370909976"/>
          <c:y val="0.15931291506711126"/>
          <c:w val="0.28409266629090019"/>
          <c:h val="0.68137416986577748"/>
        </c:manualLayout>
      </c:layout>
      <c:overlay val="0"/>
      <c:spPr>
        <a:noFill/>
      </c:spPr>
      <c:txPr>
        <a:bodyPr/>
        <a:lstStyle/>
        <a:p>
          <a:pPr rtl="0">
            <a:defRPr sz="1000"/>
          </a:pPr>
          <a:endParaRPr lang="sr-Latn-RS"/>
        </a:p>
      </c:txPr>
    </c:legend>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0659667541557308E-2"/>
          <c:y val="0.12749562554680663"/>
          <c:w val="0.59201399825021872"/>
          <c:h val="0.7680413385826772"/>
        </c:manualLayout>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zgradarstvo!$N$46:$N$48</c:f>
              <c:strCache>
                <c:ptCount val="3"/>
                <c:pt idx="0">
                  <c:v>Stambene i javne zgrade u vlasništvu Grada</c:v>
                </c:pt>
                <c:pt idx="1">
                  <c:v>Stambene zgrade - kućanstva</c:v>
                </c:pt>
                <c:pt idx="2">
                  <c:v>Zgrade komercijalnih i uslužnih djelatnosti</c:v>
                </c:pt>
              </c:strCache>
            </c:strRef>
          </c:cat>
          <c:val>
            <c:numRef>
              <c:f>zgradarstvo!$O$46:$O$48</c:f>
              <c:numCache>
                <c:formatCode>0.00%</c:formatCode>
                <c:ptCount val="3"/>
                <c:pt idx="0">
                  <c:v>7.4985883252843444E-2</c:v>
                </c:pt>
                <c:pt idx="1">
                  <c:v>0.58773673343849508</c:v>
                </c:pt>
                <c:pt idx="2">
                  <c:v>0.33727738330866136</c:v>
                </c:pt>
              </c:numCache>
            </c:numRef>
          </c:val>
          <c:extLst>
            <c:ext xmlns:c16="http://schemas.microsoft.com/office/drawing/2014/chart" uri="{C3380CC4-5D6E-409C-BE32-E72D297353CC}">
              <c16:uniqueId val="{00000000-110F-4C7C-9B18-FCB2FB79AEA6}"/>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0659667541557308E-2"/>
          <c:y val="0.12749562554680663"/>
          <c:w val="0.59201399825021872"/>
          <c:h val="0.7680413385826772"/>
        </c:manualLayout>
      </c:layout>
      <c:pie3DChart>
        <c:varyColors val="1"/>
        <c:ser>
          <c:idx val="0"/>
          <c:order val="0"/>
          <c:tx>
            <c:strRef>
              <c:f>'[Inventar emisija_Zagreb.xlsx]promet'!$A$48:$A$53</c:f>
              <c:strCache>
                <c:ptCount val="1"/>
                <c:pt idx="0">
                  <c:v>Motorni benzin Dizel LPG Stačeni prirodni plin Električna energija</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'[Inventar emisija_Zagreb.xlsx]promet'!$A$48:$A$52</c:f>
              <c:strCache>
                <c:ptCount val="5"/>
                <c:pt idx="0">
                  <c:v>Motorni benzin</c:v>
                </c:pt>
                <c:pt idx="1">
                  <c:v>Dizel</c:v>
                </c:pt>
                <c:pt idx="2">
                  <c:v>LPG</c:v>
                </c:pt>
                <c:pt idx="3">
                  <c:v>Stačeni prirodni plin</c:v>
                </c:pt>
                <c:pt idx="4">
                  <c:v>Električna energija</c:v>
                </c:pt>
              </c:strCache>
            </c:strRef>
          </c:cat>
          <c:val>
            <c:numRef>
              <c:f>'[Inventar emisija_Zagreb.xlsx]promet'!$B$48:$B$52</c:f>
              <c:numCache>
                <c:formatCode>0.00%</c:formatCode>
                <c:ptCount val="5"/>
                <c:pt idx="0">
                  <c:v>0.33814100499366206</c:v>
                </c:pt>
                <c:pt idx="1">
                  <c:v>0.60950960925354836</c:v>
                </c:pt>
                <c:pt idx="2">
                  <c:v>2.5471203327235126E-2</c:v>
                </c:pt>
                <c:pt idx="3">
                  <c:v>5.600245606215754E-3</c:v>
                </c:pt>
                <c:pt idx="4">
                  <c:v>2.1277936819338806E-2</c:v>
                </c:pt>
              </c:numCache>
            </c:numRef>
          </c:val>
          <c:extLst>
            <c:ext xmlns:c16="http://schemas.microsoft.com/office/drawing/2014/chart" uri="{C3380CC4-5D6E-409C-BE32-E72D297353CC}">
              <c16:uniqueId val="{00000000-5395-4528-8101-0EA2964891F9}"/>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8584657091944751E-2"/>
          <c:y val="0.16169466316710412"/>
          <c:w val="0.60944577285672952"/>
          <c:h val="0.81895144356955374"/>
        </c:manualLayout>
      </c:layout>
      <c:pie3DChart>
        <c:varyColors val="1"/>
        <c:ser>
          <c:idx val="0"/>
          <c:order val="0"/>
          <c:explosion val="25"/>
          <c:dLbls>
            <c:dLbl>
              <c:idx val="0"/>
              <c:layout>
                <c:manualLayout>
                  <c:x val="-0.13329823606838609"/>
                  <c:y val="-6.62929281727108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1AA-4DE7-921A-F7F5F4539DCB}"/>
                </c:ext>
              </c:extLst>
            </c:dLbl>
            <c:dLbl>
              <c:idx val="1"/>
              <c:layout>
                <c:manualLayout>
                  <c:x val="8.6982043980779133E-2"/>
                  <c:y val="-7.4020923440907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AA-4DE7-921A-F7F5F4539DCB}"/>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'[Inventar emisija_Zagreb.xlsx]promet'!$A$66:$C$66</c:f>
              <c:strCache>
                <c:ptCount val="3"/>
                <c:pt idx="0">
                  <c:v>Vozila u vlasništvu i korištenju Grada</c:v>
                </c:pt>
                <c:pt idx="1">
                  <c:v>Javni prijevoz</c:v>
                </c:pt>
                <c:pt idx="2">
                  <c:v>Osobna i komercijalna vozila</c:v>
                </c:pt>
              </c:strCache>
            </c:strRef>
          </c:cat>
          <c:val>
            <c:numRef>
              <c:f>'[Inventar emisija_Zagreb.xlsx]promet'!$A$67:$C$67</c:f>
              <c:numCache>
                <c:formatCode>0.00%</c:formatCode>
                <c:ptCount val="3"/>
                <c:pt idx="0">
                  <c:v>9.0518478126044143E-3</c:v>
                </c:pt>
                <c:pt idx="1">
                  <c:v>5.0157377974341576E-2</c:v>
                </c:pt>
                <c:pt idx="2">
                  <c:v>0.94079077421305413</c:v>
                </c:pt>
              </c:numCache>
            </c:numRef>
          </c:val>
          <c:extLst>
            <c:ext xmlns:c16="http://schemas.microsoft.com/office/drawing/2014/chart" uri="{C3380CC4-5D6E-409C-BE32-E72D297353CC}">
              <c16:uniqueId val="{00000000-F329-4098-AF2A-40FEF67E0FC5}"/>
            </c:ext>
          </c:extLst>
        </c:ser>
        <c:dLbls>
          <c:showLegendKey val="0"/>
          <c:showVal val="0"/>
          <c:showCatName val="0"/>
          <c:showSerName val="0"/>
          <c:showPercent val="1"/>
          <c:showBubbleSize val="0"/>
          <c:showLeaderLines val="1"/>
        </c:dLbls>
      </c:pie3DChart>
    </c:plotArea>
    <c:legend>
      <c:legendPos val="r"/>
      <c:overlay val="0"/>
      <c:txPr>
        <a:bodyPr/>
        <a:lstStyle/>
        <a:p>
          <a:pPr rtl="0">
            <a:defRPr sz="900"/>
          </a:pPr>
          <a:endParaRPr lang="sr-Latn-RS"/>
        </a:p>
      </c:txPr>
    </c:legend>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078674687059372"/>
          <c:y val="4.3918194956643078E-2"/>
          <c:w val="0.8605765745282431"/>
          <c:h val="0.62234873744230257"/>
        </c:manualLayout>
      </c:layout>
      <c:bar3DChart>
        <c:barDir val="col"/>
        <c:grouping val="clustered"/>
        <c:varyColors val="0"/>
        <c:ser>
          <c:idx val="0"/>
          <c:order val="0"/>
          <c:invertIfNegative val="0"/>
          <c:cat>
            <c:strRef>
              <c:f>'[Inventar emisija_Zagreb.xlsx]ukupna potrošnja'!$A$23:$A$37</c:f>
              <c:strCache>
                <c:ptCount val="15"/>
                <c:pt idx="0">
                  <c:v>Dizel</c:v>
                </c:pt>
                <c:pt idx="1">
                  <c:v>Motorni benzin</c:v>
                </c:pt>
                <c:pt idx="2">
                  <c:v>LPG</c:v>
                </c:pt>
                <c:pt idx="3">
                  <c:v>SPP</c:v>
                </c:pt>
                <c:pt idx="4">
                  <c:v>Električna energija</c:v>
                </c:pt>
                <c:pt idx="5">
                  <c:v>Lož ulje</c:v>
                </c:pt>
                <c:pt idx="6">
                  <c:v>Prirodni plin</c:v>
                </c:pt>
                <c:pt idx="7">
                  <c:v>Ogrjevno drvo</c:v>
                </c:pt>
                <c:pt idx="8">
                  <c:v>Toplana</c:v>
                </c:pt>
                <c:pt idx="9">
                  <c:v>Plinske boce</c:v>
                </c:pt>
                <c:pt idx="10">
                  <c:v>Mrki ugljen</c:v>
                </c:pt>
                <c:pt idx="11">
                  <c:v>Lignit</c:v>
                </c:pt>
                <c:pt idx="12">
                  <c:v>Energija Sunca</c:v>
                </c:pt>
                <c:pt idx="13">
                  <c:v>Petrolej</c:v>
                </c:pt>
                <c:pt idx="14">
                  <c:v>Geotermalna</c:v>
                </c:pt>
              </c:strCache>
            </c:strRef>
          </c:cat>
          <c:val>
            <c:numRef>
              <c:f>'[Inventar emisija_Zagreb.xlsx]ukupna potrošnja'!$E$23:$E$37</c:f>
              <c:numCache>
                <c:formatCode>#,##0.00</c:formatCode>
                <c:ptCount val="15"/>
                <c:pt idx="0">
                  <c:v>9079.3831463014067</c:v>
                </c:pt>
                <c:pt idx="1">
                  <c:v>5312.5609804232145</c:v>
                </c:pt>
                <c:pt idx="2">
                  <c:v>731.84451108439112</c:v>
                </c:pt>
                <c:pt idx="3">
                  <c:v>109.88221385422891</c:v>
                </c:pt>
                <c:pt idx="4">
                  <c:v>7754.0529212896627</c:v>
                </c:pt>
                <c:pt idx="5">
                  <c:v>824.40286898170473</c:v>
                </c:pt>
                <c:pt idx="6">
                  <c:v>10959.950949705755</c:v>
                </c:pt>
                <c:pt idx="7">
                  <c:v>2517.4967995665602</c:v>
                </c:pt>
                <c:pt idx="8">
                  <c:v>5842.3541396006876</c:v>
                </c:pt>
                <c:pt idx="9">
                  <c:v>29.561556350754916</c:v>
                </c:pt>
                <c:pt idx="10">
                  <c:v>6.839994528004377</c:v>
                </c:pt>
                <c:pt idx="11">
                  <c:v>4.3199965440027643</c:v>
                </c:pt>
                <c:pt idx="12">
                  <c:v>89.999928000057594</c:v>
                </c:pt>
                <c:pt idx="13">
                  <c:v>7.7399938080049528</c:v>
                </c:pt>
                <c:pt idx="14">
                  <c:v>60.371814902548074</c:v>
                </c:pt>
              </c:numCache>
            </c:numRef>
          </c:val>
          <c:extLst>
            <c:ext xmlns:c16="http://schemas.microsoft.com/office/drawing/2014/chart" uri="{C3380CC4-5D6E-409C-BE32-E72D297353CC}">
              <c16:uniqueId val="{00000000-5B4A-492C-8697-F74A115C6705}"/>
            </c:ext>
          </c:extLst>
        </c:ser>
        <c:dLbls>
          <c:showLegendKey val="0"/>
          <c:showVal val="0"/>
          <c:showCatName val="0"/>
          <c:showSerName val="0"/>
          <c:showPercent val="0"/>
          <c:showBubbleSize val="0"/>
        </c:dLbls>
        <c:gapWidth val="150"/>
        <c:shape val="box"/>
        <c:axId val="260401664"/>
        <c:axId val="201782912"/>
        <c:axId val="0"/>
      </c:bar3DChart>
      <c:catAx>
        <c:axId val="260401664"/>
        <c:scaling>
          <c:orientation val="minMax"/>
        </c:scaling>
        <c:delete val="0"/>
        <c:axPos val="b"/>
        <c:numFmt formatCode="General" sourceLinked="0"/>
        <c:majorTickMark val="out"/>
        <c:minorTickMark val="none"/>
        <c:tickLblPos val="nextTo"/>
        <c:txPr>
          <a:bodyPr rot="5400000" vert="horz"/>
          <a:lstStyle/>
          <a:p>
            <a:pPr>
              <a:defRPr sz="900"/>
            </a:pPr>
            <a:endParaRPr lang="sr-Latn-RS"/>
          </a:p>
        </c:txPr>
        <c:crossAx val="201782912"/>
        <c:crosses val="autoZero"/>
        <c:auto val="1"/>
        <c:lblAlgn val="ctr"/>
        <c:lblOffset val="100"/>
        <c:noMultiLvlLbl val="0"/>
      </c:catAx>
      <c:valAx>
        <c:axId val="201782912"/>
        <c:scaling>
          <c:orientation val="minMax"/>
        </c:scaling>
        <c:delete val="0"/>
        <c:axPos val="l"/>
        <c:majorGridlines/>
        <c:title>
          <c:tx>
            <c:rich>
              <a:bodyPr rot="-5400000" vert="horz"/>
              <a:lstStyle/>
              <a:p>
                <a:pPr>
                  <a:defRPr/>
                </a:pPr>
                <a:r>
                  <a:rPr lang="hr-HR"/>
                  <a:t>TJ</a:t>
                </a:r>
              </a:p>
            </c:rich>
          </c:tx>
          <c:layout>
            <c:manualLayout>
              <c:xMode val="edge"/>
              <c:yMode val="edge"/>
              <c:x val="4.2809385668896652E-3"/>
              <c:y val="0.40371787897453304"/>
            </c:manualLayout>
          </c:layout>
          <c:overlay val="0"/>
        </c:title>
        <c:numFmt formatCode="#,##0.00" sourceLinked="1"/>
        <c:majorTickMark val="out"/>
        <c:minorTickMark val="none"/>
        <c:tickLblPos val="nextTo"/>
        <c:crossAx val="260401664"/>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'[Grijanje _ ZDRAVSTVENE.xlsx]2015'!$A$23:$E$23</c:f>
              <c:strCache>
                <c:ptCount val="1"/>
                <c:pt idx="0">
                  <c:v>Domovi zdravlja Bolnice i poliklinike Domovi za starije i nemoćne Ured za socijalnu zaštitu Prosjek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'[Grijanje _ ZDRAVSTVENE.xlsx]2015'!$A$23:$E$23</c:f>
              <c:strCache>
                <c:ptCount val="5"/>
                <c:pt idx="0">
                  <c:v>Domovi zdravlja</c:v>
                </c:pt>
                <c:pt idx="1">
                  <c:v>Bolnice i poliklinike</c:v>
                </c:pt>
                <c:pt idx="2">
                  <c:v>Domovi za starije i nemoćne</c:v>
                </c:pt>
                <c:pt idx="3">
                  <c:v>Ured za socijalnu zaštitu</c:v>
                </c:pt>
                <c:pt idx="4">
                  <c:v>Prosjek</c:v>
                </c:pt>
              </c:strCache>
            </c:strRef>
          </c:cat>
          <c:val>
            <c:numRef>
              <c:f>'[Grijanje _ ZDRAVSTVENE.xlsx]2015'!$A$24:$E$24</c:f>
              <c:numCache>
                <c:formatCode>0.00</c:formatCode>
                <c:ptCount val="5"/>
                <c:pt idx="0">
                  <c:v>194.38609203842196</c:v>
                </c:pt>
                <c:pt idx="1">
                  <c:v>253.98348230763278</c:v>
                </c:pt>
                <c:pt idx="2">
                  <c:v>242.28015528738888</c:v>
                </c:pt>
                <c:pt idx="3">
                  <c:v>231.49425552091037</c:v>
                </c:pt>
                <c:pt idx="4" formatCode="#,##0.00">
                  <c:v>233.55126646390781</c:v>
                </c:pt>
              </c:numCache>
            </c:numRef>
          </c:val>
          <c:extLst>
            <c:ext xmlns:c16="http://schemas.microsoft.com/office/drawing/2014/chart" uri="{C3380CC4-5D6E-409C-BE32-E72D297353CC}">
              <c16:uniqueId val="{00000000-DD2B-4746-B43A-5A965BAC5744}"/>
            </c:ext>
          </c:extLst>
        </c:ser>
        <c:dLbls>
          <c:showLegendKey val="0"/>
          <c:showVal val="0"/>
          <c:showCatName val="0"/>
          <c:showSerName val="0"/>
          <c:showPercent val="0"/>
          <c:showBubbleSize val="0"/>
        </c:dLbls>
        <c:gapWidth val="150"/>
        <c:shape val="box"/>
        <c:axId val="160669184"/>
        <c:axId val="168440320"/>
        <c:axId val="0"/>
      </c:bar3DChart>
      <c:catAx>
        <c:axId val="160669184"/>
        <c:scaling>
          <c:orientation val="minMax"/>
        </c:scaling>
        <c:delete val="0"/>
        <c:axPos val="b"/>
        <c:numFmt formatCode="General" sourceLinked="0"/>
        <c:majorTickMark val="out"/>
        <c:minorTickMark val="none"/>
        <c:tickLblPos val="nextTo"/>
        <c:crossAx val="168440320"/>
        <c:crosses val="autoZero"/>
        <c:auto val="1"/>
        <c:lblAlgn val="ctr"/>
        <c:lblOffset val="100"/>
        <c:noMultiLvlLbl val="0"/>
      </c:catAx>
      <c:valAx>
        <c:axId val="168440320"/>
        <c:scaling>
          <c:orientation val="minMax"/>
        </c:scaling>
        <c:delete val="0"/>
        <c:axPos val="l"/>
        <c:majorGridlines/>
        <c:title>
          <c:tx>
            <c:rich>
              <a:bodyPr rot="-5400000" vert="horz"/>
              <a:lstStyle/>
              <a:p>
                <a:pPr>
                  <a:defRPr/>
                </a:pPr>
                <a:r>
                  <a:rPr lang="hr-HR"/>
                  <a:t>kWh/m</a:t>
                </a:r>
                <a:r>
                  <a:rPr lang="hr-HR" baseline="30000"/>
                  <a:t>2</a:t>
                </a:r>
              </a:p>
            </c:rich>
          </c:tx>
          <c:overlay val="0"/>
        </c:title>
        <c:numFmt formatCode="0.00" sourceLinked="1"/>
        <c:majorTickMark val="out"/>
        <c:minorTickMark val="none"/>
        <c:tickLblPos val="nextTo"/>
        <c:crossAx val="160669184"/>
        <c:crosses val="autoZero"/>
        <c:crossBetween val="between"/>
      </c:valAx>
    </c:plotArea>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9372679676155319"/>
          <c:y val="0.13221937036875916"/>
          <c:w val="0.54288046948213042"/>
          <c:h val="0.72160815533417799"/>
        </c:manualLayout>
      </c:layout>
      <c:bar3DChart>
        <c:barDir val="col"/>
        <c:grouping val="stacked"/>
        <c:varyColors val="0"/>
        <c:ser>
          <c:idx val="0"/>
          <c:order val="0"/>
          <c:tx>
            <c:strRef>
              <c:f>'[Inventar emisija_Zagreb.xlsx]ukupna potrošnja'!$A$23</c:f>
              <c:strCache>
                <c:ptCount val="1"/>
                <c:pt idx="0">
                  <c:v>Dizel</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potrošnja'!$B$23:$D$23</c:f>
              <c:numCache>
                <c:formatCode>General</c:formatCode>
                <c:ptCount val="3"/>
                <c:pt idx="0" formatCode="#,##0.00">
                  <c:v>9079.3831463014067</c:v>
                </c:pt>
              </c:numCache>
            </c:numRef>
          </c:val>
          <c:extLst>
            <c:ext xmlns:c16="http://schemas.microsoft.com/office/drawing/2014/chart" uri="{C3380CC4-5D6E-409C-BE32-E72D297353CC}">
              <c16:uniqueId val="{00000000-2386-49D8-A15A-E34F3F869ACE}"/>
            </c:ext>
          </c:extLst>
        </c:ser>
        <c:ser>
          <c:idx val="1"/>
          <c:order val="1"/>
          <c:tx>
            <c:strRef>
              <c:f>'[Inventar emisija_Zagreb.xlsx]ukupna potrošnja'!$A$24</c:f>
              <c:strCache>
                <c:ptCount val="1"/>
                <c:pt idx="0">
                  <c:v>Motorni benzin</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potrošnja'!$B$24:$D$24</c:f>
              <c:numCache>
                <c:formatCode>General</c:formatCode>
                <c:ptCount val="3"/>
                <c:pt idx="0" formatCode="#,##0.00">
                  <c:v>5312.5609804232145</c:v>
                </c:pt>
              </c:numCache>
            </c:numRef>
          </c:val>
          <c:extLst>
            <c:ext xmlns:c16="http://schemas.microsoft.com/office/drawing/2014/chart" uri="{C3380CC4-5D6E-409C-BE32-E72D297353CC}">
              <c16:uniqueId val="{00000001-2386-49D8-A15A-E34F3F869ACE}"/>
            </c:ext>
          </c:extLst>
        </c:ser>
        <c:ser>
          <c:idx val="2"/>
          <c:order val="2"/>
          <c:tx>
            <c:strRef>
              <c:f>'[Inventar emisija_Zagreb.xlsx]ukupna potrošnja'!$A$25</c:f>
              <c:strCache>
                <c:ptCount val="1"/>
                <c:pt idx="0">
                  <c:v>LPG</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potrošnja'!$B$25:$D$25</c:f>
              <c:numCache>
                <c:formatCode>General</c:formatCode>
                <c:ptCount val="3"/>
                <c:pt idx="0" formatCode="#,##0.00">
                  <c:v>444.72884821692139</c:v>
                </c:pt>
                <c:pt idx="2" formatCode="#,##0.00">
                  <c:v>261.80042479966016</c:v>
                </c:pt>
              </c:numCache>
            </c:numRef>
          </c:val>
          <c:extLst>
            <c:ext xmlns:c16="http://schemas.microsoft.com/office/drawing/2014/chart" uri="{C3380CC4-5D6E-409C-BE32-E72D297353CC}">
              <c16:uniqueId val="{00000002-2386-49D8-A15A-E34F3F869ACE}"/>
            </c:ext>
          </c:extLst>
        </c:ser>
        <c:ser>
          <c:idx val="3"/>
          <c:order val="3"/>
          <c:tx>
            <c:strRef>
              <c:f>'[Inventar emisija_Zagreb.xlsx]ukupna potrošnja'!$A$26</c:f>
              <c:strCache>
                <c:ptCount val="1"/>
                <c:pt idx="0">
                  <c:v>SPP</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potrošnja'!$B$26:$D$26</c:f>
              <c:numCache>
                <c:formatCode>General</c:formatCode>
                <c:ptCount val="3"/>
                <c:pt idx="0" formatCode="#,##0.00">
                  <c:v>109.88221385422891</c:v>
                </c:pt>
              </c:numCache>
            </c:numRef>
          </c:val>
          <c:extLst>
            <c:ext xmlns:c16="http://schemas.microsoft.com/office/drawing/2014/chart" uri="{C3380CC4-5D6E-409C-BE32-E72D297353CC}">
              <c16:uniqueId val="{00000003-2386-49D8-A15A-E34F3F869ACE}"/>
            </c:ext>
          </c:extLst>
        </c:ser>
        <c:ser>
          <c:idx val="4"/>
          <c:order val="4"/>
          <c:tx>
            <c:strRef>
              <c:f>'[Inventar emisija_Zagreb.xlsx]ukupna potrošnja'!$A$27</c:f>
              <c:strCache>
                <c:ptCount val="1"/>
                <c:pt idx="0">
                  <c:v>Električna energija</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potrošnja'!$B$27:$D$27</c:f>
              <c:numCache>
                <c:formatCode>#,##0.00</c:formatCode>
                <c:ptCount val="3"/>
                <c:pt idx="0">
                  <c:v>255.55669995464001</c:v>
                </c:pt>
                <c:pt idx="1">
                  <c:v>292.65816587346728</c:v>
                </c:pt>
                <c:pt idx="2">
                  <c:v>7205.8380554615551</c:v>
                </c:pt>
              </c:numCache>
            </c:numRef>
          </c:val>
          <c:extLst>
            <c:ext xmlns:c16="http://schemas.microsoft.com/office/drawing/2014/chart" uri="{C3380CC4-5D6E-409C-BE32-E72D297353CC}">
              <c16:uniqueId val="{00000004-2386-49D8-A15A-E34F3F869ACE}"/>
            </c:ext>
          </c:extLst>
        </c:ser>
        <c:ser>
          <c:idx val="5"/>
          <c:order val="5"/>
          <c:tx>
            <c:strRef>
              <c:f>'[Inventar emisija_Zagreb.xlsx]ukupna potrošnja'!$A$28</c:f>
              <c:strCache>
                <c:ptCount val="1"/>
                <c:pt idx="0">
                  <c:v>Lož ulje</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potrošnja'!$B$28:$D$28</c:f>
              <c:numCache>
                <c:formatCode>General</c:formatCode>
                <c:ptCount val="3"/>
                <c:pt idx="2" formatCode="#,##0.00">
                  <c:v>824.40286898170473</c:v>
                </c:pt>
              </c:numCache>
            </c:numRef>
          </c:val>
          <c:extLst>
            <c:ext xmlns:c16="http://schemas.microsoft.com/office/drawing/2014/chart" uri="{C3380CC4-5D6E-409C-BE32-E72D297353CC}">
              <c16:uniqueId val="{00000005-2386-49D8-A15A-E34F3F869ACE}"/>
            </c:ext>
          </c:extLst>
        </c:ser>
        <c:ser>
          <c:idx val="6"/>
          <c:order val="6"/>
          <c:tx>
            <c:strRef>
              <c:f>'[Inventar emisija_Zagreb.xlsx]ukupna potrošnja'!$A$29</c:f>
              <c:strCache>
                <c:ptCount val="1"/>
                <c:pt idx="0">
                  <c:v>Prirodni plin</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potrošnja'!$B$29:$D$29</c:f>
              <c:numCache>
                <c:formatCode>#,##0.00</c:formatCode>
                <c:ptCount val="3"/>
                <c:pt idx="1">
                  <c:v>10.422559696468259</c:v>
                </c:pt>
                <c:pt idx="2">
                  <c:v>10949.528390009287</c:v>
                </c:pt>
              </c:numCache>
            </c:numRef>
          </c:val>
          <c:extLst>
            <c:ext xmlns:c16="http://schemas.microsoft.com/office/drawing/2014/chart" uri="{C3380CC4-5D6E-409C-BE32-E72D297353CC}">
              <c16:uniqueId val="{00000006-2386-49D8-A15A-E34F3F869ACE}"/>
            </c:ext>
          </c:extLst>
        </c:ser>
        <c:ser>
          <c:idx val="7"/>
          <c:order val="7"/>
          <c:tx>
            <c:strRef>
              <c:f>'[Inventar emisija_Zagreb.xlsx]ukupna potrošnja'!$A$30</c:f>
              <c:strCache>
                <c:ptCount val="1"/>
                <c:pt idx="0">
                  <c:v>Ogrjevno drvo</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potrošnja'!$B$30:$D$30</c:f>
              <c:numCache>
                <c:formatCode>General</c:formatCode>
                <c:ptCount val="3"/>
                <c:pt idx="2" formatCode="#,##0.00">
                  <c:v>2517.4967995665602</c:v>
                </c:pt>
              </c:numCache>
            </c:numRef>
          </c:val>
          <c:extLst>
            <c:ext xmlns:c16="http://schemas.microsoft.com/office/drawing/2014/chart" uri="{C3380CC4-5D6E-409C-BE32-E72D297353CC}">
              <c16:uniqueId val="{00000007-2386-49D8-A15A-E34F3F869ACE}"/>
            </c:ext>
          </c:extLst>
        </c:ser>
        <c:ser>
          <c:idx val="8"/>
          <c:order val="8"/>
          <c:tx>
            <c:strRef>
              <c:f>'[Inventar emisija_Zagreb.xlsx]ukupna potrošnja'!$A$31</c:f>
              <c:strCache>
                <c:ptCount val="1"/>
                <c:pt idx="0">
                  <c:v>Toplana</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potrošnja'!$B$31:$D$31</c:f>
              <c:numCache>
                <c:formatCode>General</c:formatCode>
                <c:ptCount val="3"/>
                <c:pt idx="2" formatCode="#,##0.00">
                  <c:v>5842.3541396006876</c:v>
                </c:pt>
              </c:numCache>
            </c:numRef>
          </c:val>
          <c:extLst>
            <c:ext xmlns:c16="http://schemas.microsoft.com/office/drawing/2014/chart" uri="{C3380CC4-5D6E-409C-BE32-E72D297353CC}">
              <c16:uniqueId val="{00000008-2386-49D8-A15A-E34F3F869ACE}"/>
            </c:ext>
          </c:extLst>
        </c:ser>
        <c:ser>
          <c:idx val="9"/>
          <c:order val="9"/>
          <c:tx>
            <c:strRef>
              <c:f>'[Inventar emisija_Zagreb.xlsx]ukupna potrošnja'!$A$32</c:f>
              <c:strCache>
                <c:ptCount val="1"/>
                <c:pt idx="0">
                  <c:v>Plinske boce</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potrošnja'!$B$32:$D$32</c:f>
              <c:numCache>
                <c:formatCode>General</c:formatCode>
                <c:ptCount val="3"/>
                <c:pt idx="2" formatCode="#,##0.00">
                  <c:v>29.561556350754916</c:v>
                </c:pt>
              </c:numCache>
            </c:numRef>
          </c:val>
          <c:extLst>
            <c:ext xmlns:c16="http://schemas.microsoft.com/office/drawing/2014/chart" uri="{C3380CC4-5D6E-409C-BE32-E72D297353CC}">
              <c16:uniqueId val="{00000009-2386-49D8-A15A-E34F3F869ACE}"/>
            </c:ext>
          </c:extLst>
        </c:ser>
        <c:ser>
          <c:idx val="10"/>
          <c:order val="10"/>
          <c:tx>
            <c:strRef>
              <c:f>'[Inventar emisija_Zagreb.xlsx]ukupna potrošnja'!$A$33</c:f>
              <c:strCache>
                <c:ptCount val="1"/>
                <c:pt idx="0">
                  <c:v>Mrki ugljen</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potrošnja'!$B$33:$D$33</c:f>
              <c:numCache>
                <c:formatCode>General</c:formatCode>
                <c:ptCount val="3"/>
                <c:pt idx="2" formatCode="#,##0.00">
                  <c:v>6.839994528004377</c:v>
                </c:pt>
              </c:numCache>
            </c:numRef>
          </c:val>
          <c:extLst>
            <c:ext xmlns:c16="http://schemas.microsoft.com/office/drawing/2014/chart" uri="{C3380CC4-5D6E-409C-BE32-E72D297353CC}">
              <c16:uniqueId val="{0000000A-2386-49D8-A15A-E34F3F869ACE}"/>
            </c:ext>
          </c:extLst>
        </c:ser>
        <c:ser>
          <c:idx val="11"/>
          <c:order val="11"/>
          <c:tx>
            <c:strRef>
              <c:f>'[Inventar emisija_Zagreb.xlsx]ukupna potrošnja'!$A$34</c:f>
              <c:strCache>
                <c:ptCount val="1"/>
                <c:pt idx="0">
                  <c:v>Lignit</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potrošnja'!$B$34:$D$34</c:f>
              <c:numCache>
                <c:formatCode>General</c:formatCode>
                <c:ptCount val="3"/>
                <c:pt idx="2" formatCode="#,##0.00">
                  <c:v>4.3199965440027643</c:v>
                </c:pt>
              </c:numCache>
            </c:numRef>
          </c:val>
          <c:extLst>
            <c:ext xmlns:c16="http://schemas.microsoft.com/office/drawing/2014/chart" uri="{C3380CC4-5D6E-409C-BE32-E72D297353CC}">
              <c16:uniqueId val="{0000000B-2386-49D8-A15A-E34F3F869ACE}"/>
            </c:ext>
          </c:extLst>
        </c:ser>
        <c:ser>
          <c:idx val="12"/>
          <c:order val="12"/>
          <c:tx>
            <c:strRef>
              <c:f>'[Inventar emisija_Zagreb.xlsx]ukupna potrošnja'!$A$35</c:f>
              <c:strCache>
                <c:ptCount val="1"/>
                <c:pt idx="0">
                  <c:v>Energija Sunca</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potrošnja'!$B$35:$D$35</c:f>
              <c:numCache>
                <c:formatCode>General</c:formatCode>
                <c:ptCount val="3"/>
                <c:pt idx="2" formatCode="#,##0.00">
                  <c:v>89.999928000057594</c:v>
                </c:pt>
              </c:numCache>
            </c:numRef>
          </c:val>
          <c:extLst>
            <c:ext xmlns:c16="http://schemas.microsoft.com/office/drawing/2014/chart" uri="{C3380CC4-5D6E-409C-BE32-E72D297353CC}">
              <c16:uniqueId val="{0000000C-2386-49D8-A15A-E34F3F869ACE}"/>
            </c:ext>
          </c:extLst>
        </c:ser>
        <c:ser>
          <c:idx val="13"/>
          <c:order val="13"/>
          <c:tx>
            <c:strRef>
              <c:f>'[Inventar emisija_Zagreb.xlsx]ukupna potrošnja'!$A$36</c:f>
              <c:strCache>
                <c:ptCount val="1"/>
                <c:pt idx="0">
                  <c:v>Petrolej</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potrošnja'!$B$36:$D$36</c:f>
              <c:numCache>
                <c:formatCode>General</c:formatCode>
                <c:ptCount val="3"/>
                <c:pt idx="2" formatCode="#,##0.00">
                  <c:v>7.7399938080049528</c:v>
                </c:pt>
              </c:numCache>
            </c:numRef>
          </c:val>
          <c:extLst>
            <c:ext xmlns:c16="http://schemas.microsoft.com/office/drawing/2014/chart" uri="{C3380CC4-5D6E-409C-BE32-E72D297353CC}">
              <c16:uniqueId val="{0000000D-2386-49D8-A15A-E34F3F869ACE}"/>
            </c:ext>
          </c:extLst>
        </c:ser>
        <c:ser>
          <c:idx val="14"/>
          <c:order val="14"/>
          <c:tx>
            <c:strRef>
              <c:f>'[Inventar emisija_Zagreb.xlsx]ukupna potrošnja'!$A$37</c:f>
              <c:strCache>
                <c:ptCount val="1"/>
                <c:pt idx="0">
                  <c:v>Geotermalna</c:v>
                </c:pt>
              </c:strCache>
            </c:strRef>
          </c:tx>
          <c:invertIfNegative val="0"/>
          <c:cat>
            <c:strRef>
              <c:f>'[Inventar emisija_Zagreb.xlsx]ukupna potrošnja'!$B$22:$D$22</c:f>
              <c:strCache>
                <c:ptCount val="3"/>
                <c:pt idx="0">
                  <c:v>Promet</c:v>
                </c:pt>
                <c:pt idx="1">
                  <c:v>Javna rasvjeta</c:v>
                </c:pt>
                <c:pt idx="2">
                  <c:v>Zgradarstvo</c:v>
                </c:pt>
              </c:strCache>
            </c:strRef>
          </c:cat>
          <c:val>
            <c:numRef>
              <c:f>'[Inventar emisija_Zagreb.xlsx]ukupna potrošnja'!$B$37:$D$37</c:f>
              <c:numCache>
                <c:formatCode>General</c:formatCode>
                <c:ptCount val="3"/>
                <c:pt idx="2" formatCode="#,##0.00">
                  <c:v>60.371814902548074</c:v>
                </c:pt>
              </c:numCache>
            </c:numRef>
          </c:val>
          <c:extLst>
            <c:ext xmlns:c16="http://schemas.microsoft.com/office/drawing/2014/chart" uri="{C3380CC4-5D6E-409C-BE32-E72D297353CC}">
              <c16:uniqueId val="{0000000E-2386-49D8-A15A-E34F3F869ACE}"/>
            </c:ext>
          </c:extLst>
        </c:ser>
        <c:dLbls>
          <c:showLegendKey val="0"/>
          <c:showVal val="0"/>
          <c:showCatName val="0"/>
          <c:showSerName val="0"/>
          <c:showPercent val="0"/>
          <c:showBubbleSize val="0"/>
        </c:dLbls>
        <c:gapWidth val="150"/>
        <c:shape val="box"/>
        <c:axId val="262123008"/>
        <c:axId val="201784640"/>
        <c:axId val="0"/>
      </c:bar3DChart>
      <c:catAx>
        <c:axId val="262123008"/>
        <c:scaling>
          <c:orientation val="minMax"/>
        </c:scaling>
        <c:delete val="0"/>
        <c:axPos val="b"/>
        <c:numFmt formatCode="General" sourceLinked="0"/>
        <c:majorTickMark val="out"/>
        <c:minorTickMark val="none"/>
        <c:tickLblPos val="nextTo"/>
        <c:txPr>
          <a:bodyPr/>
          <a:lstStyle/>
          <a:p>
            <a:pPr>
              <a:defRPr sz="900" baseline="0"/>
            </a:pPr>
            <a:endParaRPr lang="sr-Latn-RS"/>
          </a:p>
        </c:txPr>
        <c:crossAx val="201784640"/>
        <c:crosses val="autoZero"/>
        <c:auto val="1"/>
        <c:lblAlgn val="ctr"/>
        <c:lblOffset val="100"/>
        <c:noMultiLvlLbl val="0"/>
      </c:catAx>
      <c:valAx>
        <c:axId val="201784640"/>
        <c:scaling>
          <c:orientation val="minMax"/>
        </c:scaling>
        <c:delete val="0"/>
        <c:axPos val="l"/>
        <c:majorGridlines/>
        <c:title>
          <c:tx>
            <c:rich>
              <a:bodyPr rot="-5400000" vert="horz"/>
              <a:lstStyle/>
              <a:p>
                <a:pPr>
                  <a:defRPr/>
                </a:pPr>
                <a:r>
                  <a:rPr lang="hr-HR"/>
                  <a:t>Potrošnja energije,TJ</a:t>
                </a:r>
              </a:p>
            </c:rich>
          </c:tx>
          <c:layout>
            <c:manualLayout>
              <c:xMode val="edge"/>
              <c:yMode val="edge"/>
              <c:x val="1.132735862562634E-2"/>
              <c:y val="0.29347966545664372"/>
            </c:manualLayout>
          </c:layout>
          <c:overlay val="0"/>
        </c:title>
        <c:numFmt formatCode="#,##0.00" sourceLinked="1"/>
        <c:majorTickMark val="out"/>
        <c:minorTickMark val="none"/>
        <c:tickLblPos val="nextTo"/>
        <c:crossAx val="262123008"/>
        <c:crosses val="autoZero"/>
        <c:crossBetween val="between"/>
      </c:valAx>
    </c:plotArea>
    <c:legend>
      <c:legendPos val="r"/>
      <c:layout>
        <c:manualLayout>
          <c:xMode val="edge"/>
          <c:yMode val="edge"/>
          <c:x val="0.78458152221564903"/>
          <c:y val="0.14552615370379471"/>
          <c:w val="0.21541841088045813"/>
          <c:h val="0.73328403431697209"/>
        </c:manualLayout>
      </c:layout>
      <c:overlay val="0"/>
      <c:txPr>
        <a:bodyPr/>
        <a:lstStyle/>
        <a:p>
          <a:pPr>
            <a:defRPr sz="800"/>
          </a:pPr>
          <a:endParaRPr lang="sr-Latn-RS"/>
        </a:p>
      </c:txPr>
    </c:legend>
    <c:plotVisOnly val="1"/>
    <c:dispBlanksAs val="gap"/>
    <c:showDLblsOverMax val="0"/>
  </c:chart>
  <c:spPr>
    <a:ln>
      <a:noFill/>
    </a:ln>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'[Inventar emisija_Zagreb.xlsx]ukupan inventar'!$H$1:$J$1</c:f>
              <c:strCache>
                <c:ptCount val="3"/>
                <c:pt idx="0">
                  <c:v>Emisija, t CO₂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'[Inventar emisija_Zagreb.xlsx]ukupan inventar'!$H$2:$J$2</c:f>
              <c:strCache>
                <c:ptCount val="3"/>
                <c:pt idx="0">
                  <c:v>Zgradarstvo</c:v>
                </c:pt>
                <c:pt idx="1">
                  <c:v>Promet</c:v>
                </c:pt>
                <c:pt idx="2">
                  <c:v>Javna rasvjeta</c:v>
                </c:pt>
              </c:strCache>
            </c:strRef>
          </c:cat>
          <c:val>
            <c:numRef>
              <c:f>'[Inventar emisija_Zagreb.xlsx]ukupan inventar'!$H$3:$J$3</c:f>
              <c:numCache>
                <c:formatCode>#,##0.00</c:formatCode>
                <c:ptCount val="3"/>
                <c:pt idx="0">
                  <c:v>1801942.1545494201</c:v>
                </c:pt>
                <c:pt idx="1">
                  <c:v>1100954.9360400795</c:v>
                </c:pt>
                <c:pt idx="2">
                  <c:v>27411.841873047844</c:v>
                </c:pt>
              </c:numCache>
            </c:numRef>
          </c:val>
          <c:extLst>
            <c:ext xmlns:c16="http://schemas.microsoft.com/office/drawing/2014/chart" uri="{C3380CC4-5D6E-409C-BE32-E72D297353CC}">
              <c16:uniqueId val="{00000000-ACB5-4ECB-8067-0B9E87175EE0}"/>
            </c:ext>
          </c:extLst>
        </c:ser>
        <c:dLbls>
          <c:showLegendKey val="0"/>
          <c:showVal val="0"/>
          <c:showCatName val="0"/>
          <c:showSerName val="0"/>
          <c:showPercent val="0"/>
          <c:showBubbleSize val="0"/>
        </c:dLbls>
        <c:gapWidth val="150"/>
        <c:shape val="box"/>
        <c:axId val="262426624"/>
        <c:axId val="282461312"/>
        <c:axId val="0"/>
      </c:bar3DChart>
      <c:catAx>
        <c:axId val="262426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282461312"/>
        <c:crosses val="autoZero"/>
        <c:auto val="1"/>
        <c:lblAlgn val="ctr"/>
        <c:lblOffset val="100"/>
        <c:noMultiLvlLbl val="0"/>
      </c:catAx>
      <c:valAx>
        <c:axId val="28246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b="1">
                    <a:solidFill>
                      <a:sysClr val="windowText" lastClr="000000"/>
                    </a:solidFill>
                  </a:rPr>
                  <a:t>Emisija</a:t>
                </a:r>
                <a:r>
                  <a:rPr lang="hr-HR" b="1" baseline="0">
                    <a:solidFill>
                      <a:sysClr val="windowText" lastClr="000000"/>
                    </a:solidFill>
                  </a:rPr>
                  <a:t> t CO</a:t>
                </a:r>
                <a:r>
                  <a:rPr lang="hr-HR" b="1" baseline="-25000">
                    <a:solidFill>
                      <a:sysClr val="windowText" lastClr="000000"/>
                    </a:solidFill>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262426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487322080823448"/>
          <c:y val="3.7898353198545051E-2"/>
          <c:w val="0.82512680042389808"/>
          <c:h val="0.74549587431527953"/>
        </c:manualLayout>
      </c:layout>
      <c:bar3DChart>
        <c:barDir val="col"/>
        <c:grouping val="clustered"/>
        <c:varyColors val="0"/>
        <c:ser>
          <c:idx val="0"/>
          <c:order val="0"/>
          <c:spPr>
            <a:solidFill>
              <a:schemeClr val="accent1"/>
            </a:solidFill>
            <a:ln>
              <a:noFill/>
            </a:ln>
            <a:effectLst/>
            <a:sp3d/>
          </c:spPr>
          <c:invertIfNegative val="0"/>
          <c:cat>
            <c:strRef>
              <c:f>'[Inventar emisija_Zagreb.xlsx]ukupan inventar'!$F$27:$F$38</c:f>
              <c:strCache>
                <c:ptCount val="12"/>
                <c:pt idx="0">
                  <c:v>Dizel</c:v>
                </c:pt>
                <c:pt idx="1">
                  <c:v>Motorni benzin</c:v>
                </c:pt>
                <c:pt idx="2">
                  <c:v>LPG</c:v>
                </c:pt>
                <c:pt idx="3">
                  <c:v>SPP</c:v>
                </c:pt>
                <c:pt idx="4">
                  <c:v>Električna energija</c:v>
                </c:pt>
                <c:pt idx="5">
                  <c:v>Lož ulje</c:v>
                </c:pt>
                <c:pt idx="6">
                  <c:v>Prirodni plin</c:v>
                </c:pt>
                <c:pt idx="7">
                  <c:v>Toplana</c:v>
                </c:pt>
                <c:pt idx="8">
                  <c:v>Plinske boce</c:v>
                </c:pt>
                <c:pt idx="9">
                  <c:v>Mrki ugljen</c:v>
                </c:pt>
                <c:pt idx="10">
                  <c:v>Lignit</c:v>
                </c:pt>
                <c:pt idx="11">
                  <c:v>Petrolej</c:v>
                </c:pt>
              </c:strCache>
            </c:strRef>
          </c:cat>
          <c:val>
            <c:numRef>
              <c:f>'[Inventar emisija_Zagreb.xlsx]ukupan inventar'!$G$27:$G$38</c:f>
              <c:numCache>
                <c:formatCode>#,##0.00</c:formatCode>
                <c:ptCount val="12"/>
                <c:pt idx="0">
                  <c:v>671042.61287155398</c:v>
                </c:pt>
                <c:pt idx="1">
                  <c:v>372278.00852532533</c:v>
                </c:pt>
                <c:pt idx="2">
                  <c:v>46146.899144199997</c:v>
                </c:pt>
                <c:pt idx="3">
                  <c:v>6165.6180432000001</c:v>
                </c:pt>
                <c:pt idx="4">
                  <c:v>710788.75308210007</c:v>
                </c:pt>
                <c:pt idx="5">
                  <c:v>62517.267578220002</c:v>
                </c:pt>
                <c:pt idx="6">
                  <c:v>614975.5174912879</c:v>
                </c:pt>
                <c:pt idx="7">
                  <c:v>444668.42080406006</c:v>
                </c:pt>
                <c:pt idx="8">
                  <c:v>1658.7331000000001</c:v>
                </c:pt>
                <c:pt idx="9">
                  <c:v>657.4</c:v>
                </c:pt>
                <c:pt idx="10">
                  <c:v>436.79999999999995</c:v>
                </c:pt>
                <c:pt idx="11">
                  <c:v>569.16949999999997</c:v>
                </c:pt>
              </c:numCache>
            </c:numRef>
          </c:val>
          <c:extLst>
            <c:ext xmlns:c16="http://schemas.microsoft.com/office/drawing/2014/chart" uri="{C3380CC4-5D6E-409C-BE32-E72D297353CC}">
              <c16:uniqueId val="{00000003-5A9C-465F-BAD7-42E3CBA6B5E2}"/>
            </c:ext>
          </c:extLst>
        </c:ser>
        <c:dLbls>
          <c:showLegendKey val="0"/>
          <c:showVal val="0"/>
          <c:showCatName val="0"/>
          <c:showSerName val="0"/>
          <c:showPercent val="0"/>
          <c:showBubbleSize val="0"/>
        </c:dLbls>
        <c:gapWidth val="150"/>
        <c:shape val="box"/>
        <c:axId val="262428160"/>
        <c:axId val="282463040"/>
        <c:axId val="0"/>
      </c:bar3DChart>
      <c:catAx>
        <c:axId val="26242816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282463040"/>
        <c:crosses val="autoZero"/>
        <c:auto val="1"/>
        <c:lblAlgn val="ctr"/>
        <c:lblOffset val="100"/>
        <c:noMultiLvlLbl val="0"/>
      </c:catAx>
      <c:valAx>
        <c:axId val="28246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b="1">
                    <a:solidFill>
                      <a:sysClr val="windowText" lastClr="000000"/>
                    </a:solidFill>
                  </a:rPr>
                  <a:t>Emisija</a:t>
                </a:r>
                <a:r>
                  <a:rPr lang="hr-HR" b="1" baseline="0">
                    <a:solidFill>
                      <a:sysClr val="windowText" lastClr="000000"/>
                    </a:solidFill>
                  </a:rPr>
                  <a:t> t CO</a:t>
                </a:r>
                <a:r>
                  <a:rPr lang="hr-HR" b="1" baseline="-25000">
                    <a:solidFill>
                      <a:sysClr val="windowText" lastClr="000000"/>
                    </a:solidFill>
                  </a:rPr>
                  <a:t>2</a:t>
                </a:r>
              </a:p>
            </c:rich>
          </c:tx>
          <c:layout>
            <c:manualLayout>
              <c:xMode val="edge"/>
              <c:yMode val="edge"/>
              <c:x val="1.6749576814516727E-2"/>
              <c:y val="0.307632082678634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262428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5811308797667898"/>
          <c:y val="0.12214390077814581"/>
          <c:w val="0.54288046948213042"/>
          <c:h val="0.72160815533417799"/>
        </c:manualLayout>
      </c:layout>
      <c:bar3DChart>
        <c:barDir val="col"/>
        <c:grouping val="stacked"/>
        <c:varyColors val="0"/>
        <c:ser>
          <c:idx val="0"/>
          <c:order val="0"/>
          <c:tx>
            <c:strRef>
              <c:f>'[Inventar emisija_Zagreb.xlsx]ukupan inventar'!$A$3</c:f>
              <c:strCache>
                <c:ptCount val="1"/>
                <c:pt idx="0">
                  <c:v>Dizel</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inventar'!$B$3:$D$3</c:f>
              <c:numCache>
                <c:formatCode>General</c:formatCode>
                <c:ptCount val="3"/>
                <c:pt idx="0" formatCode="#,##0.00">
                  <c:v>671042.61287155398</c:v>
                </c:pt>
              </c:numCache>
            </c:numRef>
          </c:val>
          <c:extLst>
            <c:ext xmlns:c16="http://schemas.microsoft.com/office/drawing/2014/chart" uri="{C3380CC4-5D6E-409C-BE32-E72D297353CC}">
              <c16:uniqueId val="{00000000-792E-4E41-B195-945EF2A82E76}"/>
            </c:ext>
          </c:extLst>
        </c:ser>
        <c:ser>
          <c:idx val="1"/>
          <c:order val="1"/>
          <c:tx>
            <c:strRef>
              <c:f>'[Inventar emisija_Zagreb.xlsx]ukupan inventar'!$A$4</c:f>
              <c:strCache>
                <c:ptCount val="1"/>
                <c:pt idx="0">
                  <c:v>Motorni benzin</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inventar'!$B$4:$D$4</c:f>
              <c:numCache>
                <c:formatCode>General</c:formatCode>
                <c:ptCount val="3"/>
                <c:pt idx="0" formatCode="#,##0.00">
                  <c:v>372278.00852532533</c:v>
                </c:pt>
              </c:numCache>
            </c:numRef>
          </c:val>
          <c:extLst>
            <c:ext xmlns:c16="http://schemas.microsoft.com/office/drawing/2014/chart" uri="{C3380CC4-5D6E-409C-BE32-E72D297353CC}">
              <c16:uniqueId val="{00000001-792E-4E41-B195-945EF2A82E76}"/>
            </c:ext>
          </c:extLst>
        </c:ser>
        <c:ser>
          <c:idx val="2"/>
          <c:order val="2"/>
          <c:tx>
            <c:strRef>
              <c:f>'[Inventar emisija_Zagreb.xlsx]ukupan inventar'!$A$5</c:f>
              <c:strCache>
                <c:ptCount val="1"/>
                <c:pt idx="0">
                  <c:v>LPG</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inventar'!$B$5:$D$5</c:f>
              <c:numCache>
                <c:formatCode>General</c:formatCode>
                <c:ptCount val="3"/>
                <c:pt idx="0" formatCode="#,##0.00">
                  <c:v>28042.64703</c:v>
                </c:pt>
                <c:pt idx="2" formatCode="#,##0.00">
                  <c:v>18104.252114200001</c:v>
                </c:pt>
              </c:numCache>
            </c:numRef>
          </c:val>
          <c:extLst>
            <c:ext xmlns:c16="http://schemas.microsoft.com/office/drawing/2014/chart" uri="{C3380CC4-5D6E-409C-BE32-E72D297353CC}">
              <c16:uniqueId val="{00000002-792E-4E41-B195-945EF2A82E76}"/>
            </c:ext>
          </c:extLst>
        </c:ser>
        <c:ser>
          <c:idx val="3"/>
          <c:order val="3"/>
          <c:tx>
            <c:strRef>
              <c:f>'[Inventar emisija_Zagreb.xlsx]ukupan inventar'!$A$6</c:f>
              <c:strCache>
                <c:ptCount val="1"/>
                <c:pt idx="0">
                  <c:v>SPP</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inventar'!$B$6:$D$6</c:f>
              <c:numCache>
                <c:formatCode>General</c:formatCode>
                <c:ptCount val="3"/>
                <c:pt idx="0" formatCode="#,##0.00">
                  <c:v>6165.6180432000001</c:v>
                </c:pt>
              </c:numCache>
            </c:numRef>
          </c:val>
          <c:extLst>
            <c:ext xmlns:c16="http://schemas.microsoft.com/office/drawing/2014/chart" uri="{C3380CC4-5D6E-409C-BE32-E72D297353CC}">
              <c16:uniqueId val="{00000003-792E-4E41-B195-945EF2A82E76}"/>
            </c:ext>
          </c:extLst>
        </c:ser>
        <c:ser>
          <c:idx val="4"/>
          <c:order val="4"/>
          <c:tx>
            <c:strRef>
              <c:f>'[Inventar emisija_Zagreb.xlsx]ukupan inventar'!$A$7</c:f>
              <c:strCache>
                <c:ptCount val="1"/>
                <c:pt idx="0">
                  <c:v>Električna energija</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inventar'!$B$7:$D$7</c:f>
              <c:numCache>
                <c:formatCode>#,##0.00</c:formatCode>
                <c:ptCount val="3"/>
                <c:pt idx="0">
                  <c:v>23426.049569999999</c:v>
                </c:pt>
                <c:pt idx="1">
                  <c:v>26827.02</c:v>
                </c:pt>
                <c:pt idx="2">
                  <c:v>660535.68351210002</c:v>
                </c:pt>
              </c:numCache>
            </c:numRef>
          </c:val>
          <c:extLst>
            <c:ext xmlns:c16="http://schemas.microsoft.com/office/drawing/2014/chart" uri="{C3380CC4-5D6E-409C-BE32-E72D297353CC}">
              <c16:uniqueId val="{00000004-792E-4E41-B195-945EF2A82E76}"/>
            </c:ext>
          </c:extLst>
        </c:ser>
        <c:ser>
          <c:idx val="5"/>
          <c:order val="5"/>
          <c:tx>
            <c:strRef>
              <c:f>'[Inventar emisija_Zagreb.xlsx]ukupan inventar'!$A$8</c:f>
              <c:strCache>
                <c:ptCount val="1"/>
                <c:pt idx="0">
                  <c:v>Lož ulje</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inventar'!$B$8:$D$8</c:f>
              <c:numCache>
                <c:formatCode>General</c:formatCode>
                <c:ptCount val="3"/>
                <c:pt idx="2" formatCode="#,##0.00">
                  <c:v>62517.267578220002</c:v>
                </c:pt>
              </c:numCache>
            </c:numRef>
          </c:val>
          <c:extLst>
            <c:ext xmlns:c16="http://schemas.microsoft.com/office/drawing/2014/chart" uri="{C3380CC4-5D6E-409C-BE32-E72D297353CC}">
              <c16:uniqueId val="{00000005-792E-4E41-B195-945EF2A82E76}"/>
            </c:ext>
          </c:extLst>
        </c:ser>
        <c:ser>
          <c:idx val="6"/>
          <c:order val="6"/>
          <c:tx>
            <c:strRef>
              <c:f>'[Inventar emisija_Zagreb.xlsx]ukupan inventar'!$A$9</c:f>
              <c:strCache>
                <c:ptCount val="1"/>
                <c:pt idx="0">
                  <c:v>Prirodni plin</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inventar'!$B$9:$D$9</c:f>
              <c:numCache>
                <c:formatCode>#,##0.00</c:formatCode>
                <c:ptCount val="3"/>
                <c:pt idx="1">
                  <c:v>584.82187304784316</c:v>
                </c:pt>
                <c:pt idx="2">
                  <c:v>614390.69561824005</c:v>
                </c:pt>
              </c:numCache>
            </c:numRef>
          </c:val>
          <c:extLst>
            <c:ext xmlns:c16="http://schemas.microsoft.com/office/drawing/2014/chart" uri="{C3380CC4-5D6E-409C-BE32-E72D297353CC}">
              <c16:uniqueId val="{00000006-792E-4E41-B195-945EF2A82E76}"/>
            </c:ext>
          </c:extLst>
        </c:ser>
        <c:ser>
          <c:idx val="7"/>
          <c:order val="7"/>
          <c:tx>
            <c:strRef>
              <c:f>'ukupan inventar'!#REF!</c:f>
              <c:strCache>
                <c:ptCount val="1"/>
                <c:pt idx="0">
                  <c:v>#REF!</c:v>
                </c:pt>
              </c:strCache>
            </c:strRef>
          </c:tx>
          <c:invertIfNegative val="0"/>
          <c:cat>
            <c:strRef>
              <c:f>'[Inventar emisija_Zagreb.xlsx]ukupan inventar'!$B$2:$D$2</c:f>
              <c:strCache>
                <c:ptCount val="3"/>
                <c:pt idx="0">
                  <c:v>Promet</c:v>
                </c:pt>
                <c:pt idx="1">
                  <c:v>Javna rasvjeta</c:v>
                </c:pt>
                <c:pt idx="2">
                  <c:v>Zgradarstvo</c:v>
                </c:pt>
              </c:strCache>
            </c:strRef>
          </c:cat>
          <c:val>
            <c:numRef>
              <c:f>'ukupan inventar'!#REF!</c:f>
              <c:numCache>
                <c:formatCode>General</c:formatCode>
                <c:ptCount val="1"/>
                <c:pt idx="0">
                  <c:v>1</c:v>
                </c:pt>
              </c:numCache>
            </c:numRef>
          </c:val>
          <c:extLst>
            <c:ext xmlns:c16="http://schemas.microsoft.com/office/drawing/2014/chart" uri="{C3380CC4-5D6E-409C-BE32-E72D297353CC}">
              <c16:uniqueId val="{00000007-792E-4E41-B195-945EF2A82E76}"/>
            </c:ext>
          </c:extLst>
        </c:ser>
        <c:ser>
          <c:idx val="8"/>
          <c:order val="8"/>
          <c:tx>
            <c:strRef>
              <c:f>'[Inventar emisija_Zagreb.xlsx]ukupan inventar'!$A$10</c:f>
              <c:strCache>
                <c:ptCount val="1"/>
                <c:pt idx="0">
                  <c:v>Toplana</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inventar'!$B$10:$D$10</c:f>
              <c:numCache>
                <c:formatCode>General</c:formatCode>
                <c:ptCount val="3"/>
                <c:pt idx="2" formatCode="#,##0.00">
                  <c:v>444668.42080406006</c:v>
                </c:pt>
              </c:numCache>
            </c:numRef>
          </c:val>
          <c:extLst>
            <c:ext xmlns:c16="http://schemas.microsoft.com/office/drawing/2014/chart" uri="{C3380CC4-5D6E-409C-BE32-E72D297353CC}">
              <c16:uniqueId val="{00000008-792E-4E41-B195-945EF2A82E76}"/>
            </c:ext>
          </c:extLst>
        </c:ser>
        <c:ser>
          <c:idx val="9"/>
          <c:order val="9"/>
          <c:tx>
            <c:strRef>
              <c:f>'[Inventar emisija_Zagreb.xlsx]ukupan inventar'!$A$11</c:f>
              <c:strCache>
                <c:ptCount val="1"/>
                <c:pt idx="0">
                  <c:v>Plinske boce</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inventar'!$B$11:$D$11</c:f>
              <c:numCache>
                <c:formatCode>General</c:formatCode>
                <c:ptCount val="3"/>
                <c:pt idx="2" formatCode="#,##0.00">
                  <c:v>1658.7331000000001</c:v>
                </c:pt>
              </c:numCache>
            </c:numRef>
          </c:val>
          <c:extLst>
            <c:ext xmlns:c16="http://schemas.microsoft.com/office/drawing/2014/chart" uri="{C3380CC4-5D6E-409C-BE32-E72D297353CC}">
              <c16:uniqueId val="{00000009-792E-4E41-B195-945EF2A82E76}"/>
            </c:ext>
          </c:extLst>
        </c:ser>
        <c:ser>
          <c:idx val="10"/>
          <c:order val="10"/>
          <c:tx>
            <c:strRef>
              <c:f>'[Inventar emisija_Zagreb.xlsx]ukupan inventar'!$A$12</c:f>
              <c:strCache>
                <c:ptCount val="1"/>
                <c:pt idx="0">
                  <c:v>Mrki ugljen</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inventar'!$B$12:$D$12</c:f>
              <c:numCache>
                <c:formatCode>General</c:formatCode>
                <c:ptCount val="3"/>
                <c:pt idx="2" formatCode="#,##0.00">
                  <c:v>657.4</c:v>
                </c:pt>
              </c:numCache>
            </c:numRef>
          </c:val>
          <c:extLst>
            <c:ext xmlns:c16="http://schemas.microsoft.com/office/drawing/2014/chart" uri="{C3380CC4-5D6E-409C-BE32-E72D297353CC}">
              <c16:uniqueId val="{0000000A-792E-4E41-B195-945EF2A82E76}"/>
            </c:ext>
          </c:extLst>
        </c:ser>
        <c:ser>
          <c:idx val="11"/>
          <c:order val="11"/>
          <c:tx>
            <c:strRef>
              <c:f>'[Inventar emisija_Zagreb.xlsx]ukupan inventar'!$A$13</c:f>
              <c:strCache>
                <c:ptCount val="1"/>
                <c:pt idx="0">
                  <c:v>Lignit</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inventar'!$B$13:$D$13</c:f>
              <c:numCache>
                <c:formatCode>General</c:formatCode>
                <c:ptCount val="3"/>
                <c:pt idx="2" formatCode="#,##0.00">
                  <c:v>436.79999999999995</c:v>
                </c:pt>
              </c:numCache>
            </c:numRef>
          </c:val>
          <c:extLst>
            <c:ext xmlns:c16="http://schemas.microsoft.com/office/drawing/2014/chart" uri="{C3380CC4-5D6E-409C-BE32-E72D297353CC}">
              <c16:uniqueId val="{0000000B-792E-4E41-B195-945EF2A82E76}"/>
            </c:ext>
          </c:extLst>
        </c:ser>
        <c:ser>
          <c:idx val="12"/>
          <c:order val="12"/>
          <c:tx>
            <c:strRef>
              <c:f>'[Inventar emisija_Zagreb.xlsx]ukupan inventar'!$A$14</c:f>
              <c:strCache>
                <c:ptCount val="1"/>
                <c:pt idx="0">
                  <c:v>Energija Sunca</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inventar'!$B$14:$D$14</c:f>
              <c:numCache>
                <c:formatCode>General</c:formatCode>
                <c:ptCount val="3"/>
                <c:pt idx="2" formatCode="#,##0.00">
                  <c:v>0</c:v>
                </c:pt>
              </c:numCache>
            </c:numRef>
          </c:val>
          <c:extLst>
            <c:ext xmlns:c16="http://schemas.microsoft.com/office/drawing/2014/chart" uri="{C3380CC4-5D6E-409C-BE32-E72D297353CC}">
              <c16:uniqueId val="{0000000C-792E-4E41-B195-945EF2A82E76}"/>
            </c:ext>
          </c:extLst>
        </c:ser>
        <c:ser>
          <c:idx val="13"/>
          <c:order val="13"/>
          <c:tx>
            <c:strRef>
              <c:f>'[Inventar emisija_Zagreb.xlsx]ukupan inventar'!$A$15</c:f>
              <c:strCache>
                <c:ptCount val="1"/>
                <c:pt idx="0">
                  <c:v>Petrolej</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inventar'!$B$15:$D$15</c:f>
              <c:numCache>
                <c:formatCode>General</c:formatCode>
                <c:ptCount val="3"/>
                <c:pt idx="2" formatCode="#,##0.00">
                  <c:v>569.16949999999997</c:v>
                </c:pt>
              </c:numCache>
            </c:numRef>
          </c:val>
          <c:extLst>
            <c:ext xmlns:c16="http://schemas.microsoft.com/office/drawing/2014/chart" uri="{C3380CC4-5D6E-409C-BE32-E72D297353CC}">
              <c16:uniqueId val="{0000000D-792E-4E41-B195-945EF2A82E76}"/>
            </c:ext>
          </c:extLst>
        </c:ser>
        <c:ser>
          <c:idx val="14"/>
          <c:order val="14"/>
          <c:tx>
            <c:strRef>
              <c:f>'[Inventar emisija_Zagreb.xlsx]ukupan inventar'!$A$16</c:f>
              <c:strCache>
                <c:ptCount val="1"/>
                <c:pt idx="0">
                  <c:v>Geotermalna</c:v>
                </c:pt>
              </c:strCache>
            </c:strRef>
          </c:tx>
          <c:invertIfNegative val="0"/>
          <c:cat>
            <c:strRef>
              <c:f>'[Inventar emisija_Zagreb.xlsx]ukupan inventar'!$B$2:$D$2</c:f>
              <c:strCache>
                <c:ptCount val="3"/>
                <c:pt idx="0">
                  <c:v>Promet</c:v>
                </c:pt>
                <c:pt idx="1">
                  <c:v>Javna rasvjeta</c:v>
                </c:pt>
                <c:pt idx="2">
                  <c:v>Zgradarstvo</c:v>
                </c:pt>
              </c:strCache>
            </c:strRef>
          </c:cat>
          <c:val>
            <c:numRef>
              <c:f>'[Inventar emisija_Zagreb.xlsx]ukupan inventar'!$B$16:$D$16</c:f>
              <c:numCache>
                <c:formatCode>General</c:formatCode>
                <c:ptCount val="3"/>
              </c:numCache>
            </c:numRef>
          </c:val>
          <c:extLst>
            <c:ext xmlns:c16="http://schemas.microsoft.com/office/drawing/2014/chart" uri="{C3380CC4-5D6E-409C-BE32-E72D297353CC}">
              <c16:uniqueId val="{0000000E-792E-4E41-B195-945EF2A82E76}"/>
            </c:ext>
          </c:extLst>
        </c:ser>
        <c:dLbls>
          <c:showLegendKey val="0"/>
          <c:showVal val="0"/>
          <c:showCatName val="0"/>
          <c:showSerName val="0"/>
          <c:showPercent val="0"/>
          <c:showBubbleSize val="0"/>
        </c:dLbls>
        <c:gapWidth val="150"/>
        <c:shape val="box"/>
        <c:axId val="262121984"/>
        <c:axId val="282464768"/>
        <c:axId val="0"/>
      </c:bar3DChart>
      <c:catAx>
        <c:axId val="262121984"/>
        <c:scaling>
          <c:orientation val="minMax"/>
        </c:scaling>
        <c:delete val="0"/>
        <c:axPos val="b"/>
        <c:numFmt formatCode="General" sourceLinked="0"/>
        <c:majorTickMark val="out"/>
        <c:minorTickMark val="none"/>
        <c:tickLblPos val="nextTo"/>
        <c:txPr>
          <a:bodyPr/>
          <a:lstStyle/>
          <a:p>
            <a:pPr>
              <a:defRPr sz="900" baseline="0"/>
            </a:pPr>
            <a:endParaRPr lang="sr-Latn-RS"/>
          </a:p>
        </c:txPr>
        <c:crossAx val="282464768"/>
        <c:crosses val="autoZero"/>
        <c:auto val="1"/>
        <c:lblAlgn val="ctr"/>
        <c:lblOffset val="100"/>
        <c:noMultiLvlLbl val="0"/>
      </c:catAx>
      <c:valAx>
        <c:axId val="282464768"/>
        <c:scaling>
          <c:orientation val="minMax"/>
        </c:scaling>
        <c:delete val="0"/>
        <c:axPos val="l"/>
        <c:majorGridlines/>
        <c:title>
          <c:tx>
            <c:rich>
              <a:bodyPr/>
              <a:lstStyle/>
              <a:p>
                <a:pPr>
                  <a:defRPr sz="800"/>
                </a:pPr>
                <a:r>
                  <a:rPr lang="hr-HR" sz="800"/>
                  <a:t>Emisija</a:t>
                </a:r>
                <a:r>
                  <a:rPr lang="hr-HR" sz="800" baseline="0"/>
                  <a:t> t CO</a:t>
                </a:r>
                <a:r>
                  <a:rPr lang="hr-HR" sz="800" baseline="-25000"/>
                  <a:t>2</a:t>
                </a:r>
              </a:p>
            </c:rich>
          </c:tx>
          <c:overlay val="0"/>
        </c:title>
        <c:numFmt formatCode="#,##0.00" sourceLinked="1"/>
        <c:majorTickMark val="out"/>
        <c:minorTickMark val="none"/>
        <c:tickLblPos val="nextTo"/>
        <c:crossAx val="262121984"/>
        <c:crosses val="autoZero"/>
        <c:crossBetween val="between"/>
      </c:valAx>
    </c:plotArea>
    <c:legend>
      <c:legendPos val="r"/>
      <c:legendEntry>
        <c:idx val="0"/>
        <c:delete val="1"/>
      </c:legendEntry>
      <c:legendEntry>
        <c:idx val="2"/>
        <c:delete val="1"/>
      </c:legendEntry>
      <c:legendEntry>
        <c:idx val="7"/>
        <c:delete val="1"/>
      </c:legendEntry>
      <c:layout>
        <c:manualLayout>
          <c:xMode val="edge"/>
          <c:yMode val="edge"/>
          <c:x val="0.79778280190223749"/>
          <c:y val="5.1357007526377077E-2"/>
          <c:w val="0.20027902014689591"/>
          <c:h val="0.90497232849378595"/>
        </c:manualLayout>
      </c:layout>
      <c:overlay val="0"/>
      <c:txPr>
        <a:bodyPr/>
        <a:lstStyle/>
        <a:p>
          <a:pPr>
            <a:defRPr sz="800"/>
          </a:pPr>
          <a:endParaRPr lang="sr-Latn-RS"/>
        </a:p>
      </c:txPr>
    </c:legend>
    <c:plotVisOnly val="1"/>
    <c:dispBlanksAs val="gap"/>
    <c:showDLblsOverMax val="0"/>
  </c:chart>
  <c:spPr>
    <a:ln>
      <a:noFill/>
    </a:ln>
  </c:sp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'[Usporedba.xlsx]ukupan inventar'!$I$20</c:f>
              <c:strCache>
                <c:ptCount val="1"/>
                <c:pt idx="0">
                  <c:v>Dizel</c:v>
                </c:pt>
              </c:strCache>
            </c:strRef>
          </c:tx>
          <c:invertIfNegative val="0"/>
          <c:cat>
            <c:strRef>
              <c:f>'[Usporedba.xlsx]ukupan inventar'!$J$19:$L$19</c:f>
              <c:strCache>
                <c:ptCount val="3"/>
                <c:pt idx="0">
                  <c:v>Promet</c:v>
                </c:pt>
                <c:pt idx="1">
                  <c:v>Javna rasvjeta</c:v>
                </c:pt>
                <c:pt idx="2">
                  <c:v>Zgradarstvo</c:v>
                </c:pt>
              </c:strCache>
            </c:strRef>
          </c:cat>
          <c:val>
            <c:numRef>
              <c:f>'[Usporedba.xlsx]ukupan inventar'!$J$20:$L$20</c:f>
              <c:numCache>
                <c:formatCode>General</c:formatCode>
                <c:ptCount val="3"/>
                <c:pt idx="0" formatCode="#,##0.00">
                  <c:v>558037.30000000005</c:v>
                </c:pt>
              </c:numCache>
            </c:numRef>
          </c:val>
          <c:extLst>
            <c:ext xmlns:c16="http://schemas.microsoft.com/office/drawing/2014/chart" uri="{C3380CC4-5D6E-409C-BE32-E72D297353CC}">
              <c16:uniqueId val="{00000000-0EDE-4A28-82D0-D6DF2E8240AD}"/>
            </c:ext>
          </c:extLst>
        </c:ser>
        <c:ser>
          <c:idx val="1"/>
          <c:order val="1"/>
          <c:tx>
            <c:strRef>
              <c:f>'[Usporedba.xlsx]ukupan inventar'!$I$21</c:f>
              <c:strCache>
                <c:ptCount val="1"/>
                <c:pt idx="0">
                  <c:v>Motorni benzin</c:v>
                </c:pt>
              </c:strCache>
            </c:strRef>
          </c:tx>
          <c:invertIfNegative val="0"/>
          <c:cat>
            <c:strRef>
              <c:f>'[Usporedba.xlsx]ukupan inventar'!$J$19:$L$19</c:f>
              <c:strCache>
                <c:ptCount val="3"/>
                <c:pt idx="0">
                  <c:v>Promet</c:v>
                </c:pt>
                <c:pt idx="1">
                  <c:v>Javna rasvjeta</c:v>
                </c:pt>
                <c:pt idx="2">
                  <c:v>Zgradarstvo</c:v>
                </c:pt>
              </c:strCache>
            </c:strRef>
          </c:cat>
          <c:val>
            <c:numRef>
              <c:f>'[Usporedba.xlsx]ukupan inventar'!$J$21:$L$21</c:f>
              <c:numCache>
                <c:formatCode>General</c:formatCode>
                <c:ptCount val="3"/>
                <c:pt idx="0" formatCode="#,##0.00">
                  <c:v>417817.8</c:v>
                </c:pt>
              </c:numCache>
            </c:numRef>
          </c:val>
          <c:extLst>
            <c:ext xmlns:c16="http://schemas.microsoft.com/office/drawing/2014/chart" uri="{C3380CC4-5D6E-409C-BE32-E72D297353CC}">
              <c16:uniqueId val="{00000001-0EDE-4A28-82D0-D6DF2E8240AD}"/>
            </c:ext>
          </c:extLst>
        </c:ser>
        <c:ser>
          <c:idx val="2"/>
          <c:order val="2"/>
          <c:tx>
            <c:strRef>
              <c:f>'[Usporedba.xlsx]ukupan inventar'!$I$22</c:f>
              <c:strCache>
                <c:ptCount val="1"/>
                <c:pt idx="0">
                  <c:v>LPG</c:v>
                </c:pt>
              </c:strCache>
            </c:strRef>
          </c:tx>
          <c:invertIfNegative val="0"/>
          <c:cat>
            <c:strRef>
              <c:f>'[Usporedba.xlsx]ukupan inventar'!$J$19:$L$19</c:f>
              <c:strCache>
                <c:ptCount val="3"/>
                <c:pt idx="0">
                  <c:v>Promet</c:v>
                </c:pt>
                <c:pt idx="1">
                  <c:v>Javna rasvjeta</c:v>
                </c:pt>
                <c:pt idx="2">
                  <c:v>Zgradarstvo</c:v>
                </c:pt>
              </c:strCache>
            </c:strRef>
          </c:cat>
          <c:val>
            <c:numRef>
              <c:f>'[Usporedba.xlsx]ukupan inventar'!$J$22:$L$22</c:f>
              <c:numCache>
                <c:formatCode>General</c:formatCode>
                <c:ptCount val="3"/>
                <c:pt idx="0" formatCode="#,##0.00">
                  <c:v>6688.7</c:v>
                </c:pt>
                <c:pt idx="2" formatCode="#,##0.00">
                  <c:v>58.8</c:v>
                </c:pt>
              </c:numCache>
            </c:numRef>
          </c:val>
          <c:extLst>
            <c:ext xmlns:c16="http://schemas.microsoft.com/office/drawing/2014/chart" uri="{C3380CC4-5D6E-409C-BE32-E72D297353CC}">
              <c16:uniqueId val="{00000002-0EDE-4A28-82D0-D6DF2E8240AD}"/>
            </c:ext>
          </c:extLst>
        </c:ser>
        <c:ser>
          <c:idx val="3"/>
          <c:order val="3"/>
          <c:tx>
            <c:strRef>
              <c:f>'[Usporedba.xlsx]ukupan inventar'!$I$23</c:f>
              <c:strCache>
                <c:ptCount val="1"/>
                <c:pt idx="0">
                  <c:v>SPP</c:v>
                </c:pt>
              </c:strCache>
            </c:strRef>
          </c:tx>
          <c:invertIfNegative val="0"/>
          <c:cat>
            <c:strRef>
              <c:f>'[Usporedba.xlsx]ukupan inventar'!$J$19:$L$19</c:f>
              <c:strCache>
                <c:ptCount val="3"/>
                <c:pt idx="0">
                  <c:v>Promet</c:v>
                </c:pt>
                <c:pt idx="1">
                  <c:v>Javna rasvjeta</c:v>
                </c:pt>
                <c:pt idx="2">
                  <c:v>Zgradarstvo</c:v>
                </c:pt>
              </c:strCache>
            </c:strRef>
          </c:cat>
          <c:val>
            <c:numRef>
              <c:f>'[Usporedba.xlsx]ukupan inventar'!$J$23:$L$23</c:f>
              <c:numCache>
                <c:formatCode>General</c:formatCode>
                <c:ptCount val="3"/>
              </c:numCache>
            </c:numRef>
          </c:val>
          <c:extLst>
            <c:ext xmlns:c16="http://schemas.microsoft.com/office/drawing/2014/chart" uri="{C3380CC4-5D6E-409C-BE32-E72D297353CC}">
              <c16:uniqueId val="{00000003-0EDE-4A28-82D0-D6DF2E8240AD}"/>
            </c:ext>
          </c:extLst>
        </c:ser>
        <c:ser>
          <c:idx val="4"/>
          <c:order val="4"/>
          <c:tx>
            <c:strRef>
              <c:f>'[Usporedba.xlsx]ukupan inventar'!$I$24</c:f>
              <c:strCache>
                <c:ptCount val="1"/>
                <c:pt idx="0">
                  <c:v>Električna energija</c:v>
                </c:pt>
              </c:strCache>
            </c:strRef>
          </c:tx>
          <c:invertIfNegative val="0"/>
          <c:cat>
            <c:strRef>
              <c:f>'[Usporedba.xlsx]ukupan inventar'!$J$19:$L$19</c:f>
              <c:strCache>
                <c:ptCount val="3"/>
                <c:pt idx="0">
                  <c:v>Promet</c:v>
                </c:pt>
                <c:pt idx="1">
                  <c:v>Javna rasvjeta</c:v>
                </c:pt>
                <c:pt idx="2">
                  <c:v>Zgradarstvo</c:v>
                </c:pt>
              </c:strCache>
            </c:strRef>
          </c:cat>
          <c:val>
            <c:numRef>
              <c:f>'[Usporedba.xlsx]ukupan inventar'!$J$24:$L$24</c:f>
              <c:numCache>
                <c:formatCode>#,##0.00</c:formatCode>
                <c:ptCount val="3"/>
                <c:pt idx="0">
                  <c:v>22474</c:v>
                </c:pt>
                <c:pt idx="1">
                  <c:v>29102.3</c:v>
                </c:pt>
                <c:pt idx="2">
                  <c:v>559132</c:v>
                </c:pt>
              </c:numCache>
            </c:numRef>
          </c:val>
          <c:extLst>
            <c:ext xmlns:c16="http://schemas.microsoft.com/office/drawing/2014/chart" uri="{C3380CC4-5D6E-409C-BE32-E72D297353CC}">
              <c16:uniqueId val="{00000004-0EDE-4A28-82D0-D6DF2E8240AD}"/>
            </c:ext>
          </c:extLst>
        </c:ser>
        <c:ser>
          <c:idx val="5"/>
          <c:order val="5"/>
          <c:tx>
            <c:strRef>
              <c:f>'[Usporedba.xlsx]ukupan inventar'!$I$25</c:f>
              <c:strCache>
                <c:ptCount val="1"/>
                <c:pt idx="0">
                  <c:v>Lož ulje</c:v>
                </c:pt>
              </c:strCache>
            </c:strRef>
          </c:tx>
          <c:invertIfNegative val="0"/>
          <c:cat>
            <c:strRef>
              <c:f>'[Usporedba.xlsx]ukupan inventar'!$J$19:$L$19</c:f>
              <c:strCache>
                <c:ptCount val="3"/>
                <c:pt idx="0">
                  <c:v>Promet</c:v>
                </c:pt>
                <c:pt idx="1">
                  <c:v>Javna rasvjeta</c:v>
                </c:pt>
                <c:pt idx="2">
                  <c:v>Zgradarstvo</c:v>
                </c:pt>
              </c:strCache>
            </c:strRef>
          </c:cat>
          <c:val>
            <c:numRef>
              <c:f>'[Usporedba.xlsx]ukupan inventar'!$J$25:$L$25</c:f>
              <c:numCache>
                <c:formatCode>General</c:formatCode>
                <c:ptCount val="3"/>
                <c:pt idx="2" formatCode="#,##0.00">
                  <c:v>99316.3</c:v>
                </c:pt>
              </c:numCache>
            </c:numRef>
          </c:val>
          <c:extLst>
            <c:ext xmlns:c16="http://schemas.microsoft.com/office/drawing/2014/chart" uri="{C3380CC4-5D6E-409C-BE32-E72D297353CC}">
              <c16:uniqueId val="{00000005-0EDE-4A28-82D0-D6DF2E8240AD}"/>
            </c:ext>
          </c:extLst>
        </c:ser>
        <c:ser>
          <c:idx val="6"/>
          <c:order val="6"/>
          <c:tx>
            <c:strRef>
              <c:f>'[Usporedba.xlsx]ukupan inventar'!$I$26</c:f>
              <c:strCache>
                <c:ptCount val="1"/>
                <c:pt idx="0">
                  <c:v>Prirodni plin</c:v>
                </c:pt>
              </c:strCache>
            </c:strRef>
          </c:tx>
          <c:spPr>
            <a:solidFill>
              <a:schemeClr val="accent1"/>
            </a:solidFill>
          </c:spPr>
          <c:invertIfNegative val="0"/>
          <c:cat>
            <c:strRef>
              <c:f>'[Usporedba.xlsx]ukupan inventar'!$J$19:$L$19</c:f>
              <c:strCache>
                <c:ptCount val="3"/>
                <c:pt idx="0">
                  <c:v>Promet</c:v>
                </c:pt>
                <c:pt idx="1">
                  <c:v>Javna rasvjeta</c:v>
                </c:pt>
                <c:pt idx="2">
                  <c:v>Zgradarstvo</c:v>
                </c:pt>
              </c:strCache>
            </c:strRef>
          </c:cat>
          <c:val>
            <c:numRef>
              <c:f>'[Usporedba.xlsx]ukupan inventar'!$J$26:$L$26</c:f>
              <c:numCache>
                <c:formatCode>#,##0.00</c:formatCode>
                <c:ptCount val="3"/>
                <c:pt idx="0">
                  <c:v>90.1</c:v>
                </c:pt>
                <c:pt idx="1">
                  <c:v>71.8</c:v>
                </c:pt>
                <c:pt idx="2">
                  <c:v>634876.6</c:v>
                </c:pt>
              </c:numCache>
            </c:numRef>
          </c:val>
          <c:extLst>
            <c:ext xmlns:c16="http://schemas.microsoft.com/office/drawing/2014/chart" uri="{C3380CC4-5D6E-409C-BE32-E72D297353CC}">
              <c16:uniqueId val="{00000006-0EDE-4A28-82D0-D6DF2E8240AD}"/>
            </c:ext>
          </c:extLst>
        </c:ser>
        <c:ser>
          <c:idx val="7"/>
          <c:order val="7"/>
          <c:tx>
            <c:strRef>
              <c:f>'[Usporedba.xlsx]ukupan inventar'!$I$27</c:f>
              <c:strCache>
                <c:ptCount val="1"/>
                <c:pt idx="0">
                  <c:v>Toplana</c:v>
                </c:pt>
              </c:strCache>
            </c:strRef>
          </c:tx>
          <c:spPr>
            <a:solidFill>
              <a:schemeClr val="accent2"/>
            </a:solidFill>
            <a:ln>
              <a:noFill/>
            </a:ln>
          </c:spPr>
          <c:invertIfNegative val="0"/>
          <c:cat>
            <c:strRef>
              <c:f>'[Usporedba.xlsx]ukupan inventar'!$J$19:$L$19</c:f>
              <c:strCache>
                <c:ptCount val="3"/>
                <c:pt idx="0">
                  <c:v>Promet</c:v>
                </c:pt>
                <c:pt idx="1">
                  <c:v>Javna rasvjeta</c:v>
                </c:pt>
                <c:pt idx="2">
                  <c:v>Zgradarstvo</c:v>
                </c:pt>
              </c:strCache>
            </c:strRef>
          </c:cat>
          <c:val>
            <c:numRef>
              <c:f>'[Usporedba.xlsx]ukupan inventar'!$J$27:$L$27</c:f>
              <c:numCache>
                <c:formatCode>General</c:formatCode>
                <c:ptCount val="3"/>
                <c:pt idx="2" formatCode="#,##0.00">
                  <c:v>466137.1</c:v>
                </c:pt>
              </c:numCache>
            </c:numRef>
          </c:val>
          <c:extLst>
            <c:ext xmlns:c16="http://schemas.microsoft.com/office/drawing/2014/chart" uri="{C3380CC4-5D6E-409C-BE32-E72D297353CC}">
              <c16:uniqueId val="{00000007-0EDE-4A28-82D0-D6DF2E8240AD}"/>
            </c:ext>
          </c:extLst>
        </c:ser>
        <c:dLbls>
          <c:showLegendKey val="0"/>
          <c:showVal val="0"/>
          <c:showCatName val="0"/>
          <c:showSerName val="0"/>
          <c:showPercent val="0"/>
          <c:showBubbleSize val="0"/>
        </c:dLbls>
        <c:gapWidth val="150"/>
        <c:shape val="box"/>
        <c:axId val="262429696"/>
        <c:axId val="282467648"/>
        <c:axId val="0"/>
      </c:bar3DChart>
      <c:catAx>
        <c:axId val="262429696"/>
        <c:scaling>
          <c:orientation val="minMax"/>
        </c:scaling>
        <c:delete val="0"/>
        <c:axPos val="b"/>
        <c:numFmt formatCode="General" sourceLinked="0"/>
        <c:majorTickMark val="out"/>
        <c:minorTickMark val="none"/>
        <c:tickLblPos val="nextTo"/>
        <c:crossAx val="282467648"/>
        <c:crosses val="autoZero"/>
        <c:auto val="1"/>
        <c:lblAlgn val="ctr"/>
        <c:lblOffset val="100"/>
        <c:noMultiLvlLbl val="0"/>
      </c:catAx>
      <c:valAx>
        <c:axId val="282467648"/>
        <c:scaling>
          <c:orientation val="minMax"/>
        </c:scaling>
        <c:delete val="0"/>
        <c:axPos val="l"/>
        <c:majorGridlines/>
        <c:title>
          <c:tx>
            <c:rich>
              <a:bodyPr rot="-5400000" vert="horz"/>
              <a:lstStyle/>
              <a:p>
                <a:pPr>
                  <a:defRPr/>
                </a:pPr>
                <a:r>
                  <a:rPr lang="hr-HR"/>
                  <a:t>t</a:t>
                </a:r>
                <a:r>
                  <a:rPr lang="hr-HR" baseline="0"/>
                  <a:t> CO</a:t>
                </a:r>
                <a:r>
                  <a:rPr lang="hr-HR" baseline="-25000"/>
                  <a:t>2</a:t>
                </a:r>
              </a:p>
            </c:rich>
          </c:tx>
          <c:overlay val="0"/>
        </c:title>
        <c:numFmt formatCode="#,##0.00" sourceLinked="1"/>
        <c:majorTickMark val="out"/>
        <c:minorTickMark val="none"/>
        <c:tickLblPos val="nextTo"/>
        <c:crossAx val="262429696"/>
        <c:crosses val="autoZero"/>
        <c:crossBetween val="between"/>
      </c:valAx>
    </c:plotArea>
    <c:legend>
      <c:legendPos val="r"/>
      <c:legendEntry>
        <c:idx val="4"/>
        <c:delete val="1"/>
      </c:legendEntry>
      <c:layout>
        <c:manualLayout>
          <c:xMode val="edge"/>
          <c:yMode val="edge"/>
          <c:x val="0.83971611025257353"/>
          <c:y val="0.16366317764294372"/>
          <c:w val="0.16028386773074127"/>
          <c:h val="0.51044424486726958"/>
        </c:manualLayout>
      </c:layout>
      <c:overlay val="0"/>
      <c:txPr>
        <a:bodyPr/>
        <a:lstStyle/>
        <a:p>
          <a:pPr>
            <a:defRPr sz="800"/>
          </a:pPr>
          <a:endParaRPr lang="sr-Latn-RS"/>
        </a:p>
      </c:txPr>
    </c:legend>
    <c:plotVisOnly val="1"/>
    <c:dispBlanksAs val="gap"/>
    <c:showDLblsOverMax val="0"/>
  </c:chart>
  <c:spPr>
    <a:ln>
      <a:noFill/>
    </a:ln>
  </c:sp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'[Usporedba.xlsx]ukupan inventar'!$A$3</c:f>
              <c:strCache>
                <c:ptCount val="1"/>
                <c:pt idx="0">
                  <c:v>Dizel</c:v>
                </c:pt>
              </c:strCache>
            </c:strRef>
          </c:tx>
          <c:invertIfNegative val="0"/>
          <c:cat>
            <c:strRef>
              <c:f>'[Usporedba.xlsx]ukupan inventar'!$B$2:$D$2</c:f>
              <c:strCache>
                <c:ptCount val="3"/>
                <c:pt idx="0">
                  <c:v>Promet</c:v>
                </c:pt>
                <c:pt idx="1">
                  <c:v>Javna rasvjeta</c:v>
                </c:pt>
                <c:pt idx="2">
                  <c:v>Zgradarstvo</c:v>
                </c:pt>
              </c:strCache>
            </c:strRef>
          </c:cat>
          <c:val>
            <c:numRef>
              <c:f>'[Usporedba.xlsx]ukupan inventar'!$B$3:$D$3</c:f>
              <c:numCache>
                <c:formatCode>General</c:formatCode>
                <c:ptCount val="3"/>
                <c:pt idx="0" formatCode="#,##0.00">
                  <c:v>671042.61</c:v>
                </c:pt>
              </c:numCache>
            </c:numRef>
          </c:val>
          <c:extLst>
            <c:ext xmlns:c16="http://schemas.microsoft.com/office/drawing/2014/chart" uri="{C3380CC4-5D6E-409C-BE32-E72D297353CC}">
              <c16:uniqueId val="{00000000-039D-4CA8-96EE-7BA42D12E1BE}"/>
            </c:ext>
          </c:extLst>
        </c:ser>
        <c:ser>
          <c:idx val="1"/>
          <c:order val="1"/>
          <c:tx>
            <c:strRef>
              <c:f>'[Usporedba.xlsx]ukupan inventar'!$A$4</c:f>
              <c:strCache>
                <c:ptCount val="1"/>
                <c:pt idx="0">
                  <c:v>Motorni benzin</c:v>
                </c:pt>
              </c:strCache>
            </c:strRef>
          </c:tx>
          <c:invertIfNegative val="0"/>
          <c:cat>
            <c:strRef>
              <c:f>'[Usporedba.xlsx]ukupan inventar'!$B$2:$D$2</c:f>
              <c:strCache>
                <c:ptCount val="3"/>
                <c:pt idx="0">
                  <c:v>Promet</c:v>
                </c:pt>
                <c:pt idx="1">
                  <c:v>Javna rasvjeta</c:v>
                </c:pt>
                <c:pt idx="2">
                  <c:v>Zgradarstvo</c:v>
                </c:pt>
              </c:strCache>
            </c:strRef>
          </c:cat>
          <c:val>
            <c:numRef>
              <c:f>'[Usporedba.xlsx]ukupan inventar'!$B$4:$D$4</c:f>
              <c:numCache>
                <c:formatCode>General</c:formatCode>
                <c:ptCount val="3"/>
                <c:pt idx="0" formatCode="#,##0.00">
                  <c:v>372278.01</c:v>
                </c:pt>
              </c:numCache>
            </c:numRef>
          </c:val>
          <c:extLst>
            <c:ext xmlns:c16="http://schemas.microsoft.com/office/drawing/2014/chart" uri="{C3380CC4-5D6E-409C-BE32-E72D297353CC}">
              <c16:uniqueId val="{00000001-039D-4CA8-96EE-7BA42D12E1BE}"/>
            </c:ext>
          </c:extLst>
        </c:ser>
        <c:ser>
          <c:idx val="2"/>
          <c:order val="2"/>
          <c:tx>
            <c:strRef>
              <c:f>'[Usporedba.xlsx]ukupan inventar'!$A$5</c:f>
              <c:strCache>
                <c:ptCount val="1"/>
                <c:pt idx="0">
                  <c:v>LPG</c:v>
                </c:pt>
              </c:strCache>
            </c:strRef>
          </c:tx>
          <c:invertIfNegative val="0"/>
          <c:cat>
            <c:strRef>
              <c:f>'[Usporedba.xlsx]ukupan inventar'!$B$2:$D$2</c:f>
              <c:strCache>
                <c:ptCount val="3"/>
                <c:pt idx="0">
                  <c:v>Promet</c:v>
                </c:pt>
                <c:pt idx="1">
                  <c:v>Javna rasvjeta</c:v>
                </c:pt>
                <c:pt idx="2">
                  <c:v>Zgradarstvo</c:v>
                </c:pt>
              </c:strCache>
            </c:strRef>
          </c:cat>
          <c:val>
            <c:numRef>
              <c:f>'[Usporedba.xlsx]ukupan inventar'!$B$5:$D$5</c:f>
              <c:numCache>
                <c:formatCode>General</c:formatCode>
                <c:ptCount val="3"/>
                <c:pt idx="0" formatCode="#,##0.00">
                  <c:v>28042.65</c:v>
                </c:pt>
                <c:pt idx="2" formatCode="#,##0.00">
                  <c:v>16507.984436800001</c:v>
                </c:pt>
              </c:numCache>
            </c:numRef>
          </c:val>
          <c:extLst>
            <c:ext xmlns:c16="http://schemas.microsoft.com/office/drawing/2014/chart" uri="{C3380CC4-5D6E-409C-BE32-E72D297353CC}">
              <c16:uniqueId val="{00000002-039D-4CA8-96EE-7BA42D12E1BE}"/>
            </c:ext>
          </c:extLst>
        </c:ser>
        <c:ser>
          <c:idx val="3"/>
          <c:order val="3"/>
          <c:tx>
            <c:strRef>
              <c:f>'[Usporedba.xlsx]ukupan inventar'!$A$6</c:f>
              <c:strCache>
                <c:ptCount val="1"/>
                <c:pt idx="0">
                  <c:v>SPP</c:v>
                </c:pt>
              </c:strCache>
            </c:strRef>
          </c:tx>
          <c:invertIfNegative val="0"/>
          <c:cat>
            <c:strRef>
              <c:f>'[Usporedba.xlsx]ukupan inventar'!$B$2:$D$2</c:f>
              <c:strCache>
                <c:ptCount val="3"/>
                <c:pt idx="0">
                  <c:v>Promet</c:v>
                </c:pt>
                <c:pt idx="1">
                  <c:v>Javna rasvjeta</c:v>
                </c:pt>
                <c:pt idx="2">
                  <c:v>Zgradarstvo</c:v>
                </c:pt>
              </c:strCache>
            </c:strRef>
          </c:cat>
          <c:val>
            <c:numRef>
              <c:f>'[Usporedba.xlsx]ukupan inventar'!$B$6:$D$6</c:f>
              <c:numCache>
                <c:formatCode>General</c:formatCode>
                <c:ptCount val="3"/>
                <c:pt idx="0" formatCode="#,##0.00">
                  <c:v>6165.62</c:v>
                </c:pt>
              </c:numCache>
            </c:numRef>
          </c:val>
          <c:extLst>
            <c:ext xmlns:c16="http://schemas.microsoft.com/office/drawing/2014/chart" uri="{C3380CC4-5D6E-409C-BE32-E72D297353CC}">
              <c16:uniqueId val="{00000003-039D-4CA8-96EE-7BA42D12E1BE}"/>
            </c:ext>
          </c:extLst>
        </c:ser>
        <c:ser>
          <c:idx val="4"/>
          <c:order val="4"/>
          <c:tx>
            <c:strRef>
              <c:f>'[Usporedba.xlsx]ukupan inventar'!$A$7</c:f>
              <c:strCache>
                <c:ptCount val="1"/>
                <c:pt idx="0">
                  <c:v>Električna energija</c:v>
                </c:pt>
              </c:strCache>
            </c:strRef>
          </c:tx>
          <c:invertIfNegative val="0"/>
          <c:cat>
            <c:strRef>
              <c:f>'[Usporedba.xlsx]ukupan inventar'!$B$2:$D$2</c:f>
              <c:strCache>
                <c:ptCount val="3"/>
                <c:pt idx="0">
                  <c:v>Promet</c:v>
                </c:pt>
                <c:pt idx="1">
                  <c:v>Javna rasvjeta</c:v>
                </c:pt>
                <c:pt idx="2">
                  <c:v>Zgradarstvo</c:v>
                </c:pt>
              </c:strCache>
            </c:strRef>
          </c:cat>
          <c:val>
            <c:numRef>
              <c:f>'[Usporedba.xlsx]ukupan inventar'!$B$7:$D$7</c:f>
              <c:numCache>
                <c:formatCode>#,##0.00</c:formatCode>
                <c:ptCount val="3"/>
                <c:pt idx="0">
                  <c:v>23426.05</c:v>
                </c:pt>
                <c:pt idx="1">
                  <c:v>26827.02</c:v>
                </c:pt>
                <c:pt idx="2">
                  <c:v>659933.17634640005</c:v>
                </c:pt>
              </c:numCache>
            </c:numRef>
          </c:val>
          <c:extLst>
            <c:ext xmlns:c16="http://schemas.microsoft.com/office/drawing/2014/chart" uri="{C3380CC4-5D6E-409C-BE32-E72D297353CC}">
              <c16:uniqueId val="{00000004-039D-4CA8-96EE-7BA42D12E1BE}"/>
            </c:ext>
          </c:extLst>
        </c:ser>
        <c:ser>
          <c:idx val="5"/>
          <c:order val="5"/>
          <c:tx>
            <c:strRef>
              <c:f>'[Usporedba.xlsx]ukupan inventar'!$A$8</c:f>
              <c:strCache>
                <c:ptCount val="1"/>
                <c:pt idx="0">
                  <c:v>Lož ulje</c:v>
                </c:pt>
              </c:strCache>
            </c:strRef>
          </c:tx>
          <c:invertIfNegative val="0"/>
          <c:cat>
            <c:strRef>
              <c:f>'[Usporedba.xlsx]ukupan inventar'!$B$2:$D$2</c:f>
              <c:strCache>
                <c:ptCount val="3"/>
                <c:pt idx="0">
                  <c:v>Promet</c:v>
                </c:pt>
                <c:pt idx="1">
                  <c:v>Javna rasvjeta</c:v>
                </c:pt>
                <c:pt idx="2">
                  <c:v>Zgradarstvo</c:v>
                </c:pt>
              </c:strCache>
            </c:strRef>
          </c:cat>
          <c:val>
            <c:numRef>
              <c:f>'[Usporedba.xlsx]ukupan inventar'!$B$8:$D$8</c:f>
              <c:numCache>
                <c:formatCode>General</c:formatCode>
                <c:ptCount val="3"/>
                <c:pt idx="2" formatCode="#,##0.00">
                  <c:v>62517.267578220002</c:v>
                </c:pt>
              </c:numCache>
            </c:numRef>
          </c:val>
          <c:extLst>
            <c:ext xmlns:c16="http://schemas.microsoft.com/office/drawing/2014/chart" uri="{C3380CC4-5D6E-409C-BE32-E72D297353CC}">
              <c16:uniqueId val="{00000005-039D-4CA8-96EE-7BA42D12E1BE}"/>
            </c:ext>
          </c:extLst>
        </c:ser>
        <c:ser>
          <c:idx val="6"/>
          <c:order val="6"/>
          <c:tx>
            <c:strRef>
              <c:f>'[Usporedba.xlsx]ukupan inventar'!$A$9</c:f>
              <c:strCache>
                <c:ptCount val="1"/>
                <c:pt idx="0">
                  <c:v>Prirodni plin</c:v>
                </c:pt>
              </c:strCache>
            </c:strRef>
          </c:tx>
          <c:invertIfNegative val="0"/>
          <c:cat>
            <c:strRef>
              <c:f>'[Usporedba.xlsx]ukupan inventar'!$B$2:$D$2</c:f>
              <c:strCache>
                <c:ptCount val="3"/>
                <c:pt idx="0">
                  <c:v>Promet</c:v>
                </c:pt>
                <c:pt idx="1">
                  <c:v>Javna rasvjeta</c:v>
                </c:pt>
                <c:pt idx="2">
                  <c:v>Zgradarstvo</c:v>
                </c:pt>
              </c:strCache>
            </c:strRef>
          </c:cat>
          <c:val>
            <c:numRef>
              <c:f>'[Usporedba.xlsx]ukupan inventar'!$B$9:$D$9</c:f>
              <c:numCache>
                <c:formatCode>#,##0.00</c:formatCode>
                <c:ptCount val="3"/>
                <c:pt idx="1">
                  <c:v>584.82187304784316</c:v>
                </c:pt>
                <c:pt idx="2">
                  <c:v>614076.17993760004</c:v>
                </c:pt>
              </c:numCache>
            </c:numRef>
          </c:val>
          <c:extLst>
            <c:ext xmlns:c16="http://schemas.microsoft.com/office/drawing/2014/chart" uri="{C3380CC4-5D6E-409C-BE32-E72D297353CC}">
              <c16:uniqueId val="{00000006-039D-4CA8-96EE-7BA42D12E1BE}"/>
            </c:ext>
          </c:extLst>
        </c:ser>
        <c:ser>
          <c:idx val="7"/>
          <c:order val="7"/>
          <c:tx>
            <c:strRef>
              <c:f>'[Usporedba.xlsx]ukupan inventar'!$A$10</c:f>
              <c:strCache>
                <c:ptCount val="1"/>
                <c:pt idx="0">
                  <c:v>Toplana</c:v>
                </c:pt>
              </c:strCache>
            </c:strRef>
          </c:tx>
          <c:invertIfNegative val="0"/>
          <c:cat>
            <c:strRef>
              <c:f>'[Usporedba.xlsx]ukupan inventar'!$B$2:$D$2</c:f>
              <c:strCache>
                <c:ptCount val="3"/>
                <c:pt idx="0">
                  <c:v>Promet</c:v>
                </c:pt>
                <c:pt idx="1">
                  <c:v>Javna rasvjeta</c:v>
                </c:pt>
                <c:pt idx="2">
                  <c:v>Zgradarstvo</c:v>
                </c:pt>
              </c:strCache>
            </c:strRef>
          </c:cat>
          <c:val>
            <c:numRef>
              <c:f>'[Usporedba.xlsx]ukupan inventar'!$B$10:$D$10</c:f>
              <c:numCache>
                <c:formatCode>General</c:formatCode>
                <c:ptCount val="3"/>
                <c:pt idx="2" formatCode="#,##0.00">
                  <c:v>446248.58831460006</c:v>
                </c:pt>
              </c:numCache>
            </c:numRef>
          </c:val>
          <c:extLst>
            <c:ext xmlns:c16="http://schemas.microsoft.com/office/drawing/2014/chart" uri="{C3380CC4-5D6E-409C-BE32-E72D297353CC}">
              <c16:uniqueId val="{00000007-039D-4CA8-96EE-7BA42D12E1BE}"/>
            </c:ext>
          </c:extLst>
        </c:ser>
        <c:ser>
          <c:idx val="8"/>
          <c:order val="8"/>
          <c:tx>
            <c:strRef>
              <c:f>'[Usporedba.xlsx]ukupan inventar'!$A$11</c:f>
              <c:strCache>
                <c:ptCount val="1"/>
                <c:pt idx="0">
                  <c:v>Plinske boce</c:v>
                </c:pt>
              </c:strCache>
            </c:strRef>
          </c:tx>
          <c:invertIfNegative val="0"/>
          <c:cat>
            <c:strRef>
              <c:f>'[Usporedba.xlsx]ukupan inventar'!$B$2:$D$2</c:f>
              <c:strCache>
                <c:ptCount val="3"/>
                <c:pt idx="0">
                  <c:v>Promet</c:v>
                </c:pt>
                <c:pt idx="1">
                  <c:v>Javna rasvjeta</c:v>
                </c:pt>
                <c:pt idx="2">
                  <c:v>Zgradarstvo</c:v>
                </c:pt>
              </c:strCache>
            </c:strRef>
          </c:cat>
          <c:val>
            <c:numRef>
              <c:f>'[Usporedba.xlsx]ukupan inventar'!$B$11:$D$11</c:f>
              <c:numCache>
                <c:formatCode>General</c:formatCode>
                <c:ptCount val="3"/>
                <c:pt idx="2" formatCode="#,##0.00">
                  <c:v>1658.7331000000001</c:v>
                </c:pt>
              </c:numCache>
            </c:numRef>
          </c:val>
          <c:extLst>
            <c:ext xmlns:c16="http://schemas.microsoft.com/office/drawing/2014/chart" uri="{C3380CC4-5D6E-409C-BE32-E72D297353CC}">
              <c16:uniqueId val="{00000008-039D-4CA8-96EE-7BA42D12E1BE}"/>
            </c:ext>
          </c:extLst>
        </c:ser>
        <c:ser>
          <c:idx val="9"/>
          <c:order val="9"/>
          <c:tx>
            <c:strRef>
              <c:f>'[Usporedba.xlsx]ukupan inventar'!$A$12</c:f>
              <c:strCache>
                <c:ptCount val="1"/>
                <c:pt idx="0">
                  <c:v>Mrki ugljen</c:v>
                </c:pt>
              </c:strCache>
            </c:strRef>
          </c:tx>
          <c:invertIfNegative val="0"/>
          <c:cat>
            <c:strRef>
              <c:f>'[Usporedba.xlsx]ukupan inventar'!$B$2:$D$2</c:f>
              <c:strCache>
                <c:ptCount val="3"/>
                <c:pt idx="0">
                  <c:v>Promet</c:v>
                </c:pt>
                <c:pt idx="1">
                  <c:v>Javna rasvjeta</c:v>
                </c:pt>
                <c:pt idx="2">
                  <c:v>Zgradarstvo</c:v>
                </c:pt>
              </c:strCache>
            </c:strRef>
          </c:cat>
          <c:val>
            <c:numRef>
              <c:f>'[Usporedba.xlsx]ukupan inventar'!$B$12:$D$12</c:f>
              <c:numCache>
                <c:formatCode>General</c:formatCode>
                <c:ptCount val="3"/>
                <c:pt idx="2" formatCode="#,##0.00">
                  <c:v>657.4</c:v>
                </c:pt>
              </c:numCache>
            </c:numRef>
          </c:val>
          <c:extLst>
            <c:ext xmlns:c16="http://schemas.microsoft.com/office/drawing/2014/chart" uri="{C3380CC4-5D6E-409C-BE32-E72D297353CC}">
              <c16:uniqueId val="{00000009-039D-4CA8-96EE-7BA42D12E1BE}"/>
            </c:ext>
          </c:extLst>
        </c:ser>
        <c:ser>
          <c:idx val="10"/>
          <c:order val="10"/>
          <c:tx>
            <c:strRef>
              <c:f>'[Usporedba.xlsx]ukupan inventar'!$A$13</c:f>
              <c:strCache>
                <c:ptCount val="1"/>
                <c:pt idx="0">
                  <c:v>Lignit</c:v>
                </c:pt>
              </c:strCache>
            </c:strRef>
          </c:tx>
          <c:invertIfNegative val="0"/>
          <c:cat>
            <c:strRef>
              <c:f>'[Usporedba.xlsx]ukupan inventar'!$B$2:$D$2</c:f>
              <c:strCache>
                <c:ptCount val="3"/>
                <c:pt idx="0">
                  <c:v>Promet</c:v>
                </c:pt>
                <c:pt idx="1">
                  <c:v>Javna rasvjeta</c:v>
                </c:pt>
                <c:pt idx="2">
                  <c:v>Zgradarstvo</c:v>
                </c:pt>
              </c:strCache>
            </c:strRef>
          </c:cat>
          <c:val>
            <c:numRef>
              <c:f>'[Usporedba.xlsx]ukupan inventar'!$B$13:$D$13</c:f>
              <c:numCache>
                <c:formatCode>General</c:formatCode>
                <c:ptCount val="3"/>
                <c:pt idx="2" formatCode="#,##0.00">
                  <c:v>436.79999999999995</c:v>
                </c:pt>
              </c:numCache>
            </c:numRef>
          </c:val>
          <c:extLst>
            <c:ext xmlns:c16="http://schemas.microsoft.com/office/drawing/2014/chart" uri="{C3380CC4-5D6E-409C-BE32-E72D297353CC}">
              <c16:uniqueId val="{0000000A-039D-4CA8-96EE-7BA42D12E1BE}"/>
            </c:ext>
          </c:extLst>
        </c:ser>
        <c:ser>
          <c:idx val="11"/>
          <c:order val="11"/>
          <c:tx>
            <c:strRef>
              <c:f>'[Usporedba.xlsx]ukupan inventar'!$A$13</c:f>
              <c:strCache>
                <c:ptCount val="1"/>
                <c:pt idx="0">
                  <c:v>Lignit</c:v>
                </c:pt>
              </c:strCache>
            </c:strRef>
          </c:tx>
          <c:invertIfNegative val="0"/>
          <c:cat>
            <c:strRef>
              <c:f>'[Usporedba.xlsx]ukupan inventar'!$B$2:$D$2</c:f>
              <c:strCache>
                <c:ptCount val="3"/>
                <c:pt idx="0">
                  <c:v>Promet</c:v>
                </c:pt>
                <c:pt idx="1">
                  <c:v>Javna rasvjeta</c:v>
                </c:pt>
                <c:pt idx="2">
                  <c:v>Zgradarstvo</c:v>
                </c:pt>
              </c:strCache>
            </c:strRef>
          </c:cat>
          <c:val>
            <c:numRef>
              <c:f>'[Usporedba.xlsx]ukupan inventar'!$B$13:$D$13</c:f>
              <c:numCache>
                <c:formatCode>General</c:formatCode>
                <c:ptCount val="3"/>
                <c:pt idx="2" formatCode="#,##0.00">
                  <c:v>436.79999999999995</c:v>
                </c:pt>
              </c:numCache>
            </c:numRef>
          </c:val>
          <c:extLst>
            <c:ext xmlns:c16="http://schemas.microsoft.com/office/drawing/2014/chart" uri="{C3380CC4-5D6E-409C-BE32-E72D297353CC}">
              <c16:uniqueId val="{0000000B-039D-4CA8-96EE-7BA42D12E1BE}"/>
            </c:ext>
          </c:extLst>
        </c:ser>
        <c:ser>
          <c:idx val="12"/>
          <c:order val="12"/>
          <c:tx>
            <c:strRef>
              <c:f>'[Usporedba.xlsx]ukupan inventar'!$A$14</c:f>
              <c:strCache>
                <c:ptCount val="1"/>
                <c:pt idx="0">
                  <c:v>Petrolej</c:v>
                </c:pt>
              </c:strCache>
            </c:strRef>
          </c:tx>
          <c:invertIfNegative val="0"/>
          <c:cat>
            <c:strRef>
              <c:f>'[Usporedba.xlsx]ukupan inventar'!$B$2:$D$2</c:f>
              <c:strCache>
                <c:ptCount val="3"/>
                <c:pt idx="0">
                  <c:v>Promet</c:v>
                </c:pt>
                <c:pt idx="1">
                  <c:v>Javna rasvjeta</c:v>
                </c:pt>
                <c:pt idx="2">
                  <c:v>Zgradarstvo</c:v>
                </c:pt>
              </c:strCache>
            </c:strRef>
          </c:cat>
          <c:val>
            <c:numRef>
              <c:f>'[Usporedba.xlsx]ukupan inventar'!$B$14:$D$14</c:f>
              <c:numCache>
                <c:formatCode>General</c:formatCode>
                <c:ptCount val="3"/>
                <c:pt idx="2" formatCode="#,##0.00">
                  <c:v>569.16949999999997</c:v>
                </c:pt>
              </c:numCache>
            </c:numRef>
          </c:val>
          <c:extLst>
            <c:ext xmlns:c16="http://schemas.microsoft.com/office/drawing/2014/chart" uri="{C3380CC4-5D6E-409C-BE32-E72D297353CC}">
              <c16:uniqueId val="{0000000C-039D-4CA8-96EE-7BA42D12E1BE}"/>
            </c:ext>
          </c:extLst>
        </c:ser>
        <c:dLbls>
          <c:showLegendKey val="0"/>
          <c:showVal val="0"/>
          <c:showCatName val="0"/>
          <c:showSerName val="0"/>
          <c:showPercent val="0"/>
          <c:showBubbleSize val="0"/>
        </c:dLbls>
        <c:gapWidth val="150"/>
        <c:shape val="box"/>
        <c:axId val="285198848"/>
        <c:axId val="282467072"/>
        <c:axId val="0"/>
      </c:bar3DChart>
      <c:catAx>
        <c:axId val="285198848"/>
        <c:scaling>
          <c:orientation val="minMax"/>
        </c:scaling>
        <c:delete val="0"/>
        <c:axPos val="b"/>
        <c:numFmt formatCode="General" sourceLinked="0"/>
        <c:majorTickMark val="out"/>
        <c:minorTickMark val="none"/>
        <c:tickLblPos val="nextTo"/>
        <c:crossAx val="282467072"/>
        <c:crosses val="autoZero"/>
        <c:auto val="1"/>
        <c:lblAlgn val="ctr"/>
        <c:lblOffset val="100"/>
        <c:noMultiLvlLbl val="0"/>
      </c:catAx>
      <c:valAx>
        <c:axId val="282467072"/>
        <c:scaling>
          <c:orientation val="minMax"/>
        </c:scaling>
        <c:delete val="0"/>
        <c:axPos val="l"/>
        <c:majorGridlines/>
        <c:title>
          <c:tx>
            <c:rich>
              <a:bodyPr rot="-5400000" vert="horz"/>
              <a:lstStyle/>
              <a:p>
                <a:pPr>
                  <a:defRPr/>
                </a:pPr>
                <a:r>
                  <a:rPr lang="hr-HR"/>
                  <a:t>t</a:t>
                </a:r>
                <a:r>
                  <a:rPr lang="hr-HR" baseline="0"/>
                  <a:t> CO</a:t>
                </a:r>
                <a:r>
                  <a:rPr lang="hr-HR" baseline="-25000"/>
                  <a:t>2</a:t>
                </a:r>
              </a:p>
            </c:rich>
          </c:tx>
          <c:overlay val="0"/>
        </c:title>
        <c:numFmt formatCode="#,##0.00" sourceLinked="1"/>
        <c:majorTickMark val="out"/>
        <c:minorTickMark val="none"/>
        <c:tickLblPos val="nextTo"/>
        <c:crossAx val="285198848"/>
        <c:crosses val="autoZero"/>
        <c:crossBetween val="between"/>
      </c:valAx>
    </c:plotArea>
    <c:legend>
      <c:legendPos val="r"/>
      <c:layout>
        <c:manualLayout>
          <c:xMode val="edge"/>
          <c:yMode val="edge"/>
          <c:x val="0.83971611025257353"/>
          <c:y val="0.16366317764294372"/>
          <c:w val="0.16028386773074127"/>
          <c:h val="0.81820860341779611"/>
        </c:manualLayout>
      </c:layout>
      <c:overlay val="0"/>
      <c:txPr>
        <a:bodyPr/>
        <a:lstStyle/>
        <a:p>
          <a:pPr>
            <a:defRPr sz="800"/>
          </a:pPr>
          <a:endParaRPr lang="sr-Latn-RS"/>
        </a:p>
      </c:txPr>
    </c:legend>
    <c:plotVisOnly val="1"/>
    <c:dispBlanksAs val="gap"/>
    <c:showDLblsOverMax val="0"/>
  </c:chart>
  <c:spPr>
    <a:ln>
      <a:noFill/>
    </a:ln>
  </c:sp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'[Usporedba.xlsx]ukupan inventar'!$A$20</c:f>
              <c:strCache>
                <c:ptCount val="1"/>
                <c:pt idx="0">
                  <c:v>Dizel</c:v>
                </c:pt>
              </c:strCache>
            </c:strRef>
          </c:tx>
          <c:invertIfNegative val="0"/>
          <c:cat>
            <c:strRef>
              <c:f>'[Usporedba.xlsx]ukupan inventar'!$B$18:$C$19</c:f>
              <c:strCache>
                <c:ptCount val="2"/>
                <c:pt idx="0">
                  <c:v>2008.</c:v>
                </c:pt>
                <c:pt idx="1">
                  <c:v>2015.</c:v>
                </c:pt>
              </c:strCache>
            </c:strRef>
          </c:cat>
          <c:val>
            <c:numRef>
              <c:f>'[Usporedba.xlsx]ukupan inventar'!$B$20:$C$20</c:f>
              <c:numCache>
                <c:formatCode>#,##0.00</c:formatCode>
                <c:ptCount val="2"/>
                <c:pt idx="0">
                  <c:v>558037.30000000005</c:v>
                </c:pt>
                <c:pt idx="1">
                  <c:v>671042.61</c:v>
                </c:pt>
              </c:numCache>
            </c:numRef>
          </c:val>
          <c:extLst>
            <c:ext xmlns:c16="http://schemas.microsoft.com/office/drawing/2014/chart" uri="{C3380CC4-5D6E-409C-BE32-E72D297353CC}">
              <c16:uniqueId val="{00000000-CCED-4714-8847-AC007ED43A91}"/>
            </c:ext>
          </c:extLst>
        </c:ser>
        <c:ser>
          <c:idx val="1"/>
          <c:order val="1"/>
          <c:tx>
            <c:strRef>
              <c:f>'[Usporedba.xlsx]ukupan inventar'!$A$21</c:f>
              <c:strCache>
                <c:ptCount val="1"/>
                <c:pt idx="0">
                  <c:v>Motorni benzin</c:v>
                </c:pt>
              </c:strCache>
            </c:strRef>
          </c:tx>
          <c:invertIfNegative val="0"/>
          <c:cat>
            <c:strRef>
              <c:f>'[Usporedba.xlsx]ukupan inventar'!$B$18:$C$19</c:f>
              <c:strCache>
                <c:ptCount val="2"/>
                <c:pt idx="0">
                  <c:v>2008.</c:v>
                </c:pt>
                <c:pt idx="1">
                  <c:v>2015.</c:v>
                </c:pt>
              </c:strCache>
            </c:strRef>
          </c:cat>
          <c:val>
            <c:numRef>
              <c:f>'[Usporedba.xlsx]ukupan inventar'!$B$21:$C$21</c:f>
              <c:numCache>
                <c:formatCode>#,##0.00</c:formatCode>
                <c:ptCount val="2"/>
                <c:pt idx="0">
                  <c:v>417817.8</c:v>
                </c:pt>
                <c:pt idx="1">
                  <c:v>372278.01</c:v>
                </c:pt>
              </c:numCache>
            </c:numRef>
          </c:val>
          <c:extLst>
            <c:ext xmlns:c16="http://schemas.microsoft.com/office/drawing/2014/chart" uri="{C3380CC4-5D6E-409C-BE32-E72D297353CC}">
              <c16:uniqueId val="{00000001-CCED-4714-8847-AC007ED43A91}"/>
            </c:ext>
          </c:extLst>
        </c:ser>
        <c:ser>
          <c:idx val="2"/>
          <c:order val="2"/>
          <c:tx>
            <c:strRef>
              <c:f>'[Usporedba.xlsx]ukupan inventar'!$A$22</c:f>
              <c:strCache>
                <c:ptCount val="1"/>
                <c:pt idx="0">
                  <c:v>UNP</c:v>
                </c:pt>
              </c:strCache>
            </c:strRef>
          </c:tx>
          <c:invertIfNegative val="0"/>
          <c:cat>
            <c:strRef>
              <c:f>'[Usporedba.xlsx]ukupan inventar'!$B$18:$C$19</c:f>
              <c:strCache>
                <c:ptCount val="2"/>
                <c:pt idx="0">
                  <c:v>2008.</c:v>
                </c:pt>
                <c:pt idx="1">
                  <c:v>2015.</c:v>
                </c:pt>
              </c:strCache>
            </c:strRef>
          </c:cat>
          <c:val>
            <c:numRef>
              <c:f>'[Usporedba.xlsx]ukupan inventar'!$B$22:$C$22</c:f>
              <c:numCache>
                <c:formatCode>#,##0.00</c:formatCode>
                <c:ptCount val="2"/>
                <c:pt idx="0">
                  <c:v>6747.5</c:v>
                </c:pt>
                <c:pt idx="1">
                  <c:v>46146.902114199998</c:v>
                </c:pt>
              </c:numCache>
            </c:numRef>
          </c:val>
          <c:extLst>
            <c:ext xmlns:c16="http://schemas.microsoft.com/office/drawing/2014/chart" uri="{C3380CC4-5D6E-409C-BE32-E72D297353CC}">
              <c16:uniqueId val="{00000002-CCED-4714-8847-AC007ED43A91}"/>
            </c:ext>
          </c:extLst>
        </c:ser>
        <c:ser>
          <c:idx val="3"/>
          <c:order val="3"/>
          <c:tx>
            <c:strRef>
              <c:f>'[Usporedba.xlsx]ukupan inventar'!$A$23</c:f>
              <c:strCache>
                <c:ptCount val="1"/>
                <c:pt idx="0">
                  <c:v>SPP</c:v>
                </c:pt>
              </c:strCache>
            </c:strRef>
          </c:tx>
          <c:invertIfNegative val="0"/>
          <c:cat>
            <c:strRef>
              <c:f>'[Usporedba.xlsx]ukupan inventar'!$B$18:$C$19</c:f>
              <c:strCache>
                <c:ptCount val="2"/>
                <c:pt idx="0">
                  <c:v>2008.</c:v>
                </c:pt>
                <c:pt idx="1">
                  <c:v>2015.</c:v>
                </c:pt>
              </c:strCache>
            </c:strRef>
          </c:cat>
          <c:val>
            <c:numRef>
              <c:f>'[Usporedba.xlsx]ukupan inventar'!$B$23:$C$23</c:f>
              <c:numCache>
                <c:formatCode>#,##0.00</c:formatCode>
                <c:ptCount val="2"/>
                <c:pt idx="1">
                  <c:v>6165.62</c:v>
                </c:pt>
              </c:numCache>
            </c:numRef>
          </c:val>
          <c:extLst>
            <c:ext xmlns:c16="http://schemas.microsoft.com/office/drawing/2014/chart" uri="{C3380CC4-5D6E-409C-BE32-E72D297353CC}">
              <c16:uniqueId val="{00000003-CCED-4714-8847-AC007ED43A91}"/>
            </c:ext>
          </c:extLst>
        </c:ser>
        <c:ser>
          <c:idx val="4"/>
          <c:order val="4"/>
          <c:tx>
            <c:strRef>
              <c:f>'[Usporedba.xlsx]ukupan inventar'!$A$24</c:f>
              <c:strCache>
                <c:ptCount val="1"/>
                <c:pt idx="0">
                  <c:v>Električna energija</c:v>
                </c:pt>
              </c:strCache>
            </c:strRef>
          </c:tx>
          <c:invertIfNegative val="0"/>
          <c:cat>
            <c:strRef>
              <c:f>'[Usporedba.xlsx]ukupan inventar'!$B$18:$C$19</c:f>
              <c:strCache>
                <c:ptCount val="2"/>
                <c:pt idx="0">
                  <c:v>2008.</c:v>
                </c:pt>
                <c:pt idx="1">
                  <c:v>2015.</c:v>
                </c:pt>
              </c:strCache>
            </c:strRef>
          </c:cat>
          <c:val>
            <c:numRef>
              <c:f>'[Usporedba.xlsx]ukupan inventar'!$B$24:$C$24</c:f>
              <c:numCache>
                <c:formatCode>#,##0.00</c:formatCode>
                <c:ptCount val="2"/>
                <c:pt idx="0">
                  <c:v>610708.30000000005</c:v>
                </c:pt>
                <c:pt idx="1">
                  <c:v>710788.75351209997</c:v>
                </c:pt>
              </c:numCache>
            </c:numRef>
          </c:val>
          <c:extLst>
            <c:ext xmlns:c16="http://schemas.microsoft.com/office/drawing/2014/chart" uri="{C3380CC4-5D6E-409C-BE32-E72D297353CC}">
              <c16:uniqueId val="{00000004-CCED-4714-8847-AC007ED43A91}"/>
            </c:ext>
          </c:extLst>
        </c:ser>
        <c:ser>
          <c:idx val="5"/>
          <c:order val="5"/>
          <c:tx>
            <c:strRef>
              <c:f>'[Usporedba.xlsx]ukupan inventar'!$A$25</c:f>
              <c:strCache>
                <c:ptCount val="1"/>
                <c:pt idx="0">
                  <c:v>Lož ulje</c:v>
                </c:pt>
              </c:strCache>
            </c:strRef>
          </c:tx>
          <c:invertIfNegative val="0"/>
          <c:cat>
            <c:strRef>
              <c:f>'[Usporedba.xlsx]ukupan inventar'!$B$18:$C$19</c:f>
              <c:strCache>
                <c:ptCount val="2"/>
                <c:pt idx="0">
                  <c:v>2008.</c:v>
                </c:pt>
                <c:pt idx="1">
                  <c:v>2015.</c:v>
                </c:pt>
              </c:strCache>
            </c:strRef>
          </c:cat>
          <c:val>
            <c:numRef>
              <c:f>'[Usporedba.xlsx]ukupan inventar'!$B$25:$C$25</c:f>
              <c:numCache>
                <c:formatCode>#,##0.00</c:formatCode>
                <c:ptCount val="2"/>
                <c:pt idx="0">
                  <c:v>99316.3</c:v>
                </c:pt>
                <c:pt idx="1">
                  <c:v>62517.267578220002</c:v>
                </c:pt>
              </c:numCache>
            </c:numRef>
          </c:val>
          <c:extLst>
            <c:ext xmlns:c16="http://schemas.microsoft.com/office/drawing/2014/chart" uri="{C3380CC4-5D6E-409C-BE32-E72D297353CC}">
              <c16:uniqueId val="{00000005-CCED-4714-8847-AC007ED43A91}"/>
            </c:ext>
          </c:extLst>
        </c:ser>
        <c:ser>
          <c:idx val="6"/>
          <c:order val="6"/>
          <c:tx>
            <c:strRef>
              <c:f>'[Usporedba.xlsx]ukupan inventar'!$A$26</c:f>
              <c:strCache>
                <c:ptCount val="1"/>
                <c:pt idx="0">
                  <c:v>Prirodni plin</c:v>
                </c:pt>
              </c:strCache>
            </c:strRef>
          </c:tx>
          <c:invertIfNegative val="0"/>
          <c:cat>
            <c:strRef>
              <c:f>'[Usporedba.xlsx]ukupan inventar'!$B$18:$C$19</c:f>
              <c:strCache>
                <c:ptCount val="2"/>
                <c:pt idx="0">
                  <c:v>2008.</c:v>
                </c:pt>
                <c:pt idx="1">
                  <c:v>2015.</c:v>
                </c:pt>
              </c:strCache>
            </c:strRef>
          </c:cat>
          <c:val>
            <c:numRef>
              <c:f>'[Usporedba.xlsx]ukupan inventar'!$B$26:$C$26</c:f>
              <c:numCache>
                <c:formatCode>#,##0.00</c:formatCode>
                <c:ptCount val="2"/>
                <c:pt idx="0">
                  <c:v>635038.5</c:v>
                </c:pt>
                <c:pt idx="1">
                  <c:v>614975.5174912879</c:v>
                </c:pt>
              </c:numCache>
            </c:numRef>
          </c:val>
          <c:extLst>
            <c:ext xmlns:c16="http://schemas.microsoft.com/office/drawing/2014/chart" uri="{C3380CC4-5D6E-409C-BE32-E72D297353CC}">
              <c16:uniqueId val="{00000006-CCED-4714-8847-AC007ED43A91}"/>
            </c:ext>
          </c:extLst>
        </c:ser>
        <c:ser>
          <c:idx val="7"/>
          <c:order val="7"/>
          <c:tx>
            <c:strRef>
              <c:f>'[Usporedba.xlsx]ukupan inventar'!$A$27</c:f>
              <c:strCache>
                <c:ptCount val="1"/>
                <c:pt idx="0">
                  <c:v>Toplana</c:v>
                </c:pt>
              </c:strCache>
            </c:strRef>
          </c:tx>
          <c:invertIfNegative val="0"/>
          <c:cat>
            <c:strRef>
              <c:f>'[Usporedba.xlsx]ukupan inventar'!$B$18:$C$19</c:f>
              <c:strCache>
                <c:ptCount val="2"/>
                <c:pt idx="0">
                  <c:v>2008.</c:v>
                </c:pt>
                <c:pt idx="1">
                  <c:v>2015.</c:v>
                </c:pt>
              </c:strCache>
            </c:strRef>
          </c:cat>
          <c:val>
            <c:numRef>
              <c:f>'[Usporedba.xlsx]ukupan inventar'!$B$27:$C$27</c:f>
              <c:numCache>
                <c:formatCode>#,##0.00</c:formatCode>
                <c:ptCount val="2"/>
                <c:pt idx="0">
                  <c:v>466080.7</c:v>
                </c:pt>
                <c:pt idx="1">
                  <c:v>444668.42080406006</c:v>
                </c:pt>
              </c:numCache>
            </c:numRef>
          </c:val>
          <c:extLst>
            <c:ext xmlns:c16="http://schemas.microsoft.com/office/drawing/2014/chart" uri="{C3380CC4-5D6E-409C-BE32-E72D297353CC}">
              <c16:uniqueId val="{00000007-CCED-4714-8847-AC007ED43A91}"/>
            </c:ext>
          </c:extLst>
        </c:ser>
        <c:ser>
          <c:idx val="8"/>
          <c:order val="8"/>
          <c:tx>
            <c:strRef>
              <c:f>'[Usporedba.xlsx]ukupan inventar'!$A$28</c:f>
              <c:strCache>
                <c:ptCount val="1"/>
                <c:pt idx="0">
                  <c:v>Plinske boce</c:v>
                </c:pt>
              </c:strCache>
            </c:strRef>
          </c:tx>
          <c:invertIfNegative val="0"/>
          <c:cat>
            <c:strRef>
              <c:f>'[Usporedba.xlsx]ukupan inventar'!$B$18:$C$19</c:f>
              <c:strCache>
                <c:ptCount val="2"/>
                <c:pt idx="0">
                  <c:v>2008.</c:v>
                </c:pt>
                <c:pt idx="1">
                  <c:v>2015.</c:v>
                </c:pt>
              </c:strCache>
            </c:strRef>
          </c:cat>
          <c:val>
            <c:numRef>
              <c:f>'[Usporedba.xlsx]ukupan inventar'!$B$28:$C$28</c:f>
              <c:numCache>
                <c:formatCode>#,##0.00</c:formatCode>
                <c:ptCount val="2"/>
                <c:pt idx="1">
                  <c:v>1658.7331000000001</c:v>
                </c:pt>
              </c:numCache>
            </c:numRef>
          </c:val>
          <c:extLst>
            <c:ext xmlns:c16="http://schemas.microsoft.com/office/drawing/2014/chart" uri="{C3380CC4-5D6E-409C-BE32-E72D297353CC}">
              <c16:uniqueId val="{00000008-CCED-4714-8847-AC007ED43A91}"/>
            </c:ext>
          </c:extLst>
        </c:ser>
        <c:ser>
          <c:idx val="9"/>
          <c:order val="9"/>
          <c:tx>
            <c:strRef>
              <c:f>'[Usporedba.xlsx]ukupan inventar'!$A$29</c:f>
              <c:strCache>
                <c:ptCount val="1"/>
                <c:pt idx="0">
                  <c:v>Mrki ugljen</c:v>
                </c:pt>
              </c:strCache>
            </c:strRef>
          </c:tx>
          <c:invertIfNegative val="0"/>
          <c:cat>
            <c:strRef>
              <c:f>'[Usporedba.xlsx]ukupan inventar'!$B$18:$C$19</c:f>
              <c:strCache>
                <c:ptCount val="2"/>
                <c:pt idx="0">
                  <c:v>2008.</c:v>
                </c:pt>
                <c:pt idx="1">
                  <c:v>2015.</c:v>
                </c:pt>
              </c:strCache>
            </c:strRef>
          </c:cat>
          <c:val>
            <c:numRef>
              <c:f>'[Usporedba.xlsx]ukupan inventar'!$B$29:$C$29</c:f>
              <c:numCache>
                <c:formatCode>#,##0.00</c:formatCode>
                <c:ptCount val="2"/>
                <c:pt idx="1">
                  <c:v>657.4</c:v>
                </c:pt>
              </c:numCache>
            </c:numRef>
          </c:val>
          <c:extLst>
            <c:ext xmlns:c16="http://schemas.microsoft.com/office/drawing/2014/chart" uri="{C3380CC4-5D6E-409C-BE32-E72D297353CC}">
              <c16:uniqueId val="{00000009-CCED-4714-8847-AC007ED43A91}"/>
            </c:ext>
          </c:extLst>
        </c:ser>
        <c:ser>
          <c:idx val="10"/>
          <c:order val="10"/>
          <c:tx>
            <c:strRef>
              <c:f>'[Usporedba.xlsx]ukupan inventar'!$A$30</c:f>
              <c:strCache>
                <c:ptCount val="1"/>
                <c:pt idx="0">
                  <c:v>Lignit</c:v>
                </c:pt>
              </c:strCache>
            </c:strRef>
          </c:tx>
          <c:invertIfNegative val="0"/>
          <c:cat>
            <c:strRef>
              <c:f>'[Usporedba.xlsx]ukupan inventar'!$B$18:$C$19</c:f>
              <c:strCache>
                <c:ptCount val="2"/>
                <c:pt idx="0">
                  <c:v>2008.</c:v>
                </c:pt>
                <c:pt idx="1">
                  <c:v>2015.</c:v>
                </c:pt>
              </c:strCache>
            </c:strRef>
          </c:cat>
          <c:val>
            <c:numRef>
              <c:f>'[Usporedba.xlsx]ukupan inventar'!$B$30:$C$30</c:f>
              <c:numCache>
                <c:formatCode>#,##0.00</c:formatCode>
                <c:ptCount val="2"/>
                <c:pt idx="1">
                  <c:v>436.79999999999995</c:v>
                </c:pt>
              </c:numCache>
            </c:numRef>
          </c:val>
          <c:extLst>
            <c:ext xmlns:c16="http://schemas.microsoft.com/office/drawing/2014/chart" uri="{C3380CC4-5D6E-409C-BE32-E72D297353CC}">
              <c16:uniqueId val="{0000000A-CCED-4714-8847-AC007ED43A91}"/>
            </c:ext>
          </c:extLst>
        </c:ser>
        <c:ser>
          <c:idx val="11"/>
          <c:order val="11"/>
          <c:tx>
            <c:strRef>
              <c:f>'[Usporedba.xlsx]ukupan inventar'!$A$31</c:f>
              <c:strCache>
                <c:ptCount val="1"/>
                <c:pt idx="0">
                  <c:v>Petrolej</c:v>
                </c:pt>
              </c:strCache>
            </c:strRef>
          </c:tx>
          <c:invertIfNegative val="0"/>
          <c:cat>
            <c:strRef>
              <c:f>'[Usporedba.xlsx]ukupan inventar'!$B$18:$C$19</c:f>
              <c:strCache>
                <c:ptCount val="2"/>
                <c:pt idx="0">
                  <c:v>2008.</c:v>
                </c:pt>
                <c:pt idx="1">
                  <c:v>2015.</c:v>
                </c:pt>
              </c:strCache>
            </c:strRef>
          </c:cat>
          <c:val>
            <c:numRef>
              <c:f>'[Usporedba.xlsx]ukupan inventar'!$B$31:$C$31</c:f>
              <c:numCache>
                <c:formatCode>#,##0.00</c:formatCode>
                <c:ptCount val="2"/>
                <c:pt idx="1">
                  <c:v>569.16949999999997</c:v>
                </c:pt>
              </c:numCache>
            </c:numRef>
          </c:val>
          <c:extLst>
            <c:ext xmlns:c16="http://schemas.microsoft.com/office/drawing/2014/chart" uri="{C3380CC4-5D6E-409C-BE32-E72D297353CC}">
              <c16:uniqueId val="{0000000B-CCED-4714-8847-AC007ED43A91}"/>
            </c:ext>
          </c:extLst>
        </c:ser>
        <c:dLbls>
          <c:showLegendKey val="0"/>
          <c:showVal val="0"/>
          <c:showCatName val="0"/>
          <c:showSerName val="0"/>
          <c:showPercent val="0"/>
          <c:showBubbleSize val="0"/>
        </c:dLbls>
        <c:gapWidth val="150"/>
        <c:shape val="box"/>
        <c:axId val="262429184"/>
        <c:axId val="260056768"/>
        <c:axId val="0"/>
      </c:bar3DChart>
      <c:catAx>
        <c:axId val="262429184"/>
        <c:scaling>
          <c:orientation val="minMax"/>
        </c:scaling>
        <c:delete val="0"/>
        <c:axPos val="b"/>
        <c:numFmt formatCode="General" sourceLinked="0"/>
        <c:majorTickMark val="out"/>
        <c:minorTickMark val="none"/>
        <c:tickLblPos val="nextTo"/>
        <c:crossAx val="260056768"/>
        <c:crosses val="autoZero"/>
        <c:auto val="1"/>
        <c:lblAlgn val="ctr"/>
        <c:lblOffset val="100"/>
        <c:noMultiLvlLbl val="0"/>
      </c:catAx>
      <c:valAx>
        <c:axId val="260056768"/>
        <c:scaling>
          <c:orientation val="minMax"/>
        </c:scaling>
        <c:delete val="0"/>
        <c:axPos val="l"/>
        <c:majorGridlines/>
        <c:title>
          <c:tx>
            <c:rich>
              <a:bodyPr rot="-5400000" vert="horz"/>
              <a:lstStyle/>
              <a:p>
                <a:pPr>
                  <a:defRPr/>
                </a:pPr>
                <a:r>
                  <a:rPr lang="hr-HR"/>
                  <a:t>t</a:t>
                </a:r>
                <a:r>
                  <a:rPr lang="hr-HR" baseline="0"/>
                  <a:t> CO</a:t>
                </a:r>
                <a:r>
                  <a:rPr lang="hr-HR" baseline="-25000"/>
                  <a:t>2</a:t>
                </a:r>
              </a:p>
            </c:rich>
          </c:tx>
          <c:overlay val="0"/>
        </c:title>
        <c:numFmt formatCode="#,##0.00" sourceLinked="1"/>
        <c:majorTickMark val="out"/>
        <c:minorTickMark val="none"/>
        <c:tickLblPos val="nextTo"/>
        <c:crossAx val="262429184"/>
        <c:crosses val="autoZero"/>
        <c:crossBetween val="between"/>
      </c:valAx>
    </c:plotArea>
    <c:legend>
      <c:legendPos val="r"/>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'[Usporedba.xlsx]ukupan inventar'!$J$2:$L$2</c:f>
              <c:strCache>
                <c:ptCount val="1"/>
                <c:pt idx="0">
                  <c:v>Promet Javna rasvjeta Zgradarstvo</c:v>
                </c:pt>
              </c:strCache>
            </c:strRef>
          </c:tx>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'[Usporedba.xlsx]ukupan inventar'!$J$2:$L$2</c:f>
              <c:strCache>
                <c:ptCount val="3"/>
                <c:pt idx="0">
                  <c:v>Promet</c:v>
                </c:pt>
                <c:pt idx="1">
                  <c:v>Javna rasvjeta</c:v>
                </c:pt>
                <c:pt idx="2">
                  <c:v>Zgradarstvo</c:v>
                </c:pt>
              </c:strCache>
            </c:strRef>
          </c:cat>
          <c:val>
            <c:numRef>
              <c:f>'[Usporedba.xlsx]ukupan inventar'!$J$10:$L$10</c:f>
              <c:numCache>
                <c:formatCode>#,##0.00</c:formatCode>
                <c:ptCount val="3"/>
                <c:pt idx="0">
                  <c:v>1005107.9</c:v>
                </c:pt>
                <c:pt idx="1">
                  <c:v>29174.1</c:v>
                </c:pt>
                <c:pt idx="2">
                  <c:v>1759520.8</c:v>
                </c:pt>
              </c:numCache>
            </c:numRef>
          </c:val>
          <c:extLst>
            <c:ext xmlns:c16="http://schemas.microsoft.com/office/drawing/2014/chart" uri="{C3380CC4-5D6E-409C-BE32-E72D297353CC}">
              <c16:uniqueId val="{00000000-FB09-4D5B-AFBD-ED5DE14B8BD1}"/>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sr-Latn-RS"/>
        </a:p>
      </c:txPr>
    </c:legend>
    <c:plotVisOnly val="1"/>
    <c:dispBlanksAs val="gap"/>
    <c:showDLblsOverMax val="0"/>
  </c:chart>
  <c:spPr>
    <a:ln>
      <a:noFill/>
    </a:ln>
  </c:sp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'[Usporedba.xlsx]ukupan inventar'!$B$2:$D$2</c:f>
              <c:strCache>
                <c:ptCount val="3"/>
                <c:pt idx="0">
                  <c:v>Promet</c:v>
                </c:pt>
                <c:pt idx="1">
                  <c:v>Javna rasvjeta</c:v>
                </c:pt>
                <c:pt idx="2">
                  <c:v>Zgradarstvo</c:v>
                </c:pt>
              </c:strCache>
            </c:strRef>
          </c:cat>
          <c:val>
            <c:numRef>
              <c:f>'[Usporedba.xlsx]ukupan inventar'!$B$15:$D$15</c:f>
              <c:numCache>
                <c:formatCode>#,##0.00</c:formatCode>
                <c:ptCount val="3"/>
                <c:pt idx="0">
                  <c:v>1100954.9400000002</c:v>
                </c:pt>
                <c:pt idx="1">
                  <c:v>27411.841873047844</c:v>
                </c:pt>
                <c:pt idx="2">
                  <c:v>1803538.4222268204</c:v>
                </c:pt>
              </c:numCache>
            </c:numRef>
          </c:val>
          <c:extLst>
            <c:ext xmlns:c16="http://schemas.microsoft.com/office/drawing/2014/chart" uri="{C3380CC4-5D6E-409C-BE32-E72D297353CC}">
              <c16:uniqueId val="{00000000-D778-49FA-B0D2-E3238B2595DD}"/>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1"/>
              <c:layout>
                <c:manualLayout>
                  <c:x val="0"/>
                  <c:y val="-5.5555555555555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AE-46AF-8BC4-A9AE4F482C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'[Inventar emisija_Zagreb.xlsx]ukupan inventar'!$B$50:$C$50</c:f>
              <c:strCache>
                <c:ptCount val="2"/>
                <c:pt idx="0">
                  <c:v>2008.</c:v>
                </c:pt>
                <c:pt idx="1">
                  <c:v>2015.</c:v>
                </c:pt>
              </c:strCache>
            </c:strRef>
          </c:cat>
          <c:val>
            <c:numRef>
              <c:f>'[Inventar emisija_Zagreb.xlsx]ukupan inventar'!$B$51:$C$51</c:f>
              <c:numCache>
                <c:formatCode>#,##0.00</c:formatCode>
                <c:ptCount val="2"/>
                <c:pt idx="0">
                  <c:v>1759.5208</c:v>
                </c:pt>
                <c:pt idx="1">
                  <c:v>1801.9421545494201</c:v>
                </c:pt>
              </c:numCache>
            </c:numRef>
          </c:val>
          <c:extLst>
            <c:ext xmlns:c16="http://schemas.microsoft.com/office/drawing/2014/chart" uri="{C3380CC4-5D6E-409C-BE32-E72D297353CC}">
              <c16:uniqueId val="{00000000-38AE-46AF-8BC4-A9AE4F482C66}"/>
            </c:ext>
          </c:extLst>
        </c:ser>
        <c:dLbls>
          <c:showLegendKey val="0"/>
          <c:showVal val="0"/>
          <c:showCatName val="0"/>
          <c:showSerName val="0"/>
          <c:showPercent val="0"/>
          <c:showBubbleSize val="0"/>
        </c:dLbls>
        <c:gapWidth val="150"/>
        <c:shape val="box"/>
        <c:axId val="285747200"/>
        <c:axId val="260060800"/>
        <c:axId val="0"/>
      </c:bar3DChart>
      <c:catAx>
        <c:axId val="285747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260060800"/>
        <c:crosses val="autoZero"/>
        <c:auto val="1"/>
        <c:lblAlgn val="ctr"/>
        <c:lblOffset val="100"/>
        <c:noMultiLvlLbl val="0"/>
      </c:catAx>
      <c:valAx>
        <c:axId val="26006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b="1">
                    <a:solidFill>
                      <a:sysClr val="windowText" lastClr="000000"/>
                    </a:solidFill>
                  </a:rPr>
                  <a:t>kt</a:t>
                </a:r>
                <a:r>
                  <a:rPr lang="hr-HR" b="1" baseline="0">
                    <a:solidFill>
                      <a:sysClr val="windowText" lastClr="000000"/>
                    </a:solidFill>
                  </a:rPr>
                  <a:t> CO</a:t>
                </a:r>
                <a:r>
                  <a:rPr lang="hr-HR" b="1" baseline="-25000">
                    <a:solidFill>
                      <a:sysClr val="windowText" lastClr="000000"/>
                    </a:solidFill>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285747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941215184883198"/>
          <c:y val="4.5246969538952755E-2"/>
          <c:w val="0.82369023060309343"/>
          <c:h val="0.83575878703235496"/>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'[Grijanje _ ZDRAVSTVENE.xlsx]2015'!$B$2:$H$2</c:f>
              <c:strCache>
                <c:ptCount val="7"/>
                <c:pt idx="0">
                  <c:v>Toplana vrelovod</c:v>
                </c:pt>
                <c:pt idx="1">
                  <c:v>Toplana para</c:v>
                </c:pt>
                <c:pt idx="2">
                  <c:v>Prirodni plin</c:v>
                </c:pt>
                <c:pt idx="3">
                  <c:v>Lož ulje</c:v>
                </c:pt>
                <c:pt idx="4">
                  <c:v>Električna energije</c:v>
                </c:pt>
                <c:pt idx="5">
                  <c:v>Biomasa peleti</c:v>
                </c:pt>
                <c:pt idx="6">
                  <c:v>UNP</c:v>
                </c:pt>
              </c:strCache>
            </c:strRef>
          </c:cat>
          <c:val>
            <c:numRef>
              <c:f>'[Grijanje _ ZDRAVSTVENE.xlsx]2015'!$B$7:$H$7</c:f>
              <c:numCache>
                <c:formatCode>#,##0.00</c:formatCode>
                <c:ptCount val="7"/>
                <c:pt idx="0">
                  <c:v>231.73459550378755</c:v>
                </c:pt>
                <c:pt idx="1">
                  <c:v>217.43663426002288</c:v>
                </c:pt>
                <c:pt idx="2">
                  <c:v>236.87934299937197</c:v>
                </c:pt>
                <c:pt idx="3">
                  <c:v>267.47360521541253</c:v>
                </c:pt>
                <c:pt idx="4">
                  <c:v>298.36363636363637</c:v>
                </c:pt>
                <c:pt idx="5">
                  <c:v>186.93945454545454</c:v>
                </c:pt>
                <c:pt idx="6">
                  <c:v>283.75611650485439</c:v>
                </c:pt>
              </c:numCache>
            </c:numRef>
          </c:val>
          <c:extLst>
            <c:ext xmlns:c16="http://schemas.microsoft.com/office/drawing/2014/chart" uri="{C3380CC4-5D6E-409C-BE32-E72D297353CC}">
              <c16:uniqueId val="{00000000-4784-47E5-94DF-AED54A3626DA}"/>
            </c:ext>
          </c:extLst>
        </c:ser>
        <c:dLbls>
          <c:showLegendKey val="0"/>
          <c:showVal val="0"/>
          <c:showCatName val="0"/>
          <c:showSerName val="0"/>
          <c:showPercent val="0"/>
          <c:showBubbleSize val="0"/>
        </c:dLbls>
        <c:gapWidth val="150"/>
        <c:shape val="box"/>
        <c:axId val="162419712"/>
        <c:axId val="168442048"/>
        <c:axId val="0"/>
      </c:bar3DChart>
      <c:catAx>
        <c:axId val="162419712"/>
        <c:scaling>
          <c:orientation val="minMax"/>
        </c:scaling>
        <c:delete val="0"/>
        <c:axPos val="b"/>
        <c:numFmt formatCode="General" sourceLinked="0"/>
        <c:majorTickMark val="out"/>
        <c:minorTickMark val="none"/>
        <c:tickLblPos val="nextTo"/>
        <c:txPr>
          <a:bodyPr/>
          <a:lstStyle/>
          <a:p>
            <a:pPr>
              <a:defRPr sz="900"/>
            </a:pPr>
            <a:endParaRPr lang="sr-Latn-RS"/>
          </a:p>
        </c:txPr>
        <c:crossAx val="168442048"/>
        <c:crosses val="autoZero"/>
        <c:auto val="1"/>
        <c:lblAlgn val="ctr"/>
        <c:lblOffset val="100"/>
        <c:noMultiLvlLbl val="0"/>
      </c:catAx>
      <c:valAx>
        <c:axId val="168442048"/>
        <c:scaling>
          <c:orientation val="minMax"/>
        </c:scaling>
        <c:delete val="0"/>
        <c:axPos val="l"/>
        <c:majorGridlines/>
        <c:title>
          <c:tx>
            <c:rich>
              <a:bodyPr rot="-5400000" vert="horz"/>
              <a:lstStyle/>
              <a:p>
                <a:pPr>
                  <a:defRPr/>
                </a:pPr>
                <a:r>
                  <a:rPr lang="hr-HR"/>
                  <a:t>kWh/m</a:t>
                </a:r>
                <a:r>
                  <a:rPr lang="hr-HR" baseline="30000"/>
                  <a:t>2</a:t>
                </a:r>
              </a:p>
            </c:rich>
          </c:tx>
          <c:overlay val="0"/>
        </c:title>
        <c:numFmt formatCode="#,##0.00" sourceLinked="1"/>
        <c:majorTickMark val="out"/>
        <c:minorTickMark val="none"/>
        <c:tickLblPos val="nextTo"/>
        <c:crossAx val="16241971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'[Usporedba.xlsx]Po sektorima'!$B$5:$C$5</c:f>
              <c:strCache>
                <c:ptCount val="1"/>
                <c:pt idx="0">
                  <c:v>2008. 2015.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'[Usporedba.xlsx]Po sektorima'!$B$5:$C$5</c:f>
              <c:strCache>
                <c:ptCount val="2"/>
                <c:pt idx="0">
                  <c:v>2008.</c:v>
                </c:pt>
                <c:pt idx="1">
                  <c:v>2015.</c:v>
                </c:pt>
              </c:strCache>
            </c:strRef>
          </c:cat>
          <c:val>
            <c:numRef>
              <c:f>'[Usporedba.xlsx]Po sektorima'!$B$6:$C$6</c:f>
              <c:numCache>
                <c:formatCode>#,##0.00</c:formatCode>
                <c:ptCount val="2"/>
                <c:pt idx="0">
                  <c:v>1005107.9</c:v>
                </c:pt>
                <c:pt idx="1">
                  <c:v>1100954.9400000002</c:v>
                </c:pt>
              </c:numCache>
            </c:numRef>
          </c:val>
          <c:extLst>
            <c:ext xmlns:c16="http://schemas.microsoft.com/office/drawing/2014/chart" uri="{C3380CC4-5D6E-409C-BE32-E72D297353CC}">
              <c16:uniqueId val="{00000000-A863-4AC3-AF7E-7CF08DCA508B}"/>
            </c:ext>
          </c:extLst>
        </c:ser>
        <c:dLbls>
          <c:showLegendKey val="0"/>
          <c:showVal val="0"/>
          <c:showCatName val="0"/>
          <c:showSerName val="0"/>
          <c:showPercent val="0"/>
          <c:showBubbleSize val="0"/>
        </c:dLbls>
        <c:gapWidth val="150"/>
        <c:shape val="box"/>
        <c:axId val="285747712"/>
        <c:axId val="260062528"/>
        <c:axId val="0"/>
      </c:bar3DChart>
      <c:catAx>
        <c:axId val="285747712"/>
        <c:scaling>
          <c:orientation val="minMax"/>
        </c:scaling>
        <c:delete val="0"/>
        <c:axPos val="b"/>
        <c:numFmt formatCode="General" sourceLinked="0"/>
        <c:majorTickMark val="out"/>
        <c:minorTickMark val="none"/>
        <c:tickLblPos val="nextTo"/>
        <c:crossAx val="260062528"/>
        <c:crosses val="autoZero"/>
        <c:auto val="1"/>
        <c:lblAlgn val="ctr"/>
        <c:lblOffset val="100"/>
        <c:noMultiLvlLbl val="0"/>
      </c:catAx>
      <c:valAx>
        <c:axId val="260062528"/>
        <c:scaling>
          <c:orientation val="minMax"/>
        </c:scaling>
        <c:delete val="0"/>
        <c:axPos val="l"/>
        <c:majorGridlines/>
        <c:title>
          <c:tx>
            <c:rich>
              <a:bodyPr rot="-5400000" vert="horz"/>
              <a:lstStyle/>
              <a:p>
                <a:pPr>
                  <a:defRPr/>
                </a:pPr>
                <a:r>
                  <a:rPr lang="hr-HR"/>
                  <a:t>t</a:t>
                </a:r>
                <a:r>
                  <a:rPr lang="hr-HR" baseline="0"/>
                  <a:t> CO</a:t>
                </a:r>
                <a:r>
                  <a:rPr lang="hr-HR" baseline="-25000"/>
                  <a:t>2</a:t>
                </a:r>
              </a:p>
            </c:rich>
          </c:tx>
          <c:overlay val="0"/>
        </c:title>
        <c:numFmt formatCode="#,##0.00" sourceLinked="1"/>
        <c:majorTickMark val="out"/>
        <c:minorTickMark val="none"/>
        <c:tickLblPos val="nextTo"/>
        <c:crossAx val="285747712"/>
        <c:crosses val="autoZero"/>
        <c:crossBetween val="between"/>
      </c:valAx>
    </c:plotArea>
    <c:plotVisOnly val="1"/>
    <c:dispBlanksAs val="gap"/>
    <c:showDLblsOverMax val="0"/>
  </c:chart>
  <c:spPr>
    <a:ln>
      <a:noFill/>
    </a:ln>
  </c:sp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304724787099808"/>
          <c:y val="4.2236122335642411E-2"/>
          <c:w val="0.7695274185313391"/>
          <c:h val="0.88147846366075078"/>
        </c:manualLayout>
      </c:layout>
      <c:bar3DChart>
        <c:barDir val="col"/>
        <c:grouping val="clustered"/>
        <c:varyColors val="0"/>
        <c:ser>
          <c:idx val="0"/>
          <c:order val="0"/>
          <c:tx>
            <c:strRef>
              <c:f>'[Usporedba.xlsx]Po sektorima'!$B$8:$C$8</c:f>
              <c:strCache>
                <c:ptCount val="1"/>
                <c:pt idx="0">
                  <c:v>2008. 2015.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'[Usporedba.xlsx]Po sektorima'!$B$8:$C$8</c:f>
              <c:strCache>
                <c:ptCount val="2"/>
                <c:pt idx="0">
                  <c:v>2008.</c:v>
                </c:pt>
                <c:pt idx="1">
                  <c:v>2015.</c:v>
                </c:pt>
              </c:strCache>
            </c:strRef>
          </c:cat>
          <c:val>
            <c:numRef>
              <c:f>'[Usporedba.xlsx]Po sektorima'!$B$9:$C$9</c:f>
              <c:numCache>
                <c:formatCode>#,##0.00</c:formatCode>
                <c:ptCount val="2"/>
                <c:pt idx="0">
                  <c:v>29174.1</c:v>
                </c:pt>
                <c:pt idx="1">
                  <c:v>27411.841873047844</c:v>
                </c:pt>
              </c:numCache>
            </c:numRef>
          </c:val>
          <c:extLst>
            <c:ext xmlns:c16="http://schemas.microsoft.com/office/drawing/2014/chart" uri="{C3380CC4-5D6E-409C-BE32-E72D297353CC}">
              <c16:uniqueId val="{00000000-7307-45BD-AC95-3B754009FB83}"/>
            </c:ext>
          </c:extLst>
        </c:ser>
        <c:dLbls>
          <c:showLegendKey val="0"/>
          <c:showVal val="0"/>
          <c:showCatName val="0"/>
          <c:showSerName val="0"/>
          <c:showPercent val="0"/>
          <c:showBubbleSize val="0"/>
        </c:dLbls>
        <c:gapWidth val="150"/>
        <c:shape val="box"/>
        <c:axId val="285748224"/>
        <c:axId val="285959296"/>
        <c:axId val="0"/>
      </c:bar3DChart>
      <c:catAx>
        <c:axId val="285748224"/>
        <c:scaling>
          <c:orientation val="minMax"/>
        </c:scaling>
        <c:delete val="0"/>
        <c:axPos val="b"/>
        <c:numFmt formatCode="General" sourceLinked="0"/>
        <c:majorTickMark val="out"/>
        <c:minorTickMark val="none"/>
        <c:tickLblPos val="nextTo"/>
        <c:crossAx val="285959296"/>
        <c:crosses val="autoZero"/>
        <c:auto val="1"/>
        <c:lblAlgn val="ctr"/>
        <c:lblOffset val="100"/>
        <c:noMultiLvlLbl val="0"/>
      </c:catAx>
      <c:valAx>
        <c:axId val="285959296"/>
        <c:scaling>
          <c:orientation val="minMax"/>
        </c:scaling>
        <c:delete val="0"/>
        <c:axPos val="l"/>
        <c:majorGridlines/>
        <c:title>
          <c:tx>
            <c:rich>
              <a:bodyPr rot="-5400000" vert="horz"/>
              <a:lstStyle/>
              <a:p>
                <a:pPr>
                  <a:defRPr/>
                </a:pPr>
                <a:r>
                  <a:rPr lang="hr-HR"/>
                  <a:t>t</a:t>
                </a:r>
                <a:r>
                  <a:rPr lang="hr-HR" baseline="0"/>
                  <a:t> CO</a:t>
                </a:r>
                <a:r>
                  <a:rPr lang="hr-HR" baseline="-25000"/>
                  <a:t>2</a:t>
                </a:r>
              </a:p>
            </c:rich>
          </c:tx>
          <c:overlay val="0"/>
        </c:title>
        <c:numFmt formatCode="#,##0.00" sourceLinked="1"/>
        <c:majorTickMark val="out"/>
        <c:minorTickMark val="none"/>
        <c:tickLblPos val="nextTo"/>
        <c:crossAx val="285748224"/>
        <c:crosses val="autoZero"/>
        <c:crossBetween val="between"/>
      </c:valAx>
    </c:plotArea>
    <c:plotVisOnly val="1"/>
    <c:dispBlanksAs val="gap"/>
    <c:showDLblsOverMax val="0"/>
  </c:chart>
  <c:spPr>
    <a:ln>
      <a:noFill/>
    </a:ln>
  </c:sp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'[Realizirane mjere (2).xls]Unos u master'!$D$1</c:f>
              <c:strCache>
                <c:ptCount val="1"/>
                <c:pt idx="0">
                  <c:v>Implementacija završena</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'[Realizirane mjere (2).xls]Unos u master'!$A$4:$C$6</c:f>
              <c:strCache>
                <c:ptCount val="3"/>
                <c:pt idx="0">
                  <c:v>Zgradarstvo</c:v>
                </c:pt>
                <c:pt idx="1">
                  <c:v>Promet</c:v>
                </c:pt>
                <c:pt idx="2">
                  <c:v>Javna rasvjeta</c:v>
                </c:pt>
              </c:strCache>
            </c:strRef>
          </c:cat>
          <c:val>
            <c:numRef>
              <c:f>'[Realizirane mjere (2).xls]Unos u master'!$D$4:$D$6</c:f>
              <c:numCache>
                <c:formatCode>0%</c:formatCode>
                <c:ptCount val="3"/>
                <c:pt idx="0">
                  <c:v>0.41379310344827586</c:v>
                </c:pt>
                <c:pt idx="1">
                  <c:v>0.35294117647058826</c:v>
                </c:pt>
              </c:numCache>
            </c:numRef>
          </c:val>
          <c:extLst>
            <c:ext xmlns:c16="http://schemas.microsoft.com/office/drawing/2014/chart" uri="{C3380CC4-5D6E-409C-BE32-E72D297353CC}">
              <c16:uniqueId val="{00000000-5C9B-4265-BCD6-A64E3E1BB1AE}"/>
            </c:ext>
          </c:extLst>
        </c:ser>
        <c:ser>
          <c:idx val="1"/>
          <c:order val="1"/>
          <c:tx>
            <c:strRef>
              <c:f>'[Realizirane mjere (2).xls]Unos u master'!$E$1</c:f>
              <c:strCache>
                <c:ptCount val="1"/>
                <c:pt idx="0">
                  <c:v>Implementacija u provedbi</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'[Realizirane mjere (2).xls]Unos u master'!$A$4:$C$6</c:f>
              <c:strCache>
                <c:ptCount val="3"/>
                <c:pt idx="0">
                  <c:v>Zgradarstvo</c:v>
                </c:pt>
                <c:pt idx="1">
                  <c:v>Promet</c:v>
                </c:pt>
                <c:pt idx="2">
                  <c:v>Javna rasvjeta</c:v>
                </c:pt>
              </c:strCache>
            </c:strRef>
          </c:cat>
          <c:val>
            <c:numRef>
              <c:f>'[Realizirane mjere (2).xls]Unos u master'!$E$4:$E$6</c:f>
              <c:numCache>
                <c:formatCode>0%</c:formatCode>
                <c:ptCount val="3"/>
                <c:pt idx="0">
                  <c:v>0.44827586206896552</c:v>
                </c:pt>
                <c:pt idx="1">
                  <c:v>0.41176470588235292</c:v>
                </c:pt>
                <c:pt idx="2">
                  <c:v>1</c:v>
                </c:pt>
              </c:numCache>
            </c:numRef>
          </c:val>
          <c:extLst>
            <c:ext xmlns:c16="http://schemas.microsoft.com/office/drawing/2014/chart" uri="{C3380CC4-5D6E-409C-BE32-E72D297353CC}">
              <c16:uniqueId val="{00000001-5C9B-4265-BCD6-A64E3E1BB1AE}"/>
            </c:ext>
          </c:extLst>
        </c:ser>
        <c:ser>
          <c:idx val="2"/>
          <c:order val="2"/>
          <c:tx>
            <c:strRef>
              <c:f>'[Realizirane mjere (2).xls]Unos u master'!$F$1</c:f>
              <c:strCache>
                <c:ptCount val="1"/>
                <c:pt idx="0">
                  <c:v>Implementacija nije započela</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'[Realizirane mjere (2).xls]Unos u master'!$A$4:$C$6</c:f>
              <c:strCache>
                <c:ptCount val="3"/>
                <c:pt idx="0">
                  <c:v>Zgradarstvo</c:v>
                </c:pt>
                <c:pt idx="1">
                  <c:v>Promet</c:v>
                </c:pt>
                <c:pt idx="2">
                  <c:v>Javna rasvjeta</c:v>
                </c:pt>
              </c:strCache>
            </c:strRef>
          </c:cat>
          <c:val>
            <c:numRef>
              <c:f>'[Realizirane mjere (2).xls]Unos u master'!$F$4:$F$6</c:f>
              <c:numCache>
                <c:formatCode>0%</c:formatCode>
                <c:ptCount val="3"/>
                <c:pt idx="0">
                  <c:v>0.13793103448275862</c:v>
                </c:pt>
                <c:pt idx="1">
                  <c:v>0.23529411764705882</c:v>
                </c:pt>
              </c:numCache>
            </c:numRef>
          </c:val>
          <c:extLst>
            <c:ext xmlns:c16="http://schemas.microsoft.com/office/drawing/2014/chart" uri="{C3380CC4-5D6E-409C-BE32-E72D297353CC}">
              <c16:uniqueId val="{00000002-5C9B-4265-BCD6-A64E3E1BB1AE}"/>
            </c:ext>
          </c:extLst>
        </c:ser>
        <c:dLbls>
          <c:showLegendKey val="0"/>
          <c:showVal val="0"/>
          <c:showCatName val="0"/>
          <c:showSerName val="0"/>
          <c:showPercent val="0"/>
          <c:showBubbleSize val="0"/>
        </c:dLbls>
        <c:gapWidth val="150"/>
        <c:overlap val="100"/>
        <c:axId val="285748736"/>
        <c:axId val="285961024"/>
      </c:barChart>
      <c:catAx>
        <c:axId val="285748736"/>
        <c:scaling>
          <c:orientation val="minMax"/>
        </c:scaling>
        <c:delete val="0"/>
        <c:axPos val="l"/>
        <c:numFmt formatCode="General" sourceLinked="1"/>
        <c:majorTickMark val="out"/>
        <c:minorTickMark val="none"/>
        <c:tickLblPos val="nextTo"/>
        <c:crossAx val="285961024"/>
        <c:crosses val="autoZero"/>
        <c:auto val="1"/>
        <c:lblAlgn val="ctr"/>
        <c:lblOffset val="100"/>
        <c:noMultiLvlLbl val="0"/>
      </c:catAx>
      <c:valAx>
        <c:axId val="285961024"/>
        <c:scaling>
          <c:orientation val="minMax"/>
        </c:scaling>
        <c:delete val="0"/>
        <c:axPos val="b"/>
        <c:majorGridlines/>
        <c:numFmt formatCode="0%" sourceLinked="1"/>
        <c:majorTickMark val="out"/>
        <c:minorTickMark val="none"/>
        <c:tickLblPos val="nextTo"/>
        <c:crossAx val="285748736"/>
        <c:crosses val="autoZero"/>
        <c:crossBetween val="between"/>
      </c:valAx>
    </c:plotArea>
    <c:legend>
      <c:legendPos val="r"/>
      <c:layout>
        <c:manualLayout>
          <c:xMode val="edge"/>
          <c:yMode val="edge"/>
          <c:x val="0.78212873943243277"/>
          <c:y val="0.26203553241103827"/>
          <c:w val="0.20826742651643682"/>
          <c:h val="0.59587037676067389"/>
        </c:manualLayout>
      </c:layout>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1466097987751526E-2"/>
          <c:y val="0.11342592592592593"/>
          <c:w val="0.58941535433070869"/>
          <c:h val="0.77314814814814814"/>
        </c:manualLayout>
      </c:layout>
      <c:pie3DChart>
        <c:varyColors val="1"/>
        <c:ser>
          <c:idx val="0"/>
          <c:order val="0"/>
          <c:explosion val="25"/>
          <c:dPt>
            <c:idx val="0"/>
            <c:bubble3D val="0"/>
            <c:extLst>
              <c:ext xmlns:c16="http://schemas.microsoft.com/office/drawing/2014/chart" uri="{C3380CC4-5D6E-409C-BE32-E72D297353CC}">
                <c16:uniqueId val="{00000000-AEB9-490F-9FB7-A1D04CC1F7FF}"/>
              </c:ext>
            </c:extLst>
          </c:dPt>
          <c:dPt>
            <c:idx val="1"/>
            <c:bubble3D val="0"/>
            <c:extLst>
              <c:ext xmlns:c16="http://schemas.microsoft.com/office/drawing/2014/chart" uri="{C3380CC4-5D6E-409C-BE32-E72D297353CC}">
                <c16:uniqueId val="{00000001-AEB9-490F-9FB7-A1D04CC1F7FF}"/>
              </c:ext>
            </c:extLst>
          </c:dPt>
          <c:dPt>
            <c:idx val="2"/>
            <c:bubble3D val="0"/>
            <c:extLst>
              <c:ext xmlns:c16="http://schemas.microsoft.com/office/drawing/2014/chart" uri="{C3380CC4-5D6E-409C-BE32-E72D297353CC}">
                <c16:uniqueId val="{00000002-AEB9-490F-9FB7-A1D04CC1F7FF}"/>
              </c:ext>
            </c:extLst>
          </c:dPt>
          <c:dLbls>
            <c:numFmt formatCode="0.00%" sourceLinked="0"/>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'[Realizirane mjere (2).xls]Ukupan pregled'!$A$77:$A$79</c:f>
              <c:strCache>
                <c:ptCount val="3"/>
                <c:pt idx="0">
                  <c:v>ZGRADARSTVO</c:v>
                </c:pt>
                <c:pt idx="1">
                  <c:v>PROMET</c:v>
                </c:pt>
                <c:pt idx="2">
                  <c:v>JAVNA RASVJETA</c:v>
                </c:pt>
              </c:strCache>
            </c:strRef>
          </c:cat>
          <c:val>
            <c:numRef>
              <c:f>'[Realizirane mjere (2).xls]Ukupan pregled'!$B$77:$B$79</c:f>
              <c:numCache>
                <c:formatCode>#,##0.00</c:formatCode>
                <c:ptCount val="3"/>
                <c:pt idx="0">
                  <c:v>209115.8587506933</c:v>
                </c:pt>
                <c:pt idx="1">
                  <c:v>91018.512471354014</c:v>
                </c:pt>
                <c:pt idx="2">
                  <c:v>2830.3264902000005</c:v>
                </c:pt>
              </c:numCache>
            </c:numRef>
          </c:val>
          <c:extLst>
            <c:ext xmlns:c16="http://schemas.microsoft.com/office/drawing/2014/chart" uri="{C3380CC4-5D6E-409C-BE32-E72D297353CC}">
              <c16:uniqueId val="{00000003-AEB9-490F-9FB7-A1D04CC1F7FF}"/>
            </c:ext>
          </c:extLst>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6334294846807515E-3"/>
          <c:y val="3.7637613637395671E-2"/>
          <c:w val="0.63591607262109984"/>
          <c:h val="0.95778909989192529"/>
        </c:manualLayout>
      </c:layout>
      <c:pie3DChart>
        <c:varyColors val="1"/>
        <c:ser>
          <c:idx val="0"/>
          <c:order val="0"/>
          <c:explosion val="25"/>
          <c:dPt>
            <c:idx val="0"/>
            <c:bubble3D val="0"/>
            <c:extLst>
              <c:ext xmlns:c16="http://schemas.microsoft.com/office/drawing/2014/chart" uri="{C3380CC4-5D6E-409C-BE32-E72D297353CC}">
                <c16:uniqueId val="{00000000-8E46-4390-BFB0-340FA6AF14C1}"/>
              </c:ext>
            </c:extLst>
          </c:dPt>
          <c:dPt>
            <c:idx val="1"/>
            <c:bubble3D val="0"/>
            <c:extLst>
              <c:ext xmlns:c16="http://schemas.microsoft.com/office/drawing/2014/chart" uri="{C3380CC4-5D6E-409C-BE32-E72D297353CC}">
                <c16:uniqueId val="{00000001-8E46-4390-BFB0-340FA6AF14C1}"/>
              </c:ext>
            </c:extLst>
          </c:dPt>
          <c:dPt>
            <c:idx val="2"/>
            <c:bubble3D val="0"/>
            <c:extLst>
              <c:ext xmlns:c16="http://schemas.microsoft.com/office/drawing/2014/chart" uri="{C3380CC4-5D6E-409C-BE32-E72D297353CC}">
                <c16:uniqueId val="{00000002-8E46-4390-BFB0-340FA6AF14C1}"/>
              </c:ext>
            </c:extLst>
          </c:dPt>
          <c:dPt>
            <c:idx val="3"/>
            <c:bubble3D val="0"/>
            <c:extLst>
              <c:ext xmlns:c16="http://schemas.microsoft.com/office/drawing/2014/chart" uri="{C3380CC4-5D6E-409C-BE32-E72D297353CC}">
                <c16:uniqueId val="{00000003-8E46-4390-BFB0-340FA6AF14C1}"/>
              </c:ext>
            </c:extLst>
          </c:dPt>
          <c:dPt>
            <c:idx val="4"/>
            <c:bubble3D val="0"/>
            <c:extLst>
              <c:ext xmlns:c16="http://schemas.microsoft.com/office/drawing/2014/chart" uri="{C3380CC4-5D6E-409C-BE32-E72D297353CC}">
                <c16:uniqueId val="{00000004-8E46-4390-BFB0-340FA6AF14C1}"/>
              </c:ext>
            </c:extLst>
          </c:dPt>
          <c:dPt>
            <c:idx val="5"/>
            <c:bubble3D val="0"/>
            <c:extLst>
              <c:ext xmlns:c16="http://schemas.microsoft.com/office/drawing/2014/chart" uri="{C3380CC4-5D6E-409C-BE32-E72D297353CC}">
                <c16:uniqueId val="{00000005-8E46-4390-BFB0-340FA6AF14C1}"/>
              </c:ext>
            </c:extLst>
          </c:dPt>
          <c:dPt>
            <c:idx val="6"/>
            <c:bubble3D val="0"/>
            <c:extLst>
              <c:ext xmlns:c16="http://schemas.microsoft.com/office/drawing/2014/chart" uri="{C3380CC4-5D6E-409C-BE32-E72D297353CC}">
                <c16:uniqueId val="{00000006-8E46-4390-BFB0-340FA6AF14C1}"/>
              </c:ext>
            </c:extLst>
          </c:dPt>
          <c:dLbls>
            <c:numFmt formatCode="0.00%" sourceLinked="0"/>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'[Realizirane mjere (2).xls]Ukupan pregled'!$A$100:$A$106</c:f>
              <c:strCache>
                <c:ptCount val="7"/>
                <c:pt idx="0">
                  <c:v>ZGRADE U VLASNIŠTVU GRADA ZAGREBA</c:v>
                </c:pt>
                <c:pt idx="1">
                  <c:v>KUĆANSTVA</c:v>
                </c:pt>
                <c:pt idx="2">
                  <c:v>ZGRADE KOMERCIJALNIH I USLUŽNIH DJELATNOSTI</c:v>
                </c:pt>
                <c:pt idx="3">
                  <c:v>VOZILA U VLASNIŠTVU GRADA</c:v>
                </c:pt>
                <c:pt idx="4">
                  <c:v>OSOBNA I KOMERCIJALNA VOZILA</c:v>
                </c:pt>
                <c:pt idx="5">
                  <c:v>JAVNI PRIJEVOZ</c:v>
                </c:pt>
                <c:pt idx="6">
                  <c:v>JAVNA RASVJETA</c:v>
                </c:pt>
              </c:strCache>
            </c:strRef>
          </c:cat>
          <c:val>
            <c:numRef>
              <c:f>'[Realizirane mjere (2).xls]Ukupan pregled'!$B$100:$B$106</c:f>
              <c:numCache>
                <c:formatCode>0.00%</c:formatCode>
                <c:ptCount val="7"/>
                <c:pt idx="0">
                  <c:v>8.3765372832262153E-2</c:v>
                </c:pt>
                <c:pt idx="1">
                  <c:v>0.44373861236785722</c:v>
                </c:pt>
                <c:pt idx="2">
                  <c:v>0.16272778216344763</c:v>
                </c:pt>
                <c:pt idx="3">
                  <c:v>4.6264015197284118E-3</c:v>
                </c:pt>
                <c:pt idx="4">
                  <c:v>0.28228886934499997</c:v>
                </c:pt>
                <c:pt idx="5">
                  <c:v>1.3510861812295325E-2</c:v>
                </c:pt>
                <c:pt idx="6">
                  <c:v>9.3420999594091819E-3</c:v>
                </c:pt>
              </c:numCache>
            </c:numRef>
          </c:val>
          <c:extLst>
            <c:ext xmlns:c16="http://schemas.microsoft.com/office/drawing/2014/chart" uri="{C3380CC4-5D6E-409C-BE32-E72D297353CC}">
              <c16:uniqueId val="{00000007-8E46-4390-BFB0-340FA6AF14C1}"/>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C07F-49AC-9299-F3276582ADEC}"/>
              </c:ext>
            </c:extLst>
          </c:dPt>
          <c:dPt>
            <c:idx val="1"/>
            <c:bubble3D val="0"/>
            <c:extLst>
              <c:ext xmlns:c16="http://schemas.microsoft.com/office/drawing/2014/chart" uri="{C3380CC4-5D6E-409C-BE32-E72D297353CC}">
                <c16:uniqueId val="{00000001-C07F-49AC-9299-F3276582ADEC}"/>
              </c:ext>
            </c:extLst>
          </c:dPt>
          <c:dLbls>
            <c:numFmt formatCode="0.00%" sourceLinked="0"/>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'[Realizirane mjere (2).xls]Ukupan pregled'!$C$109:$C$110</c:f>
              <c:strCache>
                <c:ptCount val="2"/>
                <c:pt idx="0">
                  <c:v>Potrebno smanjenje emisije CO2 do cilja</c:v>
                </c:pt>
                <c:pt idx="1">
                  <c:v>Ostvareno smanjenje emisije CO2</c:v>
                </c:pt>
              </c:strCache>
            </c:strRef>
          </c:cat>
          <c:val>
            <c:numRef>
              <c:f>'[Realizirane mjere (2).xls]Ukupan pregled'!$E$109:$E$110</c:f>
              <c:numCache>
                <c:formatCode>#,##0.00</c:formatCode>
                <c:ptCount val="2"/>
                <c:pt idx="0">
                  <c:v>284205.99228775263</c:v>
                </c:pt>
                <c:pt idx="1">
                  <c:v>302964.69771224732</c:v>
                </c:pt>
              </c:numCache>
            </c:numRef>
          </c:val>
          <c:extLst>
            <c:ext xmlns:c16="http://schemas.microsoft.com/office/drawing/2014/chart" uri="{C3380CC4-5D6E-409C-BE32-E72D297353CC}">
              <c16:uniqueId val="{00000002-C07F-49AC-9299-F3276582ADEC}"/>
            </c:ext>
          </c:extLst>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'[Realizirane mjere (2).xls]Prognoza'!$B$11</c:f>
              <c:strCache>
                <c:ptCount val="1"/>
                <c:pt idx="0">
                  <c:v>Emisija, t CO2</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'[Realizirane mjere (2).xls]Prognoza'!$A$12:$A$14</c:f>
              <c:strCache>
                <c:ptCount val="3"/>
                <c:pt idx="0">
                  <c:v>2008.</c:v>
                </c:pt>
                <c:pt idx="1">
                  <c:v>2015.</c:v>
                </c:pt>
                <c:pt idx="2">
                  <c:v>2020.</c:v>
                </c:pt>
              </c:strCache>
            </c:strRef>
          </c:cat>
          <c:val>
            <c:numRef>
              <c:f>'[Realizirane mjere (2).xls]Prognoza'!$B$12:$B$14</c:f>
              <c:numCache>
                <c:formatCode>#,##0.00</c:formatCode>
                <c:ptCount val="3"/>
                <c:pt idx="0">
                  <c:v>2793746.4</c:v>
                </c:pt>
                <c:pt idx="1">
                  <c:v>2930972.08</c:v>
                </c:pt>
                <c:pt idx="2">
                  <c:v>2208880.2000000002</c:v>
                </c:pt>
              </c:numCache>
            </c:numRef>
          </c:val>
          <c:extLst>
            <c:ext xmlns:c16="http://schemas.microsoft.com/office/drawing/2014/chart" uri="{C3380CC4-5D6E-409C-BE32-E72D297353CC}">
              <c16:uniqueId val="{00000000-8051-4DFD-8E24-B6758310CD76}"/>
            </c:ext>
          </c:extLst>
        </c:ser>
        <c:ser>
          <c:idx val="1"/>
          <c:order val="1"/>
          <c:tx>
            <c:strRef>
              <c:f>'[Realizirane mjere (2).xls]Prognoza'!$C$11</c:f>
              <c:strCache>
                <c:ptCount val="1"/>
                <c:pt idx="0">
                  <c:v>Smanjenje emisije, t CO2</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'[Realizirane mjere (2).xls]Prognoza'!$A$12:$A$14</c:f>
              <c:strCache>
                <c:ptCount val="3"/>
                <c:pt idx="0">
                  <c:v>2008.</c:v>
                </c:pt>
                <c:pt idx="1">
                  <c:v>2015.</c:v>
                </c:pt>
                <c:pt idx="2">
                  <c:v>2020.</c:v>
                </c:pt>
              </c:strCache>
            </c:strRef>
          </c:cat>
          <c:val>
            <c:numRef>
              <c:f>'[Realizirane mjere (2).xls]Prognoza'!$C$12:$C$14</c:f>
              <c:numCache>
                <c:formatCode>#,##0.00</c:formatCode>
                <c:ptCount val="3"/>
                <c:pt idx="1">
                  <c:v>302964.69771224732</c:v>
                </c:pt>
              </c:numCache>
            </c:numRef>
          </c:val>
          <c:extLst>
            <c:ext xmlns:c16="http://schemas.microsoft.com/office/drawing/2014/chart" uri="{C3380CC4-5D6E-409C-BE32-E72D297353CC}">
              <c16:uniqueId val="{00000001-8051-4DFD-8E24-B6758310CD76}"/>
            </c:ext>
          </c:extLst>
        </c:ser>
        <c:ser>
          <c:idx val="2"/>
          <c:order val="2"/>
          <c:tx>
            <c:strRef>
              <c:f>'[Realizirane mjere (2).xls]Prognoza'!$D$11</c:f>
              <c:strCache>
                <c:ptCount val="1"/>
                <c:pt idx="0">
                  <c:v>Cilj smanjenja emisije, t CO2</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'[Realizirane mjere (2).xls]Prognoza'!$A$12:$A$14</c:f>
              <c:strCache>
                <c:ptCount val="3"/>
                <c:pt idx="0">
                  <c:v>2008.</c:v>
                </c:pt>
                <c:pt idx="1">
                  <c:v>2015.</c:v>
                </c:pt>
                <c:pt idx="2">
                  <c:v>2020.</c:v>
                </c:pt>
              </c:strCache>
            </c:strRef>
          </c:cat>
          <c:val>
            <c:numRef>
              <c:f>'[Realizirane mjere (2).xls]Prognoza'!$D$12:$D$14</c:f>
              <c:numCache>
                <c:formatCode>General</c:formatCode>
                <c:ptCount val="3"/>
                <c:pt idx="2" formatCode="#,##0.00">
                  <c:v>587170.68999999994</c:v>
                </c:pt>
              </c:numCache>
            </c:numRef>
          </c:val>
          <c:extLst>
            <c:ext xmlns:c16="http://schemas.microsoft.com/office/drawing/2014/chart" uri="{C3380CC4-5D6E-409C-BE32-E72D297353CC}">
              <c16:uniqueId val="{00000002-8051-4DFD-8E24-B6758310CD76}"/>
            </c:ext>
          </c:extLst>
        </c:ser>
        <c:dLbls>
          <c:showLegendKey val="0"/>
          <c:showVal val="0"/>
          <c:showCatName val="0"/>
          <c:showSerName val="0"/>
          <c:showPercent val="0"/>
          <c:showBubbleSize val="0"/>
        </c:dLbls>
        <c:gapWidth val="150"/>
        <c:shape val="box"/>
        <c:axId val="286992384"/>
        <c:axId val="287196288"/>
        <c:axId val="0"/>
      </c:bar3DChart>
      <c:catAx>
        <c:axId val="286992384"/>
        <c:scaling>
          <c:orientation val="minMax"/>
        </c:scaling>
        <c:delete val="0"/>
        <c:axPos val="b"/>
        <c:numFmt formatCode="General" sourceLinked="1"/>
        <c:majorTickMark val="out"/>
        <c:minorTickMark val="none"/>
        <c:tickLblPos val="nextTo"/>
        <c:crossAx val="287196288"/>
        <c:crosses val="autoZero"/>
        <c:auto val="1"/>
        <c:lblAlgn val="ctr"/>
        <c:lblOffset val="100"/>
        <c:noMultiLvlLbl val="0"/>
      </c:catAx>
      <c:valAx>
        <c:axId val="287196288"/>
        <c:scaling>
          <c:orientation val="minMax"/>
        </c:scaling>
        <c:delete val="0"/>
        <c:axPos val="l"/>
        <c:majorGridlines/>
        <c:numFmt formatCode="#,##0.00" sourceLinked="1"/>
        <c:majorTickMark val="out"/>
        <c:minorTickMark val="none"/>
        <c:tickLblPos val="nextTo"/>
        <c:crossAx val="286992384"/>
        <c:crosses val="autoZero"/>
        <c:crossBetween val="between"/>
      </c:valAx>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F59C-4A29-865F-31202E3C4E90}"/>
              </c:ext>
            </c:extLst>
          </c:dPt>
          <c:dPt>
            <c:idx val="1"/>
            <c:bubble3D val="0"/>
            <c:extLst>
              <c:ext xmlns:c16="http://schemas.microsoft.com/office/drawing/2014/chart" uri="{C3380CC4-5D6E-409C-BE32-E72D297353CC}">
                <c16:uniqueId val="{00000001-F59C-4A29-865F-31202E3C4E90}"/>
              </c:ext>
            </c:extLst>
          </c:dPt>
          <c:dPt>
            <c:idx val="2"/>
            <c:bubble3D val="0"/>
            <c:extLst>
              <c:ext xmlns:c16="http://schemas.microsoft.com/office/drawing/2014/chart" uri="{C3380CC4-5D6E-409C-BE32-E72D297353CC}">
                <c16:uniqueId val="{00000002-F59C-4A29-865F-31202E3C4E90}"/>
              </c:ext>
            </c:extLst>
          </c:dPt>
          <c:dPt>
            <c:idx val="3"/>
            <c:bubble3D val="0"/>
            <c:extLst>
              <c:ext xmlns:c16="http://schemas.microsoft.com/office/drawing/2014/chart" uri="{C3380CC4-5D6E-409C-BE32-E72D297353CC}">
                <c16:uniqueId val="{00000003-F59C-4A29-865F-31202E3C4E90}"/>
              </c:ext>
            </c:extLst>
          </c:dPt>
          <c:dPt>
            <c:idx val="4"/>
            <c:bubble3D val="0"/>
            <c:extLst>
              <c:ext xmlns:c16="http://schemas.microsoft.com/office/drawing/2014/chart" uri="{C3380CC4-5D6E-409C-BE32-E72D297353CC}">
                <c16:uniqueId val="{00000004-F59C-4A29-865F-31202E3C4E90}"/>
              </c:ext>
            </c:extLst>
          </c:dPt>
          <c:dPt>
            <c:idx val="5"/>
            <c:bubble3D val="0"/>
            <c:extLst>
              <c:ext xmlns:c16="http://schemas.microsoft.com/office/drawing/2014/chart" uri="{C3380CC4-5D6E-409C-BE32-E72D297353CC}">
                <c16:uniqueId val="{00000005-F59C-4A29-865F-31202E3C4E90}"/>
              </c:ext>
            </c:extLst>
          </c:dPt>
          <c:dPt>
            <c:idx val="6"/>
            <c:bubble3D val="0"/>
            <c:extLst>
              <c:ext xmlns:c16="http://schemas.microsoft.com/office/drawing/2014/chart" uri="{C3380CC4-5D6E-409C-BE32-E72D297353CC}">
                <c16:uniqueId val="{00000006-F59C-4A29-865F-31202E3C4E90}"/>
              </c:ext>
            </c:extLst>
          </c:dPt>
          <c:dLbls>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'[Realizirane mjere (2).xls]Nove mjere'!$A$39:$A$45</c:f>
              <c:strCache>
                <c:ptCount val="7"/>
                <c:pt idx="0">
                  <c:v>Zgrade u vlasništvu Grada Zagreba</c:v>
                </c:pt>
                <c:pt idx="1">
                  <c:v>Kućanstva</c:v>
                </c:pt>
                <c:pt idx="2">
                  <c:v>Zgrade komercijalnih i uslužnih djelatnosti</c:v>
                </c:pt>
                <c:pt idx="3">
                  <c:v>Vozila u vlasništvu Grada Zagreba</c:v>
                </c:pt>
                <c:pt idx="4">
                  <c:v>Osobna i komercijalna vozila</c:v>
                </c:pt>
                <c:pt idx="5">
                  <c:v>Javni prijevoz</c:v>
                </c:pt>
                <c:pt idx="6">
                  <c:v>Javna rasvjeta</c:v>
                </c:pt>
              </c:strCache>
            </c:strRef>
          </c:cat>
          <c:val>
            <c:numRef>
              <c:f>'[Realizirane mjere (2).xls]Nove mjere'!$B$39:$B$45</c:f>
              <c:numCache>
                <c:formatCode>#,##0.00</c:formatCode>
                <c:ptCount val="7"/>
                <c:pt idx="0">
                  <c:v>39.76011225888</c:v>
                </c:pt>
                <c:pt idx="1">
                  <c:v>223.29900425392574</c:v>
                </c:pt>
                <c:pt idx="2">
                  <c:v>110.98523333333334</c:v>
                </c:pt>
                <c:pt idx="3">
                  <c:v>1.4016363379199999</c:v>
                </c:pt>
                <c:pt idx="4">
                  <c:v>158.69607196863998</c:v>
                </c:pt>
                <c:pt idx="5">
                  <c:v>7.1418941647939995</c:v>
                </c:pt>
                <c:pt idx="6">
                  <c:v>13.5653264902</c:v>
                </c:pt>
              </c:numCache>
            </c:numRef>
          </c:val>
          <c:extLst>
            <c:ext xmlns:c16="http://schemas.microsoft.com/office/drawing/2014/chart" uri="{C3380CC4-5D6E-409C-BE32-E72D297353CC}">
              <c16:uniqueId val="{00000007-F59C-4A29-865F-31202E3C4E90}"/>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800051665876036"/>
          <c:y val="0.17257012913871597"/>
          <c:w val="0.4385172636952917"/>
          <c:h val="0.60610308326843754"/>
        </c:manualLayout>
      </c:layout>
      <c:bar3DChart>
        <c:barDir val="col"/>
        <c:grouping val="clustered"/>
        <c:varyColors val="0"/>
        <c:ser>
          <c:idx val="1"/>
          <c:order val="0"/>
          <c:tx>
            <c:strRef>
              <c:f>'[Električna energija - KULTURNE USTANOVE.xlsx]Usporedba SEAP'!$A$13</c:f>
              <c:strCache>
                <c:ptCount val="1"/>
                <c:pt idx="0">
                  <c:v>2015.</c:v>
                </c:pt>
              </c:strCache>
            </c:strRef>
          </c:tx>
          <c:invertIfNegative val="0"/>
          <c:dLbls>
            <c:dLbl>
              <c:idx val="0"/>
              <c:layout>
                <c:manualLayout>
                  <c:x val="5.6406064610681303E-2"/>
                  <c:y val="-6.211592921143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59-49BC-A6E9-F3BD66CAF24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'[Električna energija - KULTURNE USTANOVE.xlsx]Usporedba SEAP'!$B$11</c:f>
              <c:strCache>
                <c:ptCount val="1"/>
                <c:pt idx="0">
                  <c:v>Kulturne ustanove</c:v>
                </c:pt>
              </c:strCache>
            </c:strRef>
          </c:cat>
          <c:val>
            <c:numRef>
              <c:f>'[Električna energija - KULTURNE USTANOVE.xlsx]Usporedba SEAP'!$B$13</c:f>
              <c:numCache>
                <c:formatCode>#,##0.00</c:formatCode>
                <c:ptCount val="1"/>
                <c:pt idx="0">
                  <c:v>81.929679189757806</c:v>
                </c:pt>
              </c:numCache>
            </c:numRef>
          </c:val>
          <c:extLst>
            <c:ext xmlns:c16="http://schemas.microsoft.com/office/drawing/2014/chart" uri="{C3380CC4-5D6E-409C-BE32-E72D297353CC}">
              <c16:uniqueId val="{00000001-2259-49BC-A6E9-F3BD66CAF249}"/>
            </c:ext>
          </c:extLst>
        </c:ser>
        <c:dLbls>
          <c:showLegendKey val="0"/>
          <c:showVal val="0"/>
          <c:showCatName val="0"/>
          <c:showSerName val="0"/>
          <c:showPercent val="0"/>
          <c:showBubbleSize val="0"/>
        </c:dLbls>
        <c:gapWidth val="150"/>
        <c:shape val="box"/>
        <c:axId val="160667648"/>
        <c:axId val="170634048"/>
        <c:axId val="0"/>
      </c:bar3DChart>
      <c:catAx>
        <c:axId val="160667648"/>
        <c:scaling>
          <c:orientation val="minMax"/>
        </c:scaling>
        <c:delete val="0"/>
        <c:axPos val="b"/>
        <c:numFmt formatCode="General" sourceLinked="0"/>
        <c:majorTickMark val="out"/>
        <c:minorTickMark val="none"/>
        <c:tickLblPos val="nextTo"/>
        <c:crossAx val="170634048"/>
        <c:crosses val="autoZero"/>
        <c:auto val="1"/>
        <c:lblAlgn val="ctr"/>
        <c:lblOffset val="100"/>
        <c:noMultiLvlLbl val="0"/>
      </c:catAx>
      <c:valAx>
        <c:axId val="170634048"/>
        <c:scaling>
          <c:orientation val="minMax"/>
        </c:scaling>
        <c:delete val="0"/>
        <c:axPos val="l"/>
        <c:majorGridlines/>
        <c:title>
          <c:tx>
            <c:rich>
              <a:bodyPr rot="-5400000" vert="horz"/>
              <a:lstStyle/>
              <a:p>
                <a:pPr>
                  <a:defRPr/>
                </a:pPr>
                <a:r>
                  <a:rPr lang="hr-HR"/>
                  <a:t>kWh/m</a:t>
                </a:r>
                <a:r>
                  <a:rPr lang="hr-HR" baseline="30000"/>
                  <a:t>2</a:t>
                </a:r>
              </a:p>
            </c:rich>
          </c:tx>
          <c:layout>
            <c:manualLayout>
              <c:xMode val="edge"/>
              <c:yMode val="edge"/>
              <c:x val="4.3102981552304825E-2"/>
              <c:y val="0.51218284497041677"/>
            </c:manualLayout>
          </c:layout>
          <c:overlay val="0"/>
        </c:title>
        <c:numFmt formatCode="#,##0.00" sourceLinked="1"/>
        <c:majorTickMark val="out"/>
        <c:minorTickMark val="none"/>
        <c:tickLblPos val="nextTo"/>
        <c:crossAx val="160667648"/>
        <c:crosses val="autoZero"/>
        <c:crossBetween val="between"/>
      </c:valAx>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DAA69028DF934B8F4D0A7F57D28E08" ma:contentTypeVersion="2" ma:contentTypeDescription="Create a new document." ma:contentTypeScope="" ma:versionID="5fe4b1c95023fc6106fb987030964a57">
  <xsd:schema xmlns:xsd="http://www.w3.org/2001/XMLSchema" xmlns:xs="http://www.w3.org/2001/XMLSchema" xmlns:p="http://schemas.microsoft.com/office/2006/metadata/properties" xmlns:ns2="c09df97f-82fe-4749-a4c0-afb75fad392b" targetNamespace="http://schemas.microsoft.com/office/2006/metadata/properties" ma:root="true" ma:fieldsID="50cdc0cc7e1682bd0047084845ea6e91" ns2:_="">
    <xsd:import namespace="c09df97f-82fe-4749-a4c0-afb75fad392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df97f-82fe-4749-a4c0-afb75fad3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F16D2-DCDD-4556-949C-B06DCD1D98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189E76-0135-42F4-B06F-588BDB16C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df97f-82fe-4749-a4c0-afb75fad3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ABFB40-489B-4C0F-925B-8213C26A7E96}">
  <ds:schemaRefs>
    <ds:schemaRef ds:uri="http://schemas.microsoft.com/sharepoint/v3/contenttype/forms"/>
  </ds:schemaRefs>
</ds:datastoreItem>
</file>

<file path=customXml/itemProps4.xml><?xml version="1.0" encoding="utf-8"?>
<ds:datastoreItem xmlns:ds="http://schemas.openxmlformats.org/officeDocument/2006/customXml" ds:itemID="{8B5BB2A8-8DCB-468F-BCD1-64087A50D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37020</Words>
  <Characters>211014</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Ivan Ivanković</cp:lastModifiedBy>
  <cp:revision>4</cp:revision>
  <cp:lastPrinted>2016-11-28T13:21:00Z</cp:lastPrinted>
  <dcterms:created xsi:type="dcterms:W3CDTF">2018-05-11T12:53:00Z</dcterms:created>
  <dcterms:modified xsi:type="dcterms:W3CDTF">2019-03-22T14:09:00Z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0x010100C6DAA69028DF934B8F4D0A7F57D28E08</vt:lpwstr>
  </property>
</Properties>
</file>